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atLeast"/>
        <w:rPr>
          <w:rFonts w:hint="eastAsia" w:asci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附件</w:t>
      </w:r>
    </w:p>
    <w:p>
      <w:pPr>
        <w:spacing w:line="59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spacing w:line="590" w:lineRule="exact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江苏省第</w:t>
      </w: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二</w:t>
      </w:r>
      <w:r>
        <w:rPr>
          <w:rFonts w:hint="eastAsia" w:ascii="方正小标宋_GBK" w:eastAsia="方正小标宋_GBK" w:cs="Times New Roman"/>
          <w:sz w:val="44"/>
          <w:szCs w:val="44"/>
        </w:rPr>
        <w:t>批药品GMP示范点名单</w:t>
      </w:r>
      <w:bookmarkStart w:name="_GoBack" w:id="0"/>
      <w:bookmarkEnd w:id="0"/>
    </w:p>
    <w:p>
      <w:pPr>
        <w:spacing w:line="590" w:lineRule="exact"/>
        <w:jc w:val="center"/>
        <w:rPr>
          <w:rFonts w:hint="eastAsia" w:ascii="方正小标宋_GBK" w:eastAsia="方正小标宋_GBK" w:cs="Times New Roman"/>
          <w:sz w:val="44"/>
          <w:szCs w:val="44"/>
          <w:lang w:eastAsia="zh-CN"/>
        </w:rPr>
      </w:pPr>
    </w:p>
    <w:tbl>
      <w:tblPr>
        <w:tblStyle w:val="2"/>
        <w:tblW w:w="8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704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地区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企业名称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徐州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江苏恩华药业股份有限公司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原料药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常州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常州千红生化制药股份有限公司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原料药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连云港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江苏豪森药业集团有限公司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原料药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南京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南京正大天晴制药有限公司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化学药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泰州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扬子江药业集团江苏龙凤堂中药有限公司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中成药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苏州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苏州市天灵中药饮片有限公司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中药饮片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南京</w:t>
            </w:r>
          </w:p>
        </w:tc>
        <w:tc>
          <w:tcPr>
            <w:tcW w:w="5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正大天晴药业集团南京顺欣制药有限公司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生物药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OTk3NzA4NzU0NTkyNzc4NWRhZDAzZWFiNzgyZmIifQ=="/>
  </w:docVars>
  <w:rsids>
    <w:rsidRoot w:val="68F84105"/>
    <w:rsid w:val="68F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user</dc:creator>
  <cp:lastModifiedBy>user</cp:lastModifiedBy>
  <dcterms:modified xsi:type="dcterms:W3CDTF">2024-01-02T07:21:52Z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0499B049AC2846609682383D1F87716C_11</vt:lpwstr>
  </property>
</Properties>
</file>