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b/>
          <w:bCs/>
          <w:sz w:val="28"/>
          <w:szCs w:val="28"/>
          <w:lang w:val="en-US" w:eastAsia="zh-CN"/>
        </w:rPr>
      </w:pPr>
      <w:bookmarkStart w:name="_GoBack" w:id="0"/>
      <w:bookmarkEnd w:id="0"/>
      <w:r>
        <w:rPr>
          <w:rFonts w:hint="eastAsia"/>
          <w:b w:val="0"/>
          <w:bCs w:val="0"/>
          <w:sz w:val="28"/>
          <w:szCs w:val="28"/>
          <w:lang w:val="en-US" w:eastAsia="zh-CN"/>
        </w:rPr>
        <w:t>附件</w:t>
      </w:r>
      <w:r>
        <w:rPr>
          <w:rFonts w:hint="eastAsia"/>
          <w:b/>
          <w:bCs/>
          <w:sz w:val="28"/>
          <w:szCs w:val="28"/>
          <w:lang w:val="en-US" w:eastAsia="zh-CN"/>
        </w:rPr>
        <w:t>：</w:t>
      </w:r>
    </w:p>
    <w:p>
      <w:pPr>
        <w:numPr>
          <w:ilvl w:val="0"/>
          <w:numId w:val="0"/>
        </w:numPr>
        <w:jc w:val="center"/>
        <w:rPr>
          <w:rFonts w:hint="eastAsia"/>
          <w:b/>
          <w:bCs/>
          <w:sz w:val="44"/>
          <w:szCs w:val="44"/>
          <w:lang w:val="en-US" w:eastAsia="zh-CN"/>
        </w:rPr>
      </w:pPr>
    </w:p>
    <w:p>
      <w:pPr>
        <w:numPr>
          <w:ilvl w:val="0"/>
          <w:numId w:val="0"/>
        </w:numPr>
        <w:jc w:val="center"/>
        <w:rPr>
          <w:rFonts w:hint="eastAsia" w:eastAsia="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省药品监管局关于实施《药品上市后变更管理办法（试行）》有关问题的通告</w:t>
      </w:r>
      <w:r>
        <w:rPr>
          <w:rFonts w:hint="eastAsia" w:ascii="方正小标宋简体" w:hAnsi="方正小标宋简体" w:eastAsia="方正小标宋简体" w:cs="方正小标宋简体"/>
          <w:b w:val="0"/>
          <w:bCs w:val="0"/>
          <w:sz w:val="32"/>
          <w:szCs w:val="32"/>
          <w:lang w:val="en-US" w:eastAsia="zh-CN"/>
        </w:rPr>
        <w:t xml:space="preserve"> </w:t>
      </w:r>
    </w:p>
    <w:p>
      <w:pPr>
        <w:numPr>
          <w:ilvl w:val="0"/>
          <w:numId w:val="0"/>
        </w:numPr>
        <w:jc w:val="center"/>
        <w:rPr>
          <w:rFonts w:hint="eastAsia" w:eastAsia="仿宋_GB2312"/>
          <w:sz w:val="32"/>
          <w:szCs w:val="32"/>
          <w:lang w:val="en-US" w:eastAsia="zh-CN"/>
        </w:rPr>
      </w:pPr>
      <w:r>
        <w:rPr>
          <w:rFonts w:hint="eastAsia" w:eastAsia="仿宋_GB2312"/>
          <w:sz w:val="32"/>
          <w:szCs w:val="32"/>
          <w:lang w:val="en-US" w:eastAsia="zh-CN"/>
        </w:rPr>
        <w:t xml:space="preserve">（征求意见稿）  </w:t>
      </w:r>
    </w:p>
    <w:p>
      <w:pPr>
        <w:rPr>
          <w:rFonts w:hint="eastAsia"/>
          <w:sz w:val="32"/>
          <w:szCs w:val="32"/>
          <w:lang w:val="en-US" w:eastAsia="zh-CN"/>
        </w:rPr>
      </w:pPr>
    </w:p>
    <w:p>
      <w:pPr>
        <w:numPr>
          <w:ilvl w:val="0"/>
          <w:numId w:val="0"/>
        </w:numPr>
        <w:rPr>
          <w:rFonts w:hint="eastAsia" w:eastAsia="仿宋_GB2312"/>
          <w:sz w:val="32"/>
          <w:szCs w:val="32"/>
          <w:lang w:val="en-US" w:eastAsia="zh-CN"/>
        </w:rPr>
      </w:pPr>
      <w:r>
        <w:rPr>
          <w:rFonts w:hint="eastAsia" w:eastAsia="仿宋_GB2312"/>
          <w:sz w:val="32"/>
          <w:szCs w:val="32"/>
          <w:lang w:val="en-US" w:eastAsia="zh-CN"/>
        </w:rPr>
        <w:t xml:space="preserve">     为规范药品上市后变更，现就实施国家药品监督管理局《药品上市后变更管理办法（试行）》有关问题通告如下：</w:t>
      </w:r>
    </w:p>
    <w:p>
      <w:pPr>
        <w:numPr>
          <w:ilvl w:val="0"/>
          <w:numId w:val="1"/>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持有人是药品上市后变更管理的责任主体，应当建立药品上市后变更控制体系。持有人应根据有关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技术要求及指导原则，制定实施持有人内部变更分类原则、变更事项清单、工作程序及风险管理要求。同时，持有人应结合产品特点，经充分研究、评估和必要的验证后确定变更管理类别，并按规定经批准、备案后实施或报告。</w:t>
      </w:r>
    </w:p>
    <w:p>
      <w:pPr>
        <w:numPr>
          <w:ilvl w:val="0"/>
          <w:numId w:val="1"/>
        </w:numPr>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有人拟实施有关法律、法规及技术指导原则规定的备案类变更，或经持有人与我局沟通交流确认属于备案类变更的，应按照《国家药监局关于药品注册网上申报的公告》（2020年第145号）的要求，通过国家药监局网上办事大厅（https://zwfw.nmpa.gov.cn</w:t>
      </w:r>
      <w:r>
        <w:rPr>
          <w:rFonts w:hint="eastAsia" w:ascii="仿宋_GB2312" w:hAnsi="仿宋_GB2312" w:eastAsia="仿宋_GB2312" w:cs="仿宋_GB2312"/>
          <w:sz w:val="32"/>
          <w:szCs w:val="32"/>
          <w:lang w:eastAsia="zh-CN"/>
        </w:rPr>
        <w:t>，以下简称药品注册备案系统</w:t>
      </w:r>
      <w:r>
        <w:rPr>
          <w:rFonts w:hint="eastAsia" w:ascii="仿宋_GB2312" w:hAnsi="仿宋_GB2312" w:eastAsia="仿宋_GB2312" w:cs="仿宋_GB2312"/>
          <w:sz w:val="32"/>
          <w:szCs w:val="32"/>
        </w:rPr>
        <w:t>）提交备案资料进行备案。具体变更事项及申报资料要求，按照国家药监局发布的已上市中药、化学药品、生物制品变更事项及申报资料要求，以及国家药监局药品审评中心发布的相应药学变更研究及临床变更研究指导原则等执行。</w:t>
      </w:r>
    </w:p>
    <w:p>
      <w:pPr>
        <w:numPr>
          <w:ilvl w:val="0"/>
          <w:numId w:val="0"/>
        </w:numPr>
        <w:rPr>
          <w:rFonts w:hint="eastAsia" w:eastAsia="仿宋_GB2312"/>
          <w:sz w:val="32"/>
          <w:szCs w:val="32"/>
          <w:lang w:eastAsia="zh-CN"/>
        </w:rPr>
      </w:pPr>
      <w:r>
        <w:rPr>
          <w:rFonts w:hint="eastAsia" w:eastAsia="仿宋_GB2312"/>
          <w:sz w:val="32"/>
          <w:szCs w:val="32"/>
          <w:lang w:val="en-US" w:eastAsia="zh-CN"/>
        </w:rPr>
        <w:t xml:space="preserve">    三、辖区</w:t>
      </w:r>
      <w:r>
        <w:rPr>
          <w:rFonts w:hint="eastAsia" w:eastAsia="仿宋_GB2312"/>
          <w:sz w:val="32"/>
          <w:szCs w:val="32"/>
        </w:rPr>
        <w:t>持有人或药品生产企业内部</w:t>
      </w:r>
      <w:r>
        <w:rPr>
          <w:rFonts w:eastAsia="仿宋_GB2312"/>
          <w:sz w:val="32"/>
          <w:szCs w:val="32"/>
        </w:rPr>
        <w:t>变更生产场地</w:t>
      </w:r>
      <w:r>
        <w:rPr>
          <w:rFonts w:hint="eastAsia" w:eastAsia="仿宋_GB2312"/>
          <w:sz w:val="32"/>
          <w:szCs w:val="32"/>
          <w:lang w:eastAsia="zh-CN"/>
        </w:rPr>
        <w:t>（包括增加生产场地）</w:t>
      </w:r>
      <w:r>
        <w:rPr>
          <w:rFonts w:hint="eastAsia" w:eastAsia="仿宋_GB2312"/>
          <w:sz w:val="32"/>
          <w:szCs w:val="32"/>
        </w:rPr>
        <w:t>、持有人变更</w:t>
      </w:r>
      <w:r>
        <w:rPr>
          <w:rFonts w:eastAsia="仿宋_GB2312"/>
          <w:sz w:val="32"/>
          <w:szCs w:val="32"/>
        </w:rPr>
        <w:t>生产企业（包括变更受托生产企业、增加受托生产企业、持有人自行生产变更为委托生产、委托生产变更为自行生产）的，</w:t>
      </w:r>
      <w:r>
        <w:rPr>
          <w:rFonts w:hint="eastAsia" w:eastAsia="仿宋_GB2312"/>
          <w:sz w:val="32"/>
          <w:szCs w:val="32"/>
          <w:lang w:eastAsia="zh-CN"/>
        </w:rPr>
        <w:t>按照下列程序办理：</w:t>
      </w:r>
    </w:p>
    <w:p>
      <w:pPr>
        <w:numPr>
          <w:ilvl w:val="0"/>
          <w:numId w:val="0"/>
        </w:numPr>
        <w:ind w:firstLine="64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eastAsia="仿宋_GB2312"/>
          <w:sz w:val="32"/>
          <w:szCs w:val="32"/>
          <w:lang w:val="en-US" w:eastAsia="zh-CN"/>
        </w:rPr>
        <w:t>1.</w:t>
      </w:r>
      <w:r>
        <w:rPr>
          <w:rFonts w:hint="eastAsia" w:eastAsia="仿宋_GB2312"/>
          <w:sz w:val="32"/>
          <w:szCs w:val="32"/>
          <w:lang w:eastAsia="zh-CN"/>
        </w:rPr>
        <w:t>持有人同时</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提出变更《药品生产许可证》和品种生产场地申请的，</w:t>
      </w:r>
      <w:r>
        <w:rPr>
          <w:rFonts w:hint="eastAsia" w:eastAsia="仿宋_GB2312"/>
          <w:sz w:val="32"/>
          <w:szCs w:val="32"/>
          <w:lang w:eastAsia="zh-CN"/>
        </w:rPr>
        <w:t>持有人</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向</w:t>
      </w:r>
      <w:r>
        <w:rPr>
          <w:rFonts w:hint="eastAsia" w:eastAsia="仿宋_GB2312"/>
          <w:color w:val="auto"/>
          <w:sz w:val="32"/>
          <w:szCs w:val="32"/>
          <w:lang w:eastAsia="zh-CN"/>
        </w:rPr>
        <w:t>窗口</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提出变更《药品生产许可证》申请并提交相关资料（含变更《药品生产许可证》资料和涉及品种变更资料）。</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持有人完成《药品生产许可证》变更后，向药品注册备案系统提交备案资料，由窗口直接办理更新。</w:t>
      </w:r>
    </w:p>
    <w:p>
      <w:pPr>
        <w:numPr>
          <w:ilvl w:val="0"/>
          <w:numId w:val="0"/>
        </w:numPr>
        <w:ind w:firstLine="64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eastAsia="仿宋_GB2312"/>
          <w:sz w:val="32"/>
          <w:szCs w:val="32"/>
          <w:lang w:val="en-US" w:eastAsia="zh-CN"/>
        </w:rPr>
        <w:t>2.</w:t>
      </w:r>
      <w:r>
        <w:rPr>
          <w:rFonts w:hint="eastAsia" w:eastAsia="仿宋_GB2312"/>
          <w:sz w:val="32"/>
          <w:szCs w:val="32"/>
          <w:lang w:eastAsia="zh-CN"/>
        </w:rPr>
        <w:t>持有人仅</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提出品种生产场地变更申请的，</w:t>
      </w:r>
      <w:r>
        <w:rPr>
          <w:rFonts w:hint="eastAsia" w:eastAsia="仿宋_GB2312"/>
          <w:sz w:val="32"/>
          <w:szCs w:val="32"/>
          <w:lang w:eastAsia="zh-CN"/>
        </w:rPr>
        <w:t>持有人</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向</w:t>
      </w:r>
      <w:r>
        <w:rPr>
          <w:rFonts w:hint="eastAsia" w:eastAsia="仿宋_GB2312"/>
          <w:color w:val="auto"/>
          <w:sz w:val="32"/>
          <w:szCs w:val="32"/>
          <w:lang w:eastAsia="zh-CN"/>
        </w:rPr>
        <w:t>窗口</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提出变更申请并提交相关资料，符合要求的，持有人</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向药品注册备案系统提交备案资料，窗口直接办理更新。</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未通过与生产该药品的生产条件相适应的药品生产质量管理规范符合性检查的品种，应当申请上市前的药品生产质量管理规范符合性检查。</w:t>
      </w:r>
    </w:p>
    <w:p>
      <w:pPr>
        <w:numPr>
          <w:ilvl w:val="0"/>
          <w:numId w:val="0"/>
        </w:numPr>
        <w:rPr>
          <w:rFonts w:eastAsia="仿宋_GB2312"/>
          <w:sz w:val="32"/>
          <w:szCs w:val="32"/>
        </w:rPr>
      </w:pPr>
      <w:r>
        <w:rPr>
          <w:rFonts w:hint="eastAsia" w:eastAsia="仿宋_GB2312"/>
          <w:sz w:val="32"/>
          <w:szCs w:val="32"/>
          <w:lang w:val="en-US" w:eastAsia="zh-CN"/>
        </w:rPr>
        <w:t xml:space="preserve">    四、辖区</w:t>
      </w:r>
      <w:r>
        <w:rPr>
          <w:rFonts w:hint="eastAsia" w:eastAsia="仿宋_GB2312"/>
          <w:sz w:val="32"/>
          <w:szCs w:val="32"/>
        </w:rPr>
        <w:t>持有人</w:t>
      </w:r>
      <w:r>
        <w:rPr>
          <w:rFonts w:hint="eastAsia" w:eastAsia="仿宋_GB2312"/>
          <w:sz w:val="32"/>
          <w:szCs w:val="32"/>
          <w:lang w:val="en-US" w:eastAsia="zh-CN"/>
        </w:rPr>
        <w:t>药品说明书变更的备案，</w:t>
      </w:r>
      <w:r>
        <w:rPr>
          <w:rFonts w:hint="eastAsia" w:eastAsia="仿宋_GB2312"/>
          <w:sz w:val="32"/>
          <w:szCs w:val="32"/>
          <w:lang w:eastAsia="zh-CN"/>
        </w:rPr>
        <w:t>由</w:t>
      </w:r>
      <w:r>
        <w:rPr>
          <w:rFonts w:hint="eastAsia" w:eastAsia="仿宋_GB2312"/>
          <w:color w:val="auto"/>
          <w:sz w:val="32"/>
          <w:szCs w:val="32"/>
          <w:lang w:eastAsia="zh-CN"/>
        </w:rPr>
        <w:t>窗口</w:t>
      </w:r>
      <w:r>
        <w:rPr>
          <w:rFonts w:eastAsia="仿宋_GB2312"/>
          <w:sz w:val="32"/>
          <w:szCs w:val="32"/>
        </w:rPr>
        <w:t>按照</w:t>
      </w:r>
      <w:r>
        <w:rPr>
          <w:rFonts w:hint="eastAsia" w:eastAsia="仿宋_GB2312"/>
          <w:sz w:val="32"/>
          <w:szCs w:val="32"/>
          <w:lang w:eastAsia="zh-CN"/>
        </w:rPr>
        <w:t>《药品注册管理办法》《药品说明书和标签管理规定》等</w:t>
      </w:r>
      <w:r>
        <w:rPr>
          <w:rFonts w:eastAsia="仿宋_GB2312"/>
          <w:sz w:val="32"/>
          <w:szCs w:val="32"/>
        </w:rPr>
        <w:t>相关</w:t>
      </w:r>
      <w:r>
        <w:rPr>
          <w:rFonts w:hint="eastAsia" w:eastAsia="仿宋_GB2312"/>
          <w:sz w:val="32"/>
          <w:szCs w:val="32"/>
          <w:lang w:eastAsia="zh-CN"/>
        </w:rPr>
        <w:t>法规、</w:t>
      </w:r>
      <w:r>
        <w:rPr>
          <w:rFonts w:eastAsia="仿宋_GB2312"/>
          <w:sz w:val="32"/>
          <w:szCs w:val="32"/>
        </w:rPr>
        <w:t>技术要求</w:t>
      </w:r>
      <w:r>
        <w:rPr>
          <w:rFonts w:hint="eastAsia" w:eastAsia="仿宋_GB2312"/>
          <w:sz w:val="32"/>
          <w:szCs w:val="32"/>
          <w:lang w:eastAsia="zh-CN"/>
        </w:rPr>
        <w:t>以及《</w:t>
      </w:r>
      <w:r>
        <w:rPr>
          <w:rFonts w:hint="eastAsia" w:eastAsia="仿宋_GB2312"/>
          <w:sz w:val="32"/>
          <w:szCs w:val="32"/>
        </w:rPr>
        <w:t>省药品监督管理局关于药品说明书和标签有关事宜的公告</w:t>
      </w:r>
      <w:r>
        <w:rPr>
          <w:rFonts w:hint="eastAsia" w:eastAsia="仿宋_GB2312"/>
          <w:sz w:val="32"/>
          <w:szCs w:val="32"/>
          <w:lang w:eastAsia="zh-CN"/>
        </w:rPr>
        <w:t>》的规定</w:t>
      </w:r>
      <w:r>
        <w:rPr>
          <w:rFonts w:hint="eastAsia" w:eastAsia="仿宋_GB2312"/>
          <w:color w:val="auto"/>
          <w:sz w:val="32"/>
          <w:szCs w:val="32"/>
          <w:lang w:eastAsia="zh-CN"/>
        </w:rPr>
        <w:t>办理</w:t>
      </w:r>
      <w:r>
        <w:rPr>
          <w:rFonts w:hint="eastAsia" w:eastAsia="仿宋_GB2312"/>
          <w:sz w:val="32"/>
          <w:szCs w:val="32"/>
          <w:lang w:eastAsia="zh-CN"/>
        </w:rPr>
        <w:t>。</w:t>
      </w:r>
      <w:r>
        <w:rPr>
          <w:rFonts w:hint="eastAsia" w:eastAsia="仿宋_GB2312"/>
          <w:sz w:val="32"/>
          <w:szCs w:val="32"/>
          <w:lang w:val="en-US" w:eastAsia="zh-CN"/>
        </w:rPr>
        <w:t xml:space="preserve">   </w:t>
      </w:r>
    </w:p>
    <w:p>
      <w:pPr>
        <w:numPr>
          <w:ilvl w:val="0"/>
          <w:numId w:val="0"/>
        </w:numPr>
        <w:rPr>
          <w:rFonts w:hint="eastAsia" w:ascii="仿宋_GB2312" w:hAnsi="仿宋_GB2312" w:eastAsia="仿宋_GB2312" w:cs="仿宋_GB2312"/>
          <w:sz w:val="32"/>
          <w:szCs w:val="32"/>
        </w:rPr>
      </w:pPr>
      <w:r>
        <w:rPr>
          <w:rFonts w:hint="eastAsia" w:eastAsia="仿宋_GB2312"/>
          <w:b w:val="0"/>
          <w:bCs w:val="0"/>
          <w:sz w:val="32"/>
          <w:szCs w:val="32"/>
          <w:lang w:val="en-US" w:eastAsia="zh-CN"/>
        </w:rPr>
        <w:t xml:space="preserve">    五、</w:t>
      </w:r>
      <w:r>
        <w:rPr>
          <w:rFonts w:eastAsia="仿宋_GB2312"/>
          <w:b w:val="0"/>
          <w:bCs w:val="0"/>
          <w:sz w:val="32"/>
          <w:szCs w:val="32"/>
        </w:rPr>
        <w:t>生产设备、</w:t>
      </w:r>
      <w:r>
        <w:rPr>
          <w:rFonts w:hint="eastAsia" w:eastAsia="仿宋_GB2312"/>
          <w:b w:val="0"/>
          <w:bCs w:val="0"/>
          <w:sz w:val="32"/>
          <w:szCs w:val="32"/>
          <w:lang w:eastAsia="zh-CN"/>
        </w:rPr>
        <w:t>生产工艺、</w:t>
      </w:r>
      <w:r>
        <w:rPr>
          <w:rFonts w:eastAsia="仿宋_GB2312"/>
          <w:b w:val="0"/>
          <w:bCs w:val="0"/>
          <w:sz w:val="32"/>
          <w:szCs w:val="32"/>
        </w:rPr>
        <w:t>生产环节技术参数</w:t>
      </w:r>
      <w:r>
        <w:rPr>
          <w:rFonts w:hint="eastAsia" w:eastAsia="仿宋_GB2312"/>
          <w:b w:val="0"/>
          <w:bCs w:val="0"/>
          <w:sz w:val="32"/>
          <w:szCs w:val="32"/>
        </w:rPr>
        <w:t>、</w:t>
      </w:r>
      <w:r>
        <w:rPr>
          <w:rFonts w:eastAsia="仿宋_GB2312"/>
          <w:b w:val="0"/>
          <w:bCs w:val="0"/>
          <w:sz w:val="32"/>
          <w:szCs w:val="32"/>
        </w:rPr>
        <w:t>原</w:t>
      </w:r>
      <w:r>
        <w:rPr>
          <w:rFonts w:hint="eastAsia" w:eastAsia="仿宋_GB2312"/>
          <w:b w:val="0"/>
          <w:bCs w:val="0"/>
          <w:sz w:val="32"/>
          <w:szCs w:val="32"/>
          <w:lang w:eastAsia="zh-CN"/>
        </w:rPr>
        <w:t>辅</w:t>
      </w:r>
      <w:r>
        <w:rPr>
          <w:rFonts w:eastAsia="仿宋_GB2312"/>
          <w:b w:val="0"/>
          <w:bCs w:val="0"/>
          <w:sz w:val="32"/>
          <w:szCs w:val="32"/>
        </w:rPr>
        <w:t>包</w:t>
      </w:r>
      <w:r>
        <w:rPr>
          <w:rFonts w:hint="eastAsia" w:eastAsia="仿宋_GB2312"/>
          <w:b w:val="0"/>
          <w:bCs w:val="0"/>
          <w:sz w:val="32"/>
          <w:szCs w:val="32"/>
          <w:lang w:eastAsia="zh-CN"/>
        </w:rPr>
        <w:t>、药品有效期、</w:t>
      </w:r>
      <w:r>
        <w:rPr>
          <w:rFonts w:hint="eastAsia" w:eastAsia="仿宋_GB2312"/>
          <w:b w:val="0"/>
          <w:bCs w:val="0"/>
          <w:sz w:val="32"/>
          <w:szCs w:val="32"/>
        </w:rPr>
        <w:t>质量标准</w:t>
      </w:r>
      <w:r>
        <w:rPr>
          <w:rFonts w:eastAsia="仿宋_GB2312"/>
          <w:b w:val="0"/>
          <w:bCs w:val="0"/>
          <w:sz w:val="32"/>
          <w:szCs w:val="32"/>
        </w:rPr>
        <w:t>等</w:t>
      </w:r>
      <w:r>
        <w:rPr>
          <w:rFonts w:eastAsia="仿宋_GB2312"/>
          <w:sz w:val="32"/>
          <w:szCs w:val="32"/>
        </w:rPr>
        <w:t>生产</w:t>
      </w:r>
      <w:r>
        <w:rPr>
          <w:rFonts w:hint="eastAsia" w:eastAsia="仿宋_GB2312"/>
          <w:sz w:val="32"/>
          <w:szCs w:val="32"/>
        </w:rPr>
        <w:t>过程</w:t>
      </w:r>
      <w:r>
        <w:rPr>
          <w:rFonts w:eastAsia="仿宋_GB2312"/>
          <w:sz w:val="32"/>
          <w:szCs w:val="32"/>
        </w:rPr>
        <w:t>变更</w:t>
      </w:r>
      <w:r>
        <w:rPr>
          <w:rFonts w:hint="eastAsia" w:eastAsia="仿宋_GB2312"/>
          <w:sz w:val="32"/>
          <w:szCs w:val="32"/>
          <w:lang w:eastAsia="zh-CN"/>
        </w:rPr>
        <w:t>的备案，持有人在药品注册备案系统中</w:t>
      </w:r>
      <w:r>
        <w:rPr>
          <w:rFonts w:eastAsia="仿宋_GB2312"/>
          <w:sz w:val="32"/>
          <w:szCs w:val="32"/>
        </w:rPr>
        <w:t>备案</w:t>
      </w:r>
      <w:r>
        <w:rPr>
          <w:rFonts w:hint="eastAsia" w:eastAsia="仿宋_GB2312"/>
          <w:sz w:val="32"/>
          <w:szCs w:val="32"/>
          <w:lang w:eastAsia="zh-CN"/>
        </w:rPr>
        <w:t>。</w:t>
      </w:r>
    </w:p>
    <w:p>
      <w:pPr>
        <w:numPr>
          <w:ilvl w:val="0"/>
          <w:numId w:val="0"/>
        </w:numPr>
        <w:ind w:firstLine="640"/>
        <w:rPr>
          <w:rFonts w:hint="eastAsia" w:eastAsia="仿宋_GB2312"/>
          <w:sz w:val="32"/>
          <w:szCs w:val="32"/>
          <w:lang w:val="en-US" w:eastAsia="zh-CN"/>
        </w:rPr>
      </w:pPr>
      <w:r>
        <w:rPr>
          <w:rFonts w:hint="eastAsia" w:eastAsia="仿宋_GB2312"/>
          <w:b w:val="0"/>
          <w:bCs w:val="0"/>
          <w:sz w:val="32"/>
          <w:szCs w:val="32"/>
          <w:lang w:val="en-US" w:eastAsia="zh-CN"/>
        </w:rPr>
        <w:t>六、辖区</w:t>
      </w:r>
      <w:r>
        <w:rPr>
          <w:rFonts w:hint="eastAsia" w:eastAsia="仿宋_GB2312"/>
          <w:sz w:val="32"/>
          <w:szCs w:val="32"/>
          <w:lang w:val="en-US" w:eastAsia="zh-CN"/>
        </w:rPr>
        <w:t>药品上市许可持有人向我局提出备案前，</w:t>
      </w:r>
      <w:r>
        <w:rPr>
          <w:rFonts w:eastAsia="仿宋_GB2312"/>
          <w:sz w:val="32"/>
          <w:szCs w:val="32"/>
        </w:rPr>
        <w:t>在充分研究</w:t>
      </w:r>
      <w:r>
        <w:rPr>
          <w:rFonts w:hint="eastAsia" w:eastAsia="仿宋_GB2312"/>
          <w:sz w:val="32"/>
          <w:szCs w:val="32"/>
        </w:rPr>
        <w:t>、评估</w:t>
      </w:r>
      <w:r>
        <w:rPr>
          <w:rFonts w:eastAsia="仿宋_GB2312"/>
          <w:sz w:val="32"/>
          <w:szCs w:val="32"/>
        </w:rPr>
        <w:t>和</w:t>
      </w:r>
      <w:r>
        <w:rPr>
          <w:rFonts w:hint="eastAsia" w:eastAsia="仿宋_GB2312"/>
          <w:sz w:val="32"/>
          <w:szCs w:val="32"/>
        </w:rPr>
        <w:t>必要的</w:t>
      </w:r>
      <w:r>
        <w:rPr>
          <w:rFonts w:eastAsia="仿宋_GB2312"/>
          <w:sz w:val="32"/>
          <w:szCs w:val="32"/>
        </w:rPr>
        <w:t>验证基础上无法确定变更管理类别</w:t>
      </w:r>
      <w:r>
        <w:rPr>
          <w:rFonts w:hint="eastAsia" w:eastAsia="仿宋_GB2312"/>
          <w:sz w:val="32"/>
          <w:szCs w:val="32"/>
          <w:lang w:eastAsia="zh-CN"/>
        </w:rPr>
        <w:t>、降低技术指导原则中明确的变更管理类别、降低已确认的变更管理类别</w:t>
      </w:r>
      <w:r>
        <w:rPr>
          <w:rFonts w:eastAsia="仿宋_GB2312"/>
          <w:sz w:val="32"/>
          <w:szCs w:val="32"/>
        </w:rPr>
        <w:t>的，</w:t>
      </w:r>
      <w:r>
        <w:rPr>
          <w:rFonts w:hint="eastAsia" w:eastAsia="仿宋_GB2312"/>
          <w:sz w:val="32"/>
          <w:szCs w:val="32"/>
        </w:rPr>
        <w:t>可</w:t>
      </w:r>
      <w:r>
        <w:rPr>
          <w:rFonts w:hint="eastAsia" w:eastAsia="仿宋_GB2312"/>
          <w:sz w:val="32"/>
          <w:szCs w:val="32"/>
          <w:lang w:eastAsia="zh-CN"/>
        </w:rPr>
        <w:t>向我局申请</w:t>
      </w:r>
      <w:r>
        <w:rPr>
          <w:rFonts w:eastAsia="仿宋_GB2312"/>
          <w:sz w:val="32"/>
          <w:szCs w:val="32"/>
        </w:rPr>
        <w:t>进行</w:t>
      </w:r>
      <w:r>
        <w:rPr>
          <w:rFonts w:hint="eastAsia" w:eastAsia="仿宋_GB2312"/>
          <w:sz w:val="32"/>
          <w:szCs w:val="32"/>
          <w:lang w:eastAsia="zh-CN"/>
        </w:rPr>
        <w:t>变更的</w:t>
      </w:r>
      <w:r>
        <w:rPr>
          <w:rFonts w:eastAsia="仿宋_GB2312"/>
          <w:sz w:val="32"/>
          <w:szCs w:val="32"/>
        </w:rPr>
        <w:t>沟通</w:t>
      </w:r>
      <w:r>
        <w:rPr>
          <w:rFonts w:hint="eastAsia" w:eastAsia="仿宋_GB2312"/>
          <w:sz w:val="32"/>
          <w:szCs w:val="32"/>
          <w:lang w:eastAsia="zh-CN"/>
        </w:rPr>
        <w:t>。</w:t>
      </w:r>
      <w:r>
        <w:rPr>
          <w:rFonts w:hint="eastAsia" w:eastAsia="仿宋_GB2312"/>
          <w:sz w:val="32"/>
          <w:szCs w:val="32"/>
          <w:lang w:val="en-US" w:eastAsia="zh-CN"/>
        </w:rPr>
        <w:t>沟通应提出书面申请，写明申请的事实、理由及依据，并附变更情形的研究、评估和必要的</w:t>
      </w:r>
      <w:r>
        <w:rPr>
          <w:rFonts w:hint="eastAsia" w:eastAsia="仿宋_GB2312"/>
          <w:color w:val="auto"/>
          <w:sz w:val="32"/>
          <w:szCs w:val="32"/>
          <w:lang w:val="en-US" w:eastAsia="zh-CN"/>
        </w:rPr>
        <w:t>验证情况</w:t>
      </w:r>
      <w:r>
        <w:rPr>
          <w:rFonts w:hint="eastAsia" w:eastAsia="仿宋_GB2312"/>
          <w:sz w:val="32"/>
          <w:szCs w:val="32"/>
          <w:lang w:val="en-US" w:eastAsia="zh-CN"/>
        </w:rPr>
        <w:t>等相关佐证材料。持有人的法定代表人应当在申请书上签署意见并加盖企业公章。</w:t>
      </w:r>
      <w:r>
        <w:rPr>
          <w:rFonts w:hint="eastAsia" w:ascii="仿宋_GB2312" w:hAnsi="仿宋_GB2312" w:eastAsia="仿宋_GB2312" w:cs="仿宋_GB2312"/>
          <w:sz w:val="32"/>
          <w:szCs w:val="32"/>
        </w:rPr>
        <w:t>持有人</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通过邮寄或电子邮件形式向我局提交沟通申请</w:t>
      </w:r>
      <w:r>
        <w:rPr>
          <w:rFonts w:hint="eastAsia" w:ascii="仿宋_GB2312" w:hAnsi="仿宋_GB2312" w:eastAsia="仿宋_GB2312" w:cs="仿宋_GB2312"/>
          <w:sz w:val="32"/>
          <w:szCs w:val="32"/>
          <w:lang w:eastAsia="zh-CN"/>
        </w:rPr>
        <w:t>。</w:t>
      </w:r>
    </w:p>
    <w:p>
      <w:pPr>
        <w:numPr>
          <w:ilvl w:val="0"/>
          <w:numId w:val="0"/>
        </w:numPr>
        <w:ind w:firstLine="640"/>
        <w:rPr>
          <w:rFonts w:hint="eastAsia" w:eastAsia="仿宋_GB2312"/>
          <w:sz w:val="32"/>
          <w:szCs w:val="32"/>
          <w:lang w:val="en-US" w:eastAsia="zh-CN"/>
        </w:rPr>
      </w:pPr>
      <w:r>
        <w:rPr>
          <w:rFonts w:hint="eastAsia" w:eastAsia="仿宋_GB2312"/>
          <w:sz w:val="32"/>
          <w:szCs w:val="32"/>
          <w:lang w:val="en-US" w:eastAsia="zh-CN"/>
        </w:rPr>
        <w:t>七、</w:t>
      </w:r>
      <w:r>
        <w:rPr>
          <w:rFonts w:hint="eastAsia" w:eastAsia="仿宋_GB2312"/>
          <w:sz w:val="32"/>
          <w:szCs w:val="32"/>
          <w:lang w:eastAsia="zh-CN"/>
        </w:rPr>
        <w:t>我局在收到沟通申请后</w:t>
      </w:r>
      <w:r>
        <w:rPr>
          <w:rFonts w:hint="eastAsia" w:eastAsia="仿宋_GB2312"/>
          <w:sz w:val="32"/>
          <w:szCs w:val="32"/>
          <w:lang w:val="en-US" w:eastAsia="zh-CN"/>
        </w:rPr>
        <w:t>5个工作日内对材料进行审核，符合条件的，书面</w:t>
      </w:r>
      <w:r>
        <w:rPr>
          <w:rFonts w:hint="eastAsia" w:ascii="仿宋_GB2312" w:hAnsi="仿宋_GB2312" w:eastAsia="仿宋_GB2312" w:cs="仿宋_GB2312"/>
          <w:sz w:val="32"/>
          <w:szCs w:val="32"/>
        </w:rPr>
        <w:t>通知申请人并</w:t>
      </w:r>
      <w:r>
        <w:rPr>
          <w:rFonts w:hint="eastAsia" w:ascii="仿宋_GB2312" w:hAnsi="仿宋_GB2312" w:eastAsia="仿宋_GB2312" w:cs="仿宋_GB2312"/>
          <w:sz w:val="32"/>
          <w:szCs w:val="32"/>
          <w:lang w:eastAsia="zh-CN"/>
        </w:rPr>
        <w:t>于</w:t>
      </w:r>
      <w:r>
        <w:rPr>
          <w:rFonts w:hint="eastAsia" w:eastAsia="仿宋_GB2312"/>
          <w:sz w:val="32"/>
          <w:szCs w:val="32"/>
          <w:lang w:val="en-US" w:eastAsia="zh-CN"/>
        </w:rPr>
        <w:t>审核后10内组织与申请人进行沟通，必要时可以邀请专家参加沟通，沟通结束后3个工作日</w:t>
      </w:r>
      <w:r>
        <w:rPr>
          <w:rFonts w:hint="eastAsia" w:eastAsia="仿宋_GB2312"/>
          <w:sz w:val="32"/>
          <w:szCs w:val="32"/>
        </w:rPr>
        <w:t>内</w:t>
      </w:r>
      <w:r>
        <w:rPr>
          <w:rFonts w:hint="eastAsia" w:eastAsia="仿宋_GB2312"/>
          <w:sz w:val="32"/>
          <w:szCs w:val="32"/>
          <w:lang w:eastAsia="zh-CN"/>
        </w:rPr>
        <w:t>予以</w:t>
      </w:r>
      <w:r>
        <w:rPr>
          <w:rFonts w:hint="eastAsia" w:eastAsia="仿宋_GB2312"/>
          <w:sz w:val="32"/>
          <w:szCs w:val="32"/>
        </w:rPr>
        <w:t>书面答复</w:t>
      </w:r>
      <w:r>
        <w:rPr>
          <w:rFonts w:hint="eastAsia" w:eastAsia="仿宋_GB2312"/>
          <w:sz w:val="32"/>
          <w:szCs w:val="32"/>
          <w:lang w:eastAsia="zh-CN"/>
        </w:rPr>
        <w:t>。沟通申请</w:t>
      </w:r>
      <w:r>
        <w:rPr>
          <w:rFonts w:hint="eastAsia" w:eastAsia="仿宋_GB2312"/>
          <w:sz w:val="32"/>
          <w:szCs w:val="32"/>
          <w:lang w:val="en-US" w:eastAsia="zh-CN"/>
        </w:rPr>
        <w:t>材料</w:t>
      </w:r>
      <w:r>
        <w:rPr>
          <w:rFonts w:hint="eastAsia" w:ascii="仿宋_GB2312" w:hAnsi="仿宋_GB2312" w:eastAsia="仿宋_GB2312" w:cs="仿宋_GB2312"/>
          <w:sz w:val="32"/>
          <w:szCs w:val="32"/>
        </w:rPr>
        <w:t>不符合要求的，书面通知申请人，并说明理由。</w:t>
      </w:r>
      <w:r>
        <w:rPr>
          <w:rFonts w:hint="eastAsia" w:eastAsia="仿宋_GB2312"/>
          <w:sz w:val="32"/>
          <w:szCs w:val="32"/>
          <w:lang w:val="en-US" w:eastAsia="zh-CN"/>
        </w:rPr>
        <w:t xml:space="preserve">                                                                                                                                                                                                                                                                                                                                                               </w:t>
      </w:r>
    </w:p>
    <w:p>
      <w:pPr>
        <w:numPr>
          <w:ilvl w:val="0"/>
          <w:numId w:val="0"/>
        </w:numPr>
        <w:ind w:firstLine="640"/>
        <w:rPr>
          <w:rFonts w:hint="eastAsia" w:eastAsia="仿宋_GB2312"/>
          <w:sz w:val="32"/>
          <w:szCs w:val="32"/>
          <w:lang w:eastAsia="zh-CN"/>
        </w:rPr>
      </w:pPr>
      <w:r>
        <w:rPr>
          <w:rFonts w:hint="eastAsia" w:eastAsia="仿宋_GB2312"/>
          <w:sz w:val="32"/>
          <w:szCs w:val="32"/>
          <w:lang w:val="en-US" w:eastAsia="zh-CN"/>
        </w:rPr>
        <w:t>八、辖区持有人向药品注册备案系统提交备案申请，我局在系统上签收备案资料后，即备案完成。备案完成后5个工作日内，备案信息在国家药监局官方网站上公示。</w:t>
      </w:r>
      <w:r>
        <w:rPr>
          <w:rFonts w:hint="eastAsia" w:ascii="仿宋_GB2312" w:hAnsi="仿宋_GB2312" w:eastAsia="仿宋_GB2312" w:cs="仿宋_GB2312"/>
          <w:sz w:val="32"/>
          <w:szCs w:val="32"/>
        </w:rPr>
        <w:t>持有人可通过国家药监局官方网站查询相关备案信息。对于不属于我局职能的备案事项或备案资料不符合要求的，我局将不予签收，</w:t>
      </w:r>
      <w:r>
        <w:rPr>
          <w:rFonts w:eastAsia="仿宋_GB2312"/>
          <w:sz w:val="32"/>
          <w:szCs w:val="32"/>
        </w:rPr>
        <w:t>书面告知申请人向有关部门申请</w:t>
      </w:r>
      <w:r>
        <w:rPr>
          <w:rFonts w:hint="eastAsia" w:eastAsia="仿宋_GB2312"/>
          <w:sz w:val="32"/>
          <w:szCs w:val="32"/>
          <w:lang w:eastAsia="zh-CN"/>
        </w:rPr>
        <w:t>，并说明理由。</w:t>
      </w:r>
      <w:r>
        <w:rPr>
          <w:rFonts w:hint="eastAsia" w:ascii="仿宋_GB2312" w:hAnsi="仿宋_GB2312" w:eastAsia="仿宋_GB2312" w:cs="仿宋_GB2312"/>
          <w:sz w:val="32"/>
          <w:szCs w:val="32"/>
        </w:rPr>
        <w:t>沟通意见一致的，持有人按相应规定实施；</w:t>
      </w:r>
      <w:r>
        <w:rPr>
          <w:rFonts w:hint="eastAsia" w:ascii="仿宋_GB2312" w:hAnsi="仿宋_GB2312" w:eastAsia="仿宋_GB2312" w:cs="仿宋_GB2312"/>
          <w:sz w:val="32"/>
          <w:szCs w:val="32"/>
          <w:lang w:eastAsia="zh-CN"/>
        </w:rPr>
        <w:t>沟通</w:t>
      </w:r>
      <w:r>
        <w:rPr>
          <w:rFonts w:hint="eastAsia" w:ascii="仿宋_GB2312" w:hAnsi="仿宋_GB2312" w:eastAsia="仿宋_GB2312" w:cs="仿宋_GB2312"/>
          <w:sz w:val="32"/>
          <w:szCs w:val="32"/>
        </w:rPr>
        <w:t>意见不一致的，持有人不得降低变更管理类别。同一药品的相同变更事项原则上仅组织1次</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沟通。</w:t>
      </w:r>
    </w:p>
    <w:p>
      <w:pPr>
        <w:numPr>
          <w:ilvl w:val="0"/>
          <w:numId w:val="0"/>
        </w:numPr>
        <w:rPr>
          <w:rFonts w:hint="eastAsia" w:eastAsia="仿宋_GB2312"/>
          <w:color w:val="FF0000"/>
          <w:sz w:val="32"/>
          <w:szCs w:val="32"/>
          <w:lang w:val="en-US" w:eastAsia="zh-CN"/>
        </w:rPr>
      </w:pPr>
      <w:r>
        <w:rPr>
          <w:rFonts w:hint="eastAsia" w:eastAsia="仿宋_GB2312"/>
          <w:sz w:val="32"/>
          <w:szCs w:val="32"/>
          <w:lang w:val="en-US" w:eastAsia="zh-CN"/>
        </w:rPr>
        <w:t xml:space="preserve">    九、我局</w:t>
      </w:r>
      <w:r>
        <w:rPr>
          <w:rFonts w:hint="eastAsia" w:eastAsia="仿宋_GB2312"/>
          <w:sz w:val="32"/>
          <w:szCs w:val="32"/>
        </w:rPr>
        <w:t>自备案完成之日起30日内</w:t>
      </w:r>
      <w:r>
        <w:rPr>
          <w:rFonts w:hint="eastAsia" w:eastAsia="仿宋_GB2312"/>
          <w:sz w:val="32"/>
          <w:szCs w:val="32"/>
          <w:lang w:eastAsia="zh-CN"/>
        </w:rPr>
        <w:t>组织</w:t>
      </w:r>
      <w:r>
        <w:rPr>
          <w:rFonts w:hint="eastAsia" w:eastAsia="仿宋_GB2312"/>
          <w:sz w:val="32"/>
          <w:szCs w:val="32"/>
        </w:rPr>
        <w:t>对</w:t>
      </w:r>
      <w:r>
        <w:rPr>
          <w:rFonts w:eastAsia="仿宋_GB2312"/>
          <w:sz w:val="32"/>
          <w:szCs w:val="32"/>
        </w:rPr>
        <w:t>备案</w:t>
      </w:r>
      <w:r>
        <w:rPr>
          <w:rFonts w:hint="eastAsia" w:eastAsia="仿宋_GB2312"/>
          <w:sz w:val="32"/>
          <w:szCs w:val="32"/>
        </w:rPr>
        <w:t>资料的审查</w:t>
      </w:r>
      <w:r>
        <w:rPr>
          <w:rFonts w:hint="eastAsia" w:eastAsia="仿宋_GB2312"/>
          <w:sz w:val="32"/>
          <w:szCs w:val="32"/>
          <w:lang w:eastAsia="zh-CN"/>
        </w:rPr>
        <w:t>，</w:t>
      </w:r>
      <w:r>
        <w:rPr>
          <w:rFonts w:hint="eastAsia" w:eastAsia="仿宋_GB2312"/>
          <w:color w:val="auto"/>
          <w:sz w:val="32"/>
          <w:szCs w:val="32"/>
          <w:lang w:eastAsia="zh-CN"/>
        </w:rPr>
        <w:t>对变更可能影响药品质量的，在</w:t>
      </w:r>
      <w:r>
        <w:rPr>
          <w:rFonts w:hint="eastAsia" w:eastAsia="仿宋_GB2312"/>
          <w:color w:val="auto"/>
          <w:sz w:val="32"/>
          <w:szCs w:val="32"/>
          <w:lang w:val="en-US" w:eastAsia="zh-CN"/>
        </w:rPr>
        <w:t>30日内组织开展现场检查，必要时抽样</w:t>
      </w:r>
      <w:r>
        <w:rPr>
          <w:rFonts w:hint="eastAsia" w:eastAsia="仿宋_GB2312"/>
          <w:color w:val="auto"/>
          <w:sz w:val="32"/>
          <w:szCs w:val="32"/>
          <w:lang w:eastAsia="zh-CN"/>
        </w:rPr>
        <w:t>检验；</w:t>
      </w:r>
      <w:r>
        <w:rPr>
          <w:rFonts w:hint="eastAsia" w:eastAsia="仿宋_GB2312"/>
          <w:color w:val="auto"/>
          <w:sz w:val="32"/>
          <w:szCs w:val="32"/>
          <w:lang w:val="en-US" w:eastAsia="zh-CN"/>
        </w:rPr>
        <w:t>不影响药品质量的，纳入日常监管计划。</w:t>
      </w:r>
    </w:p>
    <w:p>
      <w:pPr>
        <w:numPr>
          <w:ilvl w:val="0"/>
          <w:numId w:val="0"/>
        </w:numPr>
        <w:rPr>
          <w:rFonts w:eastAsia="仿宋_GB2312"/>
          <w:sz w:val="32"/>
          <w:szCs w:val="32"/>
        </w:rPr>
      </w:pPr>
      <w:r>
        <w:rPr>
          <w:rFonts w:hint="eastAsia" w:eastAsia="仿宋_GB2312"/>
          <w:b/>
          <w:bCs/>
          <w:sz w:val="32"/>
          <w:szCs w:val="32"/>
          <w:lang w:val="en-US" w:eastAsia="zh-CN"/>
        </w:rPr>
        <w:t xml:space="preserve">  </w:t>
      </w:r>
      <w:r>
        <w:rPr>
          <w:rFonts w:hint="eastAsia" w:eastAsia="仿宋_GB2312"/>
          <w:b w:val="0"/>
          <w:bCs w:val="0"/>
          <w:sz w:val="32"/>
          <w:szCs w:val="32"/>
          <w:lang w:val="en-US" w:eastAsia="zh-CN"/>
        </w:rPr>
        <w:t xml:space="preserve">  十、</w:t>
      </w:r>
      <w:r>
        <w:rPr>
          <w:rFonts w:hint="eastAsia" w:eastAsia="仿宋_GB2312"/>
          <w:b w:val="0"/>
          <w:bCs w:val="0"/>
          <w:sz w:val="32"/>
          <w:szCs w:val="32"/>
          <w:lang w:eastAsia="zh-CN"/>
        </w:rPr>
        <w:t>我</w:t>
      </w:r>
      <w:r>
        <w:rPr>
          <w:rFonts w:hint="eastAsia" w:eastAsia="仿宋_GB2312"/>
          <w:sz w:val="32"/>
          <w:szCs w:val="32"/>
          <w:lang w:eastAsia="zh-CN"/>
        </w:rPr>
        <w:t>局在备案现场检查、日常监管中</w:t>
      </w:r>
      <w:r>
        <w:rPr>
          <w:rFonts w:eastAsia="仿宋_GB2312"/>
          <w:sz w:val="32"/>
          <w:szCs w:val="32"/>
        </w:rPr>
        <w:t>发现持有人已实施</w:t>
      </w:r>
      <w:r>
        <w:rPr>
          <w:rFonts w:hint="eastAsia" w:eastAsia="仿宋_GB2312"/>
          <w:sz w:val="32"/>
          <w:szCs w:val="32"/>
        </w:rPr>
        <w:t>的备案或报告类</w:t>
      </w:r>
      <w:r>
        <w:rPr>
          <w:rFonts w:eastAsia="仿宋_GB2312"/>
          <w:sz w:val="32"/>
          <w:szCs w:val="32"/>
        </w:rPr>
        <w:t>变更的研究和验证结果不足以证明该变更科学、合理、风险可控</w:t>
      </w:r>
      <w:r>
        <w:rPr>
          <w:rFonts w:hint="eastAsia" w:eastAsia="仿宋_GB2312"/>
          <w:sz w:val="32"/>
          <w:szCs w:val="32"/>
          <w:lang w:eastAsia="zh-CN"/>
        </w:rPr>
        <w:t>，</w:t>
      </w:r>
      <w:r>
        <w:rPr>
          <w:rFonts w:eastAsia="仿宋_GB2312"/>
          <w:sz w:val="32"/>
          <w:szCs w:val="32"/>
        </w:rPr>
        <w:t>或者变更管理类别分类不当的，</w:t>
      </w:r>
      <w:r>
        <w:rPr>
          <w:rFonts w:hint="eastAsia" w:eastAsia="仿宋_GB2312"/>
          <w:sz w:val="32"/>
          <w:szCs w:val="32"/>
          <w:lang w:eastAsia="zh-CN"/>
        </w:rPr>
        <w:t>立即依法撤销备案。</w:t>
      </w:r>
      <w:r>
        <w:rPr>
          <w:rFonts w:eastAsia="仿宋_GB2312"/>
          <w:sz w:val="32"/>
          <w:szCs w:val="32"/>
        </w:rPr>
        <w:t>持有人</w:t>
      </w:r>
      <w:r>
        <w:rPr>
          <w:rFonts w:hint="eastAsia" w:eastAsia="仿宋_GB2312"/>
          <w:sz w:val="32"/>
          <w:szCs w:val="32"/>
          <w:lang w:eastAsia="zh-CN"/>
        </w:rPr>
        <w:t>应当及时</w:t>
      </w:r>
      <w:r>
        <w:rPr>
          <w:rFonts w:eastAsia="仿宋_GB2312"/>
          <w:sz w:val="32"/>
          <w:szCs w:val="32"/>
        </w:rPr>
        <w:t>改正并</w:t>
      </w:r>
      <w:r>
        <w:rPr>
          <w:rFonts w:hint="eastAsia" w:eastAsia="仿宋_GB2312"/>
          <w:sz w:val="32"/>
          <w:szCs w:val="32"/>
        </w:rPr>
        <w:t>按照改正后的管理类别重新提出申请，</w:t>
      </w:r>
      <w:r>
        <w:rPr>
          <w:rFonts w:eastAsia="仿宋_GB2312"/>
          <w:sz w:val="32"/>
          <w:szCs w:val="32"/>
        </w:rPr>
        <w:t>对已生产上市的药品开展风险评估，采取相应风险控制措施。</w:t>
      </w:r>
      <w:r>
        <w:rPr>
          <w:rFonts w:hint="eastAsia" w:eastAsia="仿宋_GB2312"/>
          <w:sz w:val="32"/>
          <w:szCs w:val="32"/>
          <w:lang w:eastAsia="zh-CN"/>
        </w:rPr>
        <w:t>涉嫌</w:t>
      </w:r>
      <w:r>
        <w:rPr>
          <w:rFonts w:hint="eastAsia" w:ascii="仿宋_GB2312" w:hAnsi="仿宋_GB2312" w:eastAsia="仿宋_GB2312" w:cs="仿宋_GB2312"/>
          <w:sz w:val="32"/>
          <w:szCs w:val="32"/>
        </w:rPr>
        <w:t>违法违规的，按有关规定处罚。</w:t>
      </w:r>
    </w:p>
    <w:p>
      <w:pPr>
        <w:numPr>
          <w:ilvl w:val="0"/>
          <w:numId w:val="0"/>
        </w:numPr>
        <w:rPr>
          <w:rFonts w:hint="eastAsia" w:eastAsia="仿宋_GB2312"/>
          <w:b/>
          <w:bCs/>
          <w:sz w:val="32"/>
          <w:szCs w:val="32"/>
          <w:lang w:val="en-US" w:eastAsia="zh-CN"/>
        </w:rPr>
      </w:pPr>
    </w:p>
    <w:p>
      <w:pPr>
        <w:numPr>
          <w:ilvl w:val="0"/>
          <w:numId w:val="0"/>
        </w:numPr>
        <w:ind w:firstLine="640"/>
        <w:rPr>
          <w:rFonts w:hint="eastAsia" w:eastAsia="仿宋_GB2312"/>
          <w:sz w:val="32"/>
          <w:szCs w:val="32"/>
          <w:lang w:val="en-US" w:eastAsia="zh-CN"/>
        </w:rPr>
      </w:pPr>
      <w:r>
        <w:rPr>
          <w:rFonts w:hint="eastAsia" w:eastAsia="仿宋_GB2312"/>
          <w:sz w:val="32"/>
          <w:szCs w:val="32"/>
          <w:lang w:val="en-US" w:eastAsia="zh-CN"/>
        </w:rPr>
        <w:t>特此通告。</w:t>
      </w:r>
    </w:p>
    <w:p>
      <w:pPr>
        <w:numPr>
          <w:ilvl w:val="0"/>
          <w:numId w:val="0"/>
        </w:numPr>
        <w:ind w:firstLine="640"/>
        <w:rPr>
          <w:rFonts w:hint="eastAsia" w:eastAsia="仿宋_GB2312"/>
          <w:sz w:val="32"/>
          <w:szCs w:val="32"/>
          <w:lang w:val="en-US" w:eastAsia="zh-CN"/>
        </w:rPr>
      </w:pPr>
    </w:p>
    <w:p>
      <w:pPr>
        <w:pStyle w:val="7"/>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eastAsia="仿宋_GB2312"/>
          <w:b w:val="0"/>
          <w:bCs w:val="0"/>
          <w:sz w:val="32"/>
          <w:szCs w:val="32"/>
          <w:lang w:val="en-US" w:eastAsia="zh-CN"/>
        </w:rPr>
        <w:t>附件：</w:t>
      </w:r>
      <w:r>
        <w:rPr>
          <w:rFonts w:hint="eastAsia" w:ascii="Times New Roman" w:hAnsi="Times New Roman" w:eastAsia="仿宋_GB2312" w:cs="Times New Roman"/>
          <w:b w:val="0"/>
          <w:bCs w:val="0"/>
          <w:color w:val="auto"/>
          <w:spacing w:val="-6"/>
          <w:kern w:val="2"/>
          <w:sz w:val="32"/>
          <w:szCs w:val="32"/>
          <w:lang w:val="en-US" w:eastAsia="zh-CN" w:bidi="ar-SA"/>
        </w:rPr>
        <w:t>1.贵州省药品上市后变更管理类别沟通交流申请表</w:t>
      </w:r>
    </w:p>
    <w:p>
      <w:pPr>
        <w:snapToGrid w:val="0"/>
        <w:spacing w:line="560" w:lineRule="exact"/>
        <w:jc w:val="left"/>
        <w:rPr>
          <w:rFonts w:hint="eastAsia" w:eastAsia="仿宋_GB2312"/>
          <w:sz w:val="32"/>
          <w:szCs w:val="32"/>
        </w:rPr>
      </w:pPr>
      <w:r>
        <w:rPr>
          <w:rFonts w:hint="eastAsia" w:ascii="Times New Roman" w:hAnsi="Times New Roman" w:eastAsia="仿宋_GB2312" w:cs="Times New Roman"/>
          <w:b w:val="0"/>
          <w:bCs w:val="0"/>
          <w:color w:val="auto"/>
          <w:spacing w:val="-6"/>
          <w:kern w:val="2"/>
          <w:sz w:val="32"/>
          <w:szCs w:val="32"/>
          <w:lang w:val="en-US" w:eastAsia="zh-CN" w:bidi="ar-SA"/>
        </w:rPr>
        <w:t xml:space="preserve">      2.贵州</w:t>
      </w:r>
      <w:r>
        <w:rPr>
          <w:rFonts w:hint="eastAsia" w:eastAsia="仿宋_GB2312" w:asciiTheme="minorHAnsi" w:hAnsiTheme="minorHAnsi" w:cstheme="minorBidi"/>
          <w:kern w:val="2"/>
          <w:sz w:val="32"/>
          <w:szCs w:val="32"/>
          <w:lang w:val="en-US" w:eastAsia="zh-CN" w:bidi="ar-SA"/>
        </w:rPr>
        <w:t>省药</w:t>
      </w:r>
      <w:r>
        <w:rPr>
          <w:rFonts w:hint="eastAsia" w:eastAsia="仿宋_GB2312"/>
          <w:sz w:val="32"/>
          <w:szCs w:val="32"/>
        </w:rPr>
        <w:t>品上市后变更管理类别沟通交流报送资料</w:t>
      </w:r>
    </w:p>
    <w:p>
      <w:pPr>
        <w:snapToGrid w:val="0"/>
        <w:spacing w:line="560" w:lineRule="exact"/>
        <w:jc w:val="left"/>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lang w:eastAsia="zh-CN"/>
        </w:rPr>
        <w:t>要求</w:t>
      </w:r>
    </w:p>
    <w:p>
      <w:pPr>
        <w:numPr>
          <w:ilvl w:val="0"/>
          <w:numId w:val="0"/>
        </w:numPr>
        <w:ind w:firstLine="640"/>
        <w:rPr>
          <w:rFonts w:hint="eastAsia" w:eastAsia="仿宋_GB2312"/>
          <w:b w:val="0"/>
          <w:bCs w:val="0"/>
          <w:sz w:val="32"/>
          <w:szCs w:val="32"/>
          <w:lang w:val="en-US" w:eastAsia="zh-CN"/>
        </w:rPr>
      </w:pPr>
      <w:r>
        <w:rPr>
          <w:rFonts w:hint="eastAsia" w:eastAsia="仿宋_GB2312"/>
          <w:b w:val="0"/>
          <w:bCs w:val="0"/>
          <w:sz w:val="32"/>
          <w:szCs w:val="32"/>
          <w:lang w:val="en-US" w:eastAsia="zh-CN"/>
        </w:rPr>
        <w:t xml:space="preserve">  3.贵州省药品上市后变更管理类别沟通交流意见                                                                                                                                                                                                                                                                                                                                                                                                                                                                                                                                                                                                                                                                                                                                                书</w:t>
      </w:r>
    </w:p>
    <w:p>
      <w:pPr>
        <w:numPr>
          <w:ilvl w:val="0"/>
          <w:numId w:val="0"/>
        </w:numPr>
        <w:ind w:firstLine="640"/>
        <w:rPr>
          <w:rFonts w:hint="eastAsia" w:eastAsia="仿宋_GB2312"/>
          <w:sz w:val="32"/>
          <w:szCs w:val="32"/>
          <w:lang w:val="en-US" w:eastAsia="zh-CN"/>
        </w:rPr>
      </w:pPr>
      <w:r>
        <w:rPr>
          <w:rFonts w:hint="eastAsia" w:eastAsia="仿宋_GB2312"/>
          <w:sz w:val="32"/>
          <w:szCs w:val="32"/>
          <w:lang w:val="en-US" w:eastAsia="zh-CN"/>
        </w:rPr>
        <w:t xml:space="preserve">   </w:t>
      </w:r>
    </w:p>
    <w:p>
      <w:pPr>
        <w:numPr>
          <w:ilvl w:val="0"/>
          <w:numId w:val="0"/>
        </w:numPr>
        <w:ind w:firstLine="640"/>
        <w:rPr>
          <w:rFonts w:hint="eastAsia" w:eastAsia="仿宋_GB2312"/>
          <w:sz w:val="32"/>
          <w:szCs w:val="32"/>
          <w:lang w:val="en-US" w:eastAsia="zh-CN"/>
        </w:rPr>
      </w:pPr>
      <w:r>
        <w:rPr>
          <w:rFonts w:hint="eastAsia" w:eastAsia="仿宋_GB2312"/>
          <w:sz w:val="32"/>
          <w:szCs w:val="32"/>
          <w:lang w:val="en-US" w:eastAsia="zh-CN"/>
        </w:rPr>
        <w:t xml:space="preserve">   </w:t>
      </w:r>
      <w:r>
        <w:rPr>
          <w:rFonts w:hint="eastAsia" w:eastAsia="仿宋_GB2312"/>
          <w:b/>
          <w:bCs/>
          <w:sz w:val="32"/>
          <w:szCs w:val="32"/>
          <w:lang w:val="en-US" w:eastAsia="zh-CN"/>
        </w:rPr>
        <w:t xml:space="preserve"> </w:t>
      </w:r>
    </w:p>
    <w:p>
      <w:pPr>
        <w:rPr>
          <w:rFonts w:hint="eastAsia" w:eastAsia="仿宋_GB2312"/>
          <w:sz w:val="32"/>
          <w:szCs w:val="32"/>
          <w:lang w:val="en-US" w:eastAsia="zh-CN"/>
        </w:rPr>
        <w:sectPr>
          <w:headerReference w:type="default" r:id="rId3"/>
          <w:footerReference w:type="default" r:id="rId4"/>
          <w:pgSz w:w="11906" w:h="16838"/>
          <w:pgMar w:top="1440" w:right="1800" w:bottom="1440" w:left="1800" w:header="851" w:footer="992" w:gutter="0"/>
          <w:cols w:space="425" w:num="1"/>
          <w:docGrid w:type="lines" w:linePitch="312" w:charSpace="0"/>
        </w:sectPr>
      </w:pPr>
      <w:r>
        <w:rPr>
          <w:rFonts w:hint="eastAsia" w:eastAsia="仿宋_GB2312"/>
          <w:sz w:val="32"/>
          <w:szCs w:val="32"/>
          <w:lang w:val="en-US" w:eastAsia="zh-CN"/>
        </w:rPr>
        <w:t xml:space="preserve"> </w:t>
      </w:r>
    </w:p>
    <w:p>
      <w:pPr>
        <w:rPr>
          <w:rFonts w:hint="eastAsia" w:eastAsia="仿宋_GB2312"/>
          <w:sz w:val="32"/>
          <w:szCs w:val="32"/>
          <w:lang w:val="en-US" w:eastAsia="zh-CN"/>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w:t>
      </w:r>
    </w:p>
    <w:p>
      <w:pPr>
        <w:pStyle w:val="7"/>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eastAsia="zh-CN"/>
        </w:rPr>
        <w:t>贵州</w:t>
      </w:r>
      <w:r>
        <w:rPr>
          <w:rFonts w:hint="eastAsia" w:ascii="方正小标宋简体" w:hAnsi="方正小标宋简体" w:eastAsia="方正小标宋简体" w:cs="方正小标宋简体"/>
          <w:w w:val="90"/>
          <w:sz w:val="44"/>
          <w:szCs w:val="44"/>
        </w:rPr>
        <w:t>省药品上市后变更管理类别沟通交流</w:t>
      </w:r>
    </w:p>
    <w:p>
      <w:pPr>
        <w:pStyle w:val="7"/>
        <w:jc w:val="center"/>
        <w:rPr>
          <w:rFonts w:ascii="方正小标宋_GBK" w:eastAsia="方正小标宋_GBK"/>
          <w:w w:val="90"/>
          <w:sz w:val="44"/>
          <w:szCs w:val="44"/>
        </w:rPr>
      </w:pPr>
      <w:r>
        <w:rPr>
          <w:rFonts w:hint="eastAsia" w:ascii="方正小标宋简体" w:hAnsi="方正小标宋简体" w:eastAsia="方正小标宋简体" w:cs="方正小标宋简体"/>
          <w:w w:val="90"/>
          <w:sz w:val="44"/>
          <w:szCs w:val="44"/>
        </w:rPr>
        <w:t>申请表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1346"/>
        <w:gridCol w:w="230"/>
        <w:gridCol w:w="1968"/>
        <w:gridCol w:w="17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ind w:firstLine="690" w:firstLineChars="300"/>
              <w:rPr>
                <w:rFonts w:hint="eastAsia" w:ascii="仿宋_GB2312" w:hAnsi="宋体" w:eastAsia="仿宋_GB2312"/>
                <w:sz w:val="23"/>
                <w:lang w:eastAsia="zh-CN"/>
              </w:rPr>
            </w:pPr>
            <w:r>
              <w:rPr>
                <w:rFonts w:hint="eastAsia" w:ascii="仿宋_GB2312" w:hAnsi="宋体" w:eastAsia="仿宋_GB2312"/>
                <w:sz w:val="23"/>
                <w:lang w:eastAsia="zh-CN"/>
              </w:rPr>
              <w:t>持有人名称</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pStyle w:val="7"/>
              <w:jc w:val="right"/>
              <w:rPr>
                <w:rFonts w:hint="default" w:ascii="仿宋_GB2312" w:hAnsi="宋体" w:eastAsia="仿宋_GB2312"/>
                <w:sz w:val="23"/>
              </w:rPr>
            </w:pPr>
            <w:r>
              <w:rPr>
                <w:rFonts w:hint="eastAsia" w:ascii="仿宋_GB2312" w:hAnsi="宋体" w:eastAsia="仿宋_GB2312"/>
                <w:sz w:val="23"/>
                <w:lang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ind w:firstLine="690" w:firstLineChars="300"/>
              <w:rPr>
                <w:rFonts w:hint="eastAsia" w:ascii="仿宋_GB2312" w:hAnsi="宋体" w:eastAsia="仿宋_GB2312"/>
                <w:sz w:val="23"/>
                <w:lang w:eastAsia="zh-CN"/>
              </w:rPr>
            </w:pPr>
            <w:r>
              <w:rPr>
                <w:rFonts w:hint="eastAsia" w:ascii="仿宋_GB2312" w:hAnsi="宋体" w:eastAsia="仿宋_GB2312"/>
                <w:sz w:val="23"/>
                <w:lang w:eastAsia="zh-CN"/>
              </w:rPr>
              <w:t>持有人地址</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ind w:firstLine="690" w:firstLineChars="300"/>
              <w:rPr>
                <w:rFonts w:hint="eastAsia" w:ascii="仿宋_GB2312" w:hAnsi="宋体" w:eastAsia="仿宋_GB2312"/>
                <w:sz w:val="23"/>
                <w:lang w:eastAsia="zh-CN"/>
              </w:rPr>
            </w:pPr>
            <w:r>
              <w:rPr>
                <w:rFonts w:hint="eastAsia" w:ascii="仿宋_GB2312" w:hAnsi="宋体" w:eastAsia="仿宋_GB2312"/>
                <w:sz w:val="23"/>
                <w:lang w:eastAsia="zh-CN"/>
              </w:rPr>
              <w:t>法定代表人</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pStyle w:val="7"/>
              <w:jc w:val="right"/>
              <w:rPr>
                <w:rFonts w:hint="default" w:ascii="仿宋_GB2312" w:hAnsi="宋体" w:eastAsia="仿宋_GB2312"/>
                <w:sz w:val="23"/>
              </w:rPr>
            </w:pPr>
            <w:r>
              <w:rPr>
                <w:rFonts w:hint="eastAsia" w:ascii="仿宋_GB2312" w:hAnsi="宋体" w:eastAsia="仿宋_GB2312"/>
                <w:sz w:val="23"/>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联系人</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c>
          <w:tcPr>
            <w:tcW w:w="2143" w:type="dxa"/>
            <w:gridSpan w:val="2"/>
            <w:tcBorders>
              <w:top w:val="single" w:color="auto" w:sz="4" w:space="0"/>
              <w:left w:val="single" w:color="auto" w:sz="4" w:space="0"/>
              <w:bottom w:val="single" w:color="auto" w:sz="4" w:space="0"/>
              <w:right w:val="single" w:color="auto" w:sz="4" w:space="0"/>
            </w:tcBorders>
            <w:vAlign w:val="center"/>
          </w:tcPr>
          <w:p>
            <w:pPr>
              <w:pStyle w:val="7"/>
              <w:ind w:firstLine="460" w:firstLineChars="200"/>
              <w:rPr>
                <w:rFonts w:hint="default" w:ascii="仿宋_GB2312" w:hAnsi="宋体" w:eastAsia="仿宋_GB2312"/>
                <w:sz w:val="23"/>
              </w:rPr>
            </w:pPr>
            <w:r>
              <w:rPr>
                <w:rFonts w:ascii="仿宋_GB2312" w:hAnsi="宋体" w:eastAsia="仿宋_GB2312"/>
                <w:sz w:val="23"/>
              </w:rPr>
              <w:t>联系电话</w:t>
            </w:r>
          </w:p>
        </w:tc>
        <w:tc>
          <w:tcPr>
            <w:tcW w:w="2143"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宋体" w:eastAsia="仿宋_GB2312"/>
                <w:sz w:val="23"/>
              </w:rPr>
            </w:pPr>
            <w:r>
              <w:rPr>
                <w:rFonts w:ascii="仿宋_GB2312" w:hAnsi="宋体" w:eastAsia="仿宋_GB2312"/>
                <w:sz w:val="23"/>
              </w:rPr>
              <w:t>职务</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c>
          <w:tcPr>
            <w:tcW w:w="2143" w:type="dxa"/>
            <w:gridSpan w:val="2"/>
            <w:tcBorders>
              <w:top w:val="single" w:color="auto" w:sz="4" w:space="0"/>
              <w:left w:val="single" w:color="auto" w:sz="4" w:space="0"/>
              <w:bottom w:val="single" w:color="auto" w:sz="4" w:space="0"/>
              <w:right w:val="single" w:color="auto" w:sz="4" w:space="0"/>
            </w:tcBorders>
            <w:vAlign w:val="center"/>
          </w:tcPr>
          <w:p>
            <w:pPr>
              <w:pStyle w:val="7"/>
              <w:ind w:firstLine="690" w:firstLineChars="300"/>
              <w:rPr>
                <w:rFonts w:hint="default" w:ascii="仿宋_GB2312" w:hAnsi="宋体" w:eastAsia="仿宋_GB2312"/>
                <w:sz w:val="23"/>
              </w:rPr>
            </w:pPr>
            <w:r>
              <w:rPr>
                <w:rFonts w:ascii="仿宋_GB2312" w:hAnsi="宋体" w:eastAsia="仿宋_GB2312"/>
                <w:sz w:val="23"/>
              </w:rPr>
              <w:t>E-mail</w:t>
            </w:r>
          </w:p>
        </w:tc>
        <w:tc>
          <w:tcPr>
            <w:tcW w:w="2143"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联系地址</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c>
          <w:tcPr>
            <w:tcW w:w="2143"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邮政编号</w:t>
            </w:r>
          </w:p>
        </w:tc>
        <w:tc>
          <w:tcPr>
            <w:tcW w:w="2143"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承诺</w:t>
            </w:r>
          </w:p>
        </w:tc>
        <w:tc>
          <w:tcPr>
            <w:tcW w:w="6713" w:type="dxa"/>
            <w:gridSpan w:val="6"/>
            <w:tcBorders>
              <w:top w:val="single" w:color="auto" w:sz="4" w:space="0"/>
              <w:left w:val="single" w:color="auto" w:sz="4" w:space="0"/>
              <w:bottom w:val="single" w:color="auto" w:sz="4" w:space="0"/>
              <w:right w:val="single" w:color="auto" w:sz="4" w:space="0"/>
            </w:tcBorders>
            <w:vAlign w:val="top"/>
          </w:tcPr>
          <w:p>
            <w:pPr>
              <w:pStyle w:val="7"/>
              <w:rPr>
                <w:rFonts w:hint="default" w:ascii="仿宋_GB2312" w:hAnsi="宋体" w:eastAsia="仿宋_GB2312"/>
                <w:sz w:val="22"/>
                <w:szCs w:val="32"/>
              </w:rPr>
            </w:pPr>
            <w:r>
              <w:rPr>
                <w:rFonts w:ascii="仿宋_GB2312" w:hAnsi="宋体" w:eastAsia="仿宋_GB2312"/>
                <w:sz w:val="22"/>
                <w:szCs w:val="32"/>
              </w:rPr>
              <w:t>我</w:t>
            </w:r>
            <w:r>
              <w:rPr>
                <w:rFonts w:hint="eastAsia" w:ascii="仿宋_GB2312" w:hAnsi="宋体" w:eastAsia="仿宋_GB2312"/>
                <w:sz w:val="22"/>
                <w:szCs w:val="32"/>
                <w:lang w:eastAsia="zh-CN"/>
              </w:rPr>
              <w:t>公司</w:t>
            </w:r>
            <w:r>
              <w:rPr>
                <w:rFonts w:ascii="仿宋_GB2312" w:hAnsi="宋体" w:eastAsia="仿宋_GB2312"/>
                <w:sz w:val="22"/>
                <w:szCs w:val="32"/>
              </w:rPr>
              <w:t xml:space="preserve">承诺： </w:t>
            </w:r>
          </w:p>
          <w:p>
            <w:pPr>
              <w:pStyle w:val="7"/>
              <w:rPr>
                <w:rFonts w:hint="default" w:ascii="仿宋_GB2312" w:hAnsi="宋体" w:eastAsia="仿宋_GB2312"/>
                <w:sz w:val="22"/>
                <w:szCs w:val="32"/>
              </w:rPr>
            </w:pPr>
            <w:r>
              <w:rPr>
                <w:rFonts w:ascii="仿宋_GB2312" w:hAnsi="宋体" w:eastAsia="仿宋_GB2312"/>
                <w:sz w:val="22"/>
                <w:szCs w:val="32"/>
              </w:rPr>
              <w:t>①本申请遵守《中华人民共和国药品管理法》《药品注册管理办法》《药品生产监督管理办法》和《药品上市后变更管理办法（试行）》等法律法规和规章、标准、指导原则和规范的有关规定；</w:t>
            </w:r>
          </w:p>
          <w:p>
            <w:pPr>
              <w:pStyle w:val="7"/>
              <w:rPr>
                <w:rFonts w:hint="default" w:ascii="仿宋_GB2312" w:hAnsi="宋体" w:eastAsia="仿宋_GB2312"/>
                <w:sz w:val="22"/>
                <w:szCs w:val="32"/>
              </w:rPr>
            </w:pPr>
            <w:r>
              <w:rPr>
                <w:rFonts w:ascii="仿宋_GB2312" w:hAnsi="宋体" w:eastAsia="仿宋_GB2312"/>
                <w:sz w:val="22"/>
                <w:szCs w:val="32"/>
              </w:rPr>
              <w:t>②本申请所提交资料、样品均真实且来源合法，药品研制全过程符合相关管理规范，信息真实、准确、完整和可追溯。申报事项未侵犯他人的权益，申报资料中除有参考文献的数据和研究资料外，其余数据和研究资料均为申请人自行取得或者合法取得；</w:t>
            </w:r>
          </w:p>
          <w:p>
            <w:pPr>
              <w:pStyle w:val="7"/>
              <w:rPr>
                <w:rFonts w:hint="default" w:ascii="仿宋_GB2312" w:hAnsi="宋体" w:eastAsia="仿宋_GB2312"/>
                <w:sz w:val="22"/>
                <w:szCs w:val="32"/>
              </w:rPr>
            </w:pPr>
            <w:r>
              <w:rPr>
                <w:rFonts w:ascii="仿宋_GB2312" w:hAnsi="宋体" w:eastAsia="仿宋_GB2312"/>
                <w:sz w:val="22"/>
                <w:szCs w:val="32"/>
              </w:rPr>
              <w:t>③本申请一并提交的电子文件与打印文件内容完全一致；</w:t>
            </w:r>
          </w:p>
          <w:p>
            <w:pPr>
              <w:pStyle w:val="7"/>
              <w:rPr>
                <w:rFonts w:hint="default" w:ascii="仿宋_GB2312" w:hAnsi="宋体" w:eastAsia="仿宋_GB2312"/>
                <w:sz w:val="18"/>
              </w:rPr>
            </w:pPr>
            <w:r>
              <w:rPr>
                <w:rFonts w:ascii="仿宋_GB2312" w:hAnsi="宋体" w:eastAsia="仿宋_GB2312"/>
                <w:sz w:val="22"/>
                <w:szCs w:val="32"/>
              </w:rPr>
              <w:t>以上声明如有不实之处，我们承担由此导致的一切法律后果。</w:t>
            </w:r>
            <w:r>
              <w:rPr>
                <w:rFonts w:ascii="仿宋_GB2312" w:hAnsi="宋体" w:eastAsia="仿宋_GB2312"/>
                <w:sz w:val="18"/>
              </w:rPr>
              <w:t xml:space="preserve"> </w:t>
            </w:r>
          </w:p>
          <w:p>
            <w:pPr>
              <w:pStyle w:val="7"/>
              <w:rPr>
                <w:rFonts w:hint="default" w:ascii="仿宋_GB2312" w:hAnsi="宋体" w:eastAsia="仿宋_GB2312"/>
                <w:sz w:val="18"/>
              </w:rPr>
            </w:pPr>
          </w:p>
          <w:p>
            <w:pPr>
              <w:pStyle w:val="7"/>
              <w:rPr>
                <w:rFonts w:hint="default" w:ascii="仿宋_GB2312" w:hAnsi="宋体" w:eastAsia="仿宋_GB2312"/>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药品名称</w:t>
            </w:r>
          </w:p>
        </w:tc>
        <w:tc>
          <w:tcPr>
            <w:tcW w:w="2197" w:type="dxa"/>
            <w:gridSpan w:val="2"/>
            <w:tcBorders>
              <w:top w:val="single" w:color="auto" w:sz="4" w:space="0"/>
              <w:left w:val="single" w:color="auto" w:sz="4" w:space="0"/>
              <w:bottom w:val="single" w:color="auto" w:sz="4" w:space="0"/>
              <w:right w:val="single" w:color="auto" w:sz="4" w:space="0"/>
            </w:tcBorders>
            <w:vAlign w:val="top"/>
          </w:tcPr>
          <w:p>
            <w:pPr>
              <w:pStyle w:val="7"/>
              <w:rPr>
                <w:rFonts w:hint="default" w:ascii="仿宋_GB2312" w:hAnsi="宋体" w:eastAsia="仿宋_GB2312"/>
                <w:sz w:val="44"/>
              </w:rPr>
            </w:pPr>
          </w:p>
        </w:tc>
        <w:tc>
          <w:tcPr>
            <w:tcW w:w="2198" w:type="dxa"/>
            <w:gridSpan w:val="2"/>
            <w:tcBorders>
              <w:top w:val="single" w:color="auto" w:sz="4" w:space="0"/>
              <w:left w:val="single" w:color="auto" w:sz="4" w:space="0"/>
              <w:bottom w:val="single" w:color="auto" w:sz="4" w:space="0"/>
              <w:right w:val="single" w:color="auto" w:sz="4" w:space="0"/>
            </w:tcBorders>
            <w:vAlign w:val="top"/>
          </w:tcPr>
          <w:p>
            <w:pPr>
              <w:pStyle w:val="7"/>
              <w:rPr>
                <w:rFonts w:hint="default" w:ascii="仿宋_GB2312" w:hAnsi="宋体" w:eastAsia="仿宋_GB2312"/>
                <w:sz w:val="23"/>
              </w:rPr>
            </w:pPr>
          </w:p>
          <w:p>
            <w:pPr>
              <w:pStyle w:val="7"/>
              <w:rPr>
                <w:rFonts w:hint="default" w:ascii="仿宋_GB2312" w:hAnsi="宋体" w:eastAsia="仿宋_GB2312"/>
                <w:sz w:val="23"/>
              </w:rPr>
            </w:pPr>
            <w:r>
              <w:rPr>
                <w:rFonts w:ascii="仿宋_GB2312" w:hAnsi="宋体" w:eastAsia="仿宋_GB2312"/>
                <w:sz w:val="23"/>
              </w:rPr>
              <w:t xml:space="preserve">批准文号（登记号） </w:t>
            </w:r>
          </w:p>
        </w:tc>
        <w:tc>
          <w:tcPr>
            <w:tcW w:w="2318" w:type="dxa"/>
            <w:gridSpan w:val="2"/>
            <w:tcBorders>
              <w:top w:val="single" w:color="auto" w:sz="4" w:space="0"/>
              <w:left w:val="single" w:color="auto" w:sz="4" w:space="0"/>
              <w:bottom w:val="single" w:color="auto" w:sz="4" w:space="0"/>
              <w:right w:val="single" w:color="auto" w:sz="4" w:space="0"/>
            </w:tcBorders>
            <w:vAlign w:val="top"/>
          </w:tcPr>
          <w:p>
            <w:pPr>
              <w:pStyle w:val="7"/>
              <w:rPr>
                <w:rFonts w:hint="default"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剂型</w:t>
            </w:r>
          </w:p>
        </w:tc>
        <w:tc>
          <w:tcPr>
            <w:tcW w:w="2197"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c>
          <w:tcPr>
            <w:tcW w:w="2198"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规格</w:t>
            </w:r>
          </w:p>
        </w:tc>
        <w:tc>
          <w:tcPr>
            <w:tcW w:w="2318"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持有人（或原料药登记人）</w:t>
            </w:r>
          </w:p>
        </w:tc>
        <w:tc>
          <w:tcPr>
            <w:tcW w:w="6713" w:type="dxa"/>
            <w:gridSpan w:val="6"/>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生产企业</w:t>
            </w:r>
          </w:p>
        </w:tc>
        <w:tc>
          <w:tcPr>
            <w:tcW w:w="6713" w:type="dxa"/>
            <w:gridSpan w:val="6"/>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生产地址</w:t>
            </w:r>
          </w:p>
        </w:tc>
        <w:tc>
          <w:tcPr>
            <w:tcW w:w="6713" w:type="dxa"/>
            <w:gridSpan w:val="6"/>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申请事由</w:t>
            </w:r>
          </w:p>
        </w:tc>
        <w:tc>
          <w:tcPr>
            <w:tcW w:w="6713" w:type="dxa"/>
            <w:gridSpan w:val="6"/>
            <w:tcBorders>
              <w:top w:val="single" w:color="auto" w:sz="4" w:space="0"/>
              <w:left w:val="single" w:color="auto" w:sz="4" w:space="0"/>
              <w:bottom w:val="single" w:color="auto" w:sz="4" w:space="0"/>
              <w:right w:val="single" w:color="auto" w:sz="4" w:space="0"/>
            </w:tcBorders>
            <w:vAlign w:val="center"/>
          </w:tcPr>
          <w:p>
            <w:pPr>
              <w:pStyle w:val="7"/>
              <w:jc w:val="both"/>
              <w:rPr>
                <w:rFonts w:hint="default" w:ascii="仿宋_GB2312" w:hAnsi="宋体" w:eastAsia="仿宋_GB2312"/>
                <w:sz w:val="23"/>
              </w:rPr>
            </w:pPr>
            <w:r>
              <w:rPr>
                <w:rFonts w:hAnsi="宋体" w:eastAsia="宋体"/>
                <w:sz w:val="23"/>
              </w:rPr>
              <w:t>□</w:t>
            </w:r>
            <w:r>
              <w:rPr>
                <w:rFonts w:ascii="仿宋_GB2312" w:hAnsi="宋体" w:eastAsia="仿宋_GB2312"/>
                <w:sz w:val="23"/>
              </w:rPr>
              <w:t>无法确定变更管理类别</w:t>
            </w:r>
          </w:p>
          <w:p>
            <w:pPr>
              <w:pStyle w:val="7"/>
              <w:jc w:val="both"/>
              <w:rPr>
                <w:rFonts w:hint="default" w:ascii="仿宋_GB2312" w:hAnsi="宋体" w:eastAsia="仿宋_GB2312"/>
                <w:sz w:val="23"/>
              </w:rPr>
            </w:pPr>
            <w:r>
              <w:rPr>
                <w:rFonts w:hAnsi="宋体" w:eastAsia="宋体"/>
                <w:sz w:val="23"/>
              </w:rPr>
              <w:t>□</w:t>
            </w:r>
            <w:r>
              <w:rPr>
                <w:rFonts w:ascii="仿宋_GB2312" w:hAnsi="宋体" w:eastAsia="仿宋_GB2312"/>
                <w:sz w:val="23"/>
              </w:rPr>
              <w:t>降低技术指导原则中明确的变更管理类别</w:t>
            </w:r>
          </w:p>
          <w:p>
            <w:pPr>
              <w:pStyle w:val="7"/>
              <w:jc w:val="both"/>
              <w:rPr>
                <w:rFonts w:hint="default" w:hAnsi="宋体"/>
                <w:sz w:val="44"/>
              </w:rPr>
            </w:pPr>
            <w:r>
              <w:rPr>
                <w:rFonts w:hAnsi="宋体" w:eastAsia="宋体"/>
                <w:sz w:val="23"/>
              </w:rPr>
              <w:t>□</w:t>
            </w:r>
            <w:r>
              <w:rPr>
                <w:rFonts w:ascii="仿宋_GB2312" w:hAnsi="宋体" w:eastAsia="仿宋_GB2312"/>
                <w:sz w:val="23"/>
              </w:rPr>
              <w:t>降低持有人变更清单中的变更管理类别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变更事项</w:t>
            </w:r>
          </w:p>
        </w:tc>
        <w:tc>
          <w:tcPr>
            <w:tcW w:w="6713" w:type="dxa"/>
            <w:gridSpan w:val="6"/>
            <w:tcBorders>
              <w:top w:val="single" w:color="auto" w:sz="4" w:space="0"/>
              <w:left w:val="single" w:color="auto" w:sz="4" w:space="0"/>
              <w:bottom w:val="single" w:color="auto" w:sz="4" w:space="0"/>
              <w:right w:val="single" w:color="auto" w:sz="4" w:space="0"/>
            </w:tcBorders>
            <w:vAlign w:val="center"/>
          </w:tcPr>
          <w:p>
            <w:pPr>
              <w:pStyle w:val="7"/>
              <w:jc w:val="both"/>
              <w:rPr>
                <w:rFonts w:hint="default" w:hAnsi="宋体"/>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8"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宋体" w:eastAsia="仿宋_GB2312"/>
                <w:sz w:val="23"/>
                <w:lang w:eastAsia="zh-CN"/>
              </w:rPr>
            </w:pPr>
            <w:r>
              <w:rPr>
                <w:rFonts w:hint="eastAsia" w:ascii="仿宋_GB2312" w:hAnsi="宋体" w:eastAsia="仿宋_GB2312"/>
                <w:sz w:val="23"/>
                <w:lang w:eastAsia="zh-CN"/>
              </w:rPr>
              <w:t>变更理由及依据</w:t>
            </w:r>
          </w:p>
          <w:p>
            <w:pPr>
              <w:pStyle w:val="7"/>
              <w:jc w:val="center"/>
              <w:rPr>
                <w:rFonts w:hint="default" w:ascii="仿宋_GB2312" w:hAnsi="宋体" w:eastAsia="仿宋_GB2312"/>
                <w:sz w:val="23"/>
              </w:rPr>
            </w:pPr>
            <w:r>
              <w:rPr>
                <w:rFonts w:hint="eastAsia" w:ascii="仿宋_GB2312" w:hAnsi="宋体" w:eastAsia="仿宋_GB2312"/>
                <w:sz w:val="23"/>
                <w:lang w:eastAsia="zh-CN"/>
              </w:rPr>
              <w:t>（</w:t>
            </w:r>
            <w:r>
              <w:rPr>
                <w:rFonts w:ascii="仿宋_GB2312" w:hAnsi="宋体" w:eastAsia="仿宋_GB2312"/>
                <w:sz w:val="23"/>
              </w:rPr>
              <w:t>简述变更内容及其研究验证过程和结果等</w:t>
            </w:r>
            <w:r>
              <w:rPr>
                <w:rFonts w:hint="eastAsia" w:ascii="仿宋_GB2312" w:hAnsi="宋体" w:eastAsia="仿宋_GB2312"/>
                <w:sz w:val="23"/>
                <w:lang w:eastAsia="zh-CN"/>
              </w:rPr>
              <w:t>）</w:t>
            </w:r>
          </w:p>
          <w:p>
            <w:pPr>
              <w:pStyle w:val="7"/>
              <w:jc w:val="center"/>
              <w:rPr>
                <w:rFonts w:hint="default" w:ascii="仿宋_GB2312" w:hAnsi="宋体" w:eastAsia="仿宋_GB2312"/>
                <w:sz w:val="23"/>
              </w:rPr>
            </w:pPr>
          </w:p>
        </w:tc>
        <w:tc>
          <w:tcPr>
            <w:tcW w:w="5862" w:type="dxa"/>
            <w:gridSpan w:val="5"/>
            <w:tcBorders>
              <w:top w:val="single" w:color="auto" w:sz="4" w:space="0"/>
              <w:left w:val="single" w:color="auto" w:sz="4" w:space="0"/>
              <w:bottom w:val="single" w:color="auto" w:sz="4" w:space="0"/>
              <w:right w:val="single" w:color="auto" w:sz="4" w:space="0"/>
            </w:tcBorders>
            <w:vAlign w:val="top"/>
          </w:tcPr>
          <w:p>
            <w:pPr>
              <w:pStyle w:val="7"/>
              <w:rPr>
                <w:rFonts w:hint="default" w:hAnsi="宋体"/>
                <w:sz w:val="44"/>
              </w:rPr>
            </w:pPr>
          </w:p>
          <w:p>
            <w:pPr>
              <w:pStyle w:val="7"/>
              <w:rPr>
                <w:rFonts w:hint="default" w:hAnsi="宋体"/>
                <w:sz w:val="44"/>
              </w:rPr>
            </w:pPr>
          </w:p>
          <w:p>
            <w:pPr>
              <w:pStyle w:val="7"/>
              <w:rPr>
                <w:rFonts w:hint="default"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p>
            <w:pPr>
              <w:pStyle w:val="7"/>
              <w:jc w:val="center"/>
              <w:rPr>
                <w:rFonts w:hint="default" w:ascii="仿宋_GB2312" w:hAnsi="宋体" w:eastAsia="仿宋_GB2312"/>
                <w:sz w:val="23"/>
              </w:rPr>
            </w:pPr>
            <w:r>
              <w:rPr>
                <w:rFonts w:ascii="仿宋_GB2312" w:hAnsi="宋体" w:eastAsia="仿宋_GB2312"/>
                <w:sz w:val="23"/>
              </w:rPr>
              <w:t>自评估变更类别结论</w:t>
            </w:r>
          </w:p>
          <w:p>
            <w:pPr>
              <w:pStyle w:val="7"/>
              <w:jc w:val="center"/>
              <w:rPr>
                <w:rFonts w:hint="default" w:ascii="仿宋_GB2312" w:hAnsi="宋体" w:eastAsia="仿宋_GB2312"/>
                <w:sz w:val="23"/>
              </w:rPr>
            </w:pPr>
          </w:p>
        </w:tc>
        <w:tc>
          <w:tcPr>
            <w:tcW w:w="5862" w:type="dxa"/>
            <w:gridSpan w:val="5"/>
            <w:tcBorders>
              <w:top w:val="single" w:color="auto" w:sz="4" w:space="0"/>
              <w:left w:val="single" w:color="auto" w:sz="4" w:space="0"/>
              <w:bottom w:val="single" w:color="auto" w:sz="4" w:space="0"/>
              <w:right w:val="single" w:color="auto" w:sz="4" w:space="0"/>
            </w:tcBorders>
            <w:vAlign w:val="top"/>
          </w:tcPr>
          <w:p>
            <w:pPr>
              <w:pStyle w:val="7"/>
              <w:rPr>
                <w:rFonts w:hint="default" w:ascii="仿宋_GB2312" w:hAnsi="宋体" w:eastAsia="仿宋_GB2312"/>
                <w:sz w:val="23"/>
              </w:rPr>
            </w:pPr>
          </w:p>
          <w:p>
            <w:pPr>
              <w:pStyle w:val="7"/>
              <w:rPr>
                <w:rFonts w:hint="default" w:ascii="仿宋_GB2312" w:hAnsi="宋体" w:eastAsia="仿宋_GB2312"/>
                <w:sz w:val="23"/>
              </w:rPr>
            </w:pPr>
          </w:p>
          <w:p>
            <w:pPr>
              <w:pStyle w:val="7"/>
              <w:rPr>
                <w:rFonts w:hint="default" w:ascii="仿宋_GB2312" w:hAnsi="宋体" w:eastAsia="仿宋_GB2312"/>
                <w:sz w:val="23"/>
              </w:rPr>
            </w:pPr>
          </w:p>
          <w:p>
            <w:pPr>
              <w:pStyle w:val="7"/>
              <w:rPr>
                <w:rFonts w:hint="default" w:ascii="仿宋_GB2312" w:hAnsi="宋体" w:eastAsia="仿宋_GB2312"/>
                <w:sz w:val="23"/>
              </w:rPr>
            </w:pPr>
          </w:p>
          <w:p>
            <w:pPr>
              <w:pStyle w:val="7"/>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拟申请沟通交流类型</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宋体"/>
                <w:sz w:val="23"/>
              </w:rPr>
              <w:t>□</w:t>
            </w:r>
            <w:r>
              <w:rPr>
                <w:rFonts w:hint="eastAsia" w:ascii="仿宋_GB2312" w:hAnsi="宋体" w:eastAsia="仿宋_GB2312"/>
                <w:sz w:val="23"/>
                <w:lang w:eastAsia="zh-CN"/>
              </w:rPr>
              <w:t>书面</w:t>
            </w:r>
            <w:r>
              <w:rPr>
                <w:rFonts w:ascii="仿宋_GB2312" w:hAnsi="宋体" w:eastAsia="仿宋_GB2312"/>
                <w:sz w:val="23"/>
              </w:rPr>
              <w:t>沟通</w:t>
            </w:r>
            <w:r>
              <w:rPr>
                <w:rFonts w:ascii="仿宋_GB2312" w:hAnsi="宋体" w:eastAsia="宋体"/>
                <w:sz w:val="23"/>
              </w:rPr>
              <w:t>□</w:t>
            </w:r>
            <w:r>
              <w:rPr>
                <w:rFonts w:ascii="仿宋_GB2312" w:hAnsi="宋体" w:eastAsia="仿宋_GB2312"/>
                <w:sz w:val="23"/>
              </w:rPr>
              <w:t>电话沟通</w:t>
            </w:r>
            <w:r>
              <w:rPr>
                <w:rFonts w:ascii="仿宋_GB2312" w:hAnsi="宋体" w:eastAsia="宋体"/>
                <w:sz w:val="23"/>
              </w:rPr>
              <w:t>□</w:t>
            </w:r>
            <w:r>
              <w:rPr>
                <w:rFonts w:ascii="仿宋_GB2312" w:hAnsi="宋体" w:eastAsia="仿宋_GB2312"/>
                <w:sz w:val="23"/>
              </w:rPr>
              <w:t>会议沟通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书面沟通意见回复类型</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宋体"/>
                <w:sz w:val="23"/>
              </w:rPr>
              <w:t>□</w:t>
            </w:r>
            <w:r>
              <w:rPr>
                <w:rFonts w:ascii="仿宋_GB2312" w:hAnsi="宋体" w:eastAsia="仿宋_GB2312"/>
                <w:sz w:val="23"/>
              </w:rPr>
              <w:t>邮件送达</w:t>
            </w:r>
            <w:r>
              <w:rPr>
                <w:rFonts w:ascii="仿宋_GB2312" w:hAnsi="宋体" w:eastAsia="宋体"/>
                <w:sz w:val="23"/>
              </w:rPr>
              <w:t>□</w:t>
            </w:r>
            <w:r>
              <w:rPr>
                <w:rFonts w:ascii="仿宋_GB2312" w:hAnsi="宋体" w:eastAsia="仿宋_GB2312"/>
                <w:sz w:val="23"/>
              </w:rPr>
              <w:t>邮寄送达</w:t>
            </w:r>
            <w:r>
              <w:rPr>
                <w:rFonts w:ascii="仿宋_GB2312" w:hAnsi="宋体" w:eastAsia="宋体"/>
                <w:sz w:val="23"/>
              </w:rPr>
              <w:t>□</w:t>
            </w:r>
            <w:r>
              <w:rPr>
                <w:rFonts w:ascii="仿宋_GB2312" w:hAnsi="宋体" w:eastAsia="仿宋_GB2312"/>
                <w:sz w:val="23"/>
              </w:rPr>
              <w:t>当面送达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申请参加沟通会议的人员及简要背景（如职务）</w:t>
            </w:r>
          </w:p>
        </w:tc>
        <w:tc>
          <w:tcPr>
            <w:tcW w:w="5862" w:type="dxa"/>
            <w:gridSpan w:val="5"/>
            <w:tcBorders>
              <w:top w:val="single" w:color="auto" w:sz="4" w:space="0"/>
              <w:left w:val="single" w:color="auto" w:sz="4" w:space="0"/>
              <w:bottom w:val="single" w:color="auto" w:sz="4" w:space="0"/>
              <w:right w:val="single" w:color="auto" w:sz="4" w:space="0"/>
            </w:tcBorders>
            <w:vAlign w:val="top"/>
          </w:tcPr>
          <w:p>
            <w:pPr>
              <w:pStyle w:val="7"/>
              <w:rPr>
                <w:rFonts w:hint="default" w:ascii="仿宋_GB2312" w:hAnsi="宋体" w:eastAsia="仿宋_GB2312"/>
                <w:sz w:val="23"/>
              </w:rPr>
            </w:pPr>
          </w:p>
          <w:p>
            <w:pPr>
              <w:pStyle w:val="7"/>
              <w:rPr>
                <w:rFonts w:hint="default" w:ascii="仿宋_GB2312" w:hAnsi="宋体" w:eastAsia="仿宋_GB2312"/>
                <w:sz w:val="23"/>
              </w:rPr>
            </w:pPr>
          </w:p>
          <w:p>
            <w:pPr>
              <w:pStyle w:val="7"/>
              <w:rPr>
                <w:rFonts w:hint="default" w:ascii="仿宋_GB2312" w:hAnsi="宋体" w:eastAsia="仿宋_GB2312"/>
                <w:sz w:val="23"/>
              </w:rPr>
            </w:pPr>
          </w:p>
          <w:p>
            <w:pPr>
              <w:pStyle w:val="7"/>
              <w:rPr>
                <w:rFonts w:hint="default" w:ascii="仿宋_GB2312" w:hAnsi="宋体" w:eastAsia="仿宋_GB2312"/>
                <w:sz w:val="23"/>
              </w:rPr>
            </w:pPr>
          </w:p>
        </w:tc>
      </w:tr>
    </w:tbl>
    <w:p>
      <w:pPr>
        <w:rPr>
          <w:rFonts w:hint="eastAsia" w:ascii="仿宋_GB2312" w:hAnsi="仿宋_GB2312" w:eastAsia="仿宋_GB2312" w:cs="仿宋_GB2312"/>
          <w:w w:val="90"/>
          <w:sz w:val="28"/>
          <w:szCs w:val="28"/>
          <w:lang w:eastAsia="zh-CN"/>
        </w:rPr>
      </w:pPr>
      <w:r>
        <w:rPr>
          <w:rFonts w:hint="eastAsia" w:ascii="仿宋_GB2312" w:hAnsi="仿宋_GB2312" w:eastAsia="仿宋_GB2312" w:cs="仿宋_GB2312"/>
          <w:sz w:val="28"/>
          <w:szCs w:val="28"/>
          <w:lang w:eastAsia="zh-CN"/>
        </w:rPr>
        <w:t>备注：《</w:t>
      </w:r>
      <w:r>
        <w:rPr>
          <w:rFonts w:hint="eastAsia" w:ascii="仿宋_GB2312" w:hAnsi="仿宋_GB2312" w:eastAsia="仿宋_GB2312" w:cs="仿宋_GB2312"/>
          <w:w w:val="90"/>
          <w:sz w:val="28"/>
          <w:szCs w:val="28"/>
          <w:lang w:eastAsia="zh-CN"/>
        </w:rPr>
        <w:t>贵州</w:t>
      </w:r>
      <w:r>
        <w:rPr>
          <w:rFonts w:hint="eastAsia" w:ascii="仿宋_GB2312" w:hAnsi="仿宋_GB2312" w:eastAsia="仿宋_GB2312" w:cs="仿宋_GB2312"/>
          <w:w w:val="90"/>
          <w:sz w:val="28"/>
          <w:szCs w:val="28"/>
        </w:rPr>
        <w:t>省药品上市后变更管理类别沟通交流申请表</w:t>
      </w:r>
      <w:r>
        <w:rPr>
          <w:rFonts w:hint="eastAsia" w:ascii="仿宋_GB2312" w:hAnsi="仿宋_GB2312" w:eastAsia="仿宋_GB2312" w:cs="仿宋_GB2312"/>
          <w:sz w:val="28"/>
          <w:szCs w:val="28"/>
          <w:lang w:eastAsia="zh-CN"/>
        </w:rPr>
        <w:t>》请直接通过邮箱提交，药化注册处邮箱为：</w:t>
      </w:r>
      <w:r>
        <w:rPr>
          <w:rFonts w:hint="eastAsia" w:ascii="仿宋_GB2312" w:hAnsi="仿宋_GB2312" w:eastAsia="仿宋_GB2312" w:cs="仿宋_GB2312"/>
          <w:w w:val="90"/>
          <w:sz w:val="28"/>
          <w:szCs w:val="28"/>
          <w:lang w:eastAsia="zh-CN"/>
        </w:rPr>
        <w:fldChar w:fldCharType="begin"/>
      </w:r>
      <w:r>
        <w:rPr>
          <w:rFonts w:hint="eastAsia" w:ascii="仿宋_GB2312" w:hAnsi="仿宋_GB2312" w:eastAsia="仿宋_GB2312" w:cs="仿宋_GB2312"/>
          <w:w w:val="90"/>
          <w:sz w:val="28"/>
          <w:szCs w:val="28"/>
          <w:lang w:eastAsia="zh-CN"/>
        </w:rPr>
        <w:instrText xml:space="preserve"> HYPERLINK "mailto:syjjyhzcc@guizhou.gov.cn。" </w:instrText>
      </w:r>
      <w:r>
        <w:rPr>
          <w:rFonts w:hint="eastAsia" w:ascii="仿宋_GB2312" w:hAnsi="仿宋_GB2312" w:eastAsia="仿宋_GB2312" w:cs="仿宋_GB2312"/>
          <w:w w:val="90"/>
          <w:sz w:val="28"/>
          <w:szCs w:val="28"/>
          <w:lang w:eastAsia="zh-CN"/>
        </w:rPr>
        <w:fldChar w:fldCharType="separate"/>
      </w:r>
      <w:r>
        <w:rPr>
          <w:rFonts w:hint="eastAsia" w:ascii="仿宋_GB2312" w:hAnsi="仿宋_GB2312" w:eastAsia="仿宋_GB2312" w:cs="仿宋_GB2312"/>
          <w:w w:val="90"/>
          <w:sz w:val="28"/>
          <w:szCs w:val="28"/>
          <w:lang w:eastAsia="zh-CN"/>
        </w:rPr>
        <w:t>syjjyhzcc@guizhou.gov.cn。</w:t>
      </w:r>
      <w:r>
        <w:rPr>
          <w:rFonts w:hint="eastAsia" w:ascii="仿宋_GB2312" w:hAnsi="仿宋_GB2312" w:eastAsia="仿宋_GB2312" w:cs="仿宋_GB2312"/>
          <w:w w:val="90"/>
          <w:sz w:val="28"/>
          <w:szCs w:val="28"/>
          <w:lang w:eastAsia="zh-CN"/>
        </w:rPr>
        <w:fldChar w:fldCharType="end"/>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附件2:</w:t>
      </w:r>
    </w:p>
    <w:p>
      <w:pPr>
        <w:snapToGrid w:val="0"/>
        <w:spacing w:line="560" w:lineRule="exact"/>
        <w:jc w:val="center"/>
        <w:rPr>
          <w:rFonts w:hint="eastAsia" w:ascii="方正小标宋_GBK" w:eastAsia="方正小标宋_GBK"/>
          <w:color w:val="000000"/>
          <w:w w:val="90"/>
          <w:kern w:val="0"/>
          <w:sz w:val="44"/>
          <w:szCs w:val="44"/>
        </w:rPr>
      </w:pPr>
      <w:r>
        <w:rPr>
          <w:rFonts w:hint="eastAsia" w:ascii="方正小标宋简体" w:hAnsi="方正小标宋简体" w:eastAsia="方正小标宋简体" w:cs="方正小标宋简体"/>
          <w:w w:val="90"/>
          <w:sz w:val="44"/>
          <w:szCs w:val="44"/>
          <w:lang w:eastAsia="zh-CN"/>
        </w:rPr>
        <w:t>贵州</w:t>
      </w:r>
      <w:r>
        <w:rPr>
          <w:rFonts w:hint="eastAsia" w:ascii="方正小标宋简体" w:hAnsi="方正小标宋简体" w:eastAsia="方正小标宋简体" w:cs="方正小标宋简体"/>
          <w:w w:val="90"/>
          <w:sz w:val="44"/>
          <w:szCs w:val="44"/>
        </w:rPr>
        <w:t>省药品上市后变更管理类别沟通交流报送</w:t>
      </w:r>
      <w:r>
        <w:rPr>
          <w:rFonts w:hint="eastAsia" w:ascii="方正小标宋简体" w:hAnsi="方正小标宋简体" w:eastAsia="方正小标宋简体" w:cs="方正小标宋简体"/>
          <w:color w:val="000000"/>
          <w:w w:val="90"/>
          <w:kern w:val="0"/>
          <w:sz w:val="44"/>
          <w:szCs w:val="44"/>
        </w:rPr>
        <w:t>资料</w:t>
      </w:r>
      <w:r>
        <w:rPr>
          <w:rFonts w:hint="eastAsia" w:ascii="方正小标宋简体" w:hAnsi="方正小标宋简体" w:eastAsia="方正小标宋简体" w:cs="方正小标宋简体"/>
          <w:color w:val="000000"/>
          <w:w w:val="90"/>
          <w:kern w:val="0"/>
          <w:sz w:val="44"/>
          <w:szCs w:val="44"/>
          <w:lang w:eastAsia="zh-CN"/>
        </w:rPr>
        <w:t>要</w:t>
      </w:r>
      <w:r>
        <w:rPr>
          <w:rFonts w:hint="eastAsia" w:ascii="方正小标宋简体" w:hAnsi="方正小标宋简体" w:eastAsia="方正小标宋简体" w:cs="方正小标宋简体"/>
          <w:w w:val="90"/>
          <w:sz w:val="44"/>
          <w:szCs w:val="44"/>
          <w:lang w:eastAsia="zh-CN"/>
        </w:rPr>
        <w:t>求</w:t>
      </w:r>
    </w:p>
    <w:p>
      <w:pPr>
        <w:snapToGrid w:val="0"/>
        <w:spacing w:line="560" w:lineRule="exact"/>
        <w:rPr>
          <w:rFonts w:eastAsia="仿宋_GB2312"/>
          <w:color w:val="000000"/>
          <w:sz w:val="32"/>
        </w:rPr>
      </w:pP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1.批准证明性文件：《药品生产许可证》、药品批准证明性文件、药品质量标准复印件、历次变更证明文件等。</w:t>
      </w: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2.变更基本信息概述：变更事项、变更原因、变更情况、变更前后对比研究、变更自评估等级和评估理由等。</w:t>
      </w:r>
    </w:p>
    <w:p>
      <w:pPr>
        <w:pStyle w:val="8"/>
        <w:snapToGrid w:val="0"/>
        <w:spacing w:line="600" w:lineRule="exact"/>
        <w:ind w:firstLine="640"/>
        <w:rPr>
          <w:rFonts w:hint="default"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3.持有人内部变更分类原则、变更管理工作程序、变更风险管理标准。</w:t>
      </w:r>
    </w:p>
    <w:p>
      <w:pPr>
        <w:pStyle w:val="8"/>
        <w:snapToGrid w:val="0"/>
        <w:spacing w:line="600" w:lineRule="exact"/>
        <w:ind w:firstLine="640"/>
        <w:rPr>
          <w:rFonts w:hint="default"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4.根据变更指导原则所做的研究与验证资料。</w:t>
      </w:r>
    </w:p>
    <w:p>
      <w:pPr>
        <w:pStyle w:val="8"/>
        <w:snapToGrid w:val="0"/>
        <w:spacing w:line="360" w:lineRule="auto"/>
        <w:ind w:firstLine="640"/>
        <w:rPr>
          <w:rFonts w:hint="default" w:ascii="Times New Roman" w:hAnsi="Times New Roman" w:eastAsia="仿宋_GB2312" w:cs="Times New Roman"/>
          <w:b w:val="0"/>
          <w:bCs w:val="0"/>
          <w:color w:val="auto"/>
          <w:spacing w:val="-6"/>
          <w:kern w:val="2"/>
          <w:sz w:val="32"/>
          <w:szCs w:val="32"/>
          <w:lang w:val="en-US" w:eastAsia="zh-CN" w:bidi="ar-SA"/>
        </w:rPr>
      </w:pPr>
    </w:p>
    <w:p>
      <w:pPr>
        <w:numPr>
          <w:ilvl w:val="0"/>
          <w:numId w:val="0"/>
        </w:numPr>
        <w:rPr>
          <w:rFonts w:hint="eastAsia" w:eastAsia="仿宋_GB2312"/>
          <w:sz w:val="32"/>
          <w:szCs w:val="32"/>
          <w:lang w:val="en-US" w:eastAsia="zh-CN"/>
        </w:rPr>
      </w:pPr>
      <w:r>
        <w:rPr>
          <w:rFonts w:hint="eastAsia" w:ascii="Times New Roman" w:hAnsi="Times New Roman" w:eastAsia="仿宋_GB2312" w:cs="Times New Roman"/>
          <w:b w:val="0"/>
          <w:bCs w:val="0"/>
          <w:color w:val="auto"/>
          <w:spacing w:val="-6"/>
          <w:kern w:val="2"/>
          <w:sz w:val="32"/>
          <w:szCs w:val="32"/>
          <w:lang w:val="en-US" w:eastAsia="zh-CN" w:bidi="ar-SA"/>
        </w:rPr>
        <w:t xml:space="preserve">                  </w:t>
      </w:r>
      <w:r>
        <w:rPr>
          <w:rFonts w:hint="eastAsia" w:eastAsia="仿宋_GB2312"/>
          <w:sz w:val="32"/>
          <w:szCs w:val="32"/>
          <w:lang w:val="en-US" w:eastAsia="zh-CN"/>
        </w:rPr>
        <w:t xml:space="preserve"> </w:t>
      </w:r>
    </w:p>
    <w:p>
      <w:pPr>
        <w:numPr>
          <w:ilvl w:val="0"/>
          <w:numId w:val="0"/>
        </w:numPr>
        <w:rPr>
          <w:rFonts w:hint="eastAsia" w:eastAsia="仿宋_GB2312"/>
          <w:sz w:val="32"/>
          <w:szCs w:val="32"/>
          <w:lang w:val="en-US" w:eastAsia="zh-CN"/>
        </w:rPr>
      </w:pPr>
    </w:p>
    <w:p>
      <w:pPr>
        <w:numPr>
          <w:ilvl w:val="0"/>
          <w:numId w:val="0"/>
        </w:numPr>
        <w:rPr>
          <w:rFonts w:hint="eastAsia" w:eastAsia="仿宋_GB2312"/>
          <w:sz w:val="32"/>
          <w:szCs w:val="32"/>
          <w:lang w:val="en-US" w:eastAsia="zh-CN"/>
        </w:rPr>
      </w:pPr>
    </w:p>
    <w:p>
      <w:pPr>
        <w:numPr>
          <w:ilvl w:val="0"/>
          <w:numId w:val="0"/>
        </w:numPr>
        <w:rPr>
          <w:rFonts w:hint="eastAsia" w:eastAsia="仿宋_GB2312"/>
          <w:sz w:val="32"/>
          <w:szCs w:val="32"/>
          <w:lang w:val="en-US" w:eastAsia="zh-CN"/>
        </w:rPr>
      </w:pPr>
    </w:p>
    <w:p>
      <w:pPr>
        <w:numPr>
          <w:ilvl w:val="0"/>
          <w:numId w:val="0"/>
        </w:numPr>
        <w:ind w:firstLine="640"/>
        <w:rPr>
          <w:rFonts w:hint="eastAsia" w:eastAsia="仿宋_GB2312"/>
          <w:b/>
          <w:bCs/>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eastAsia="仿宋_GB2312"/>
          <w:sz w:val="32"/>
          <w:szCs w:val="32"/>
          <w:lang w:val="en-US" w:eastAsia="zh-CN"/>
        </w:rPr>
        <w:t xml:space="preserve">                        </w:t>
      </w:r>
    </w:p>
    <w:p>
      <w:pPr>
        <w:jc w:val="both"/>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贵州省药品上市后变更管理类别沟通交流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意见书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根据《药品管理法》《药品注册管理办法》《药品上市后变更管理办法（试行）》规定，你公司于    年  月  日申请的    </w:t>
      </w:r>
      <w:r>
        <w:rPr>
          <w:rFonts w:hint="eastAsia" w:ascii="仿宋_GB2312" w:hAnsi="仿宋_GB2312" w:eastAsia="仿宋_GB2312" w:cs="仿宋_GB2312"/>
          <w:i w:val="0"/>
          <w:iCs w:val="0"/>
          <w:sz w:val="32"/>
          <w:szCs w:val="32"/>
          <w:lang w:val="en-US" w:eastAsia="zh-CN"/>
        </w:rPr>
        <w:t>药品（批准文号：   规格：  剂型：  ）</w:t>
      </w:r>
      <w:r>
        <w:rPr>
          <w:rFonts w:hint="eastAsia" w:ascii="仿宋_GB2312" w:hAnsi="仿宋_GB2312" w:eastAsia="仿宋_GB2312" w:cs="仿宋_GB2312"/>
          <w:sz w:val="32"/>
          <w:szCs w:val="32"/>
          <w:lang w:val="en-US" w:eastAsia="zh-CN"/>
        </w:rPr>
        <w:t>确定上市后变更管理类别事项，经我局组织沟通，确定该事项为：</w:t>
      </w: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 w:val="0"/>
          <w:bCs w:val="0"/>
          <w:color w:val="auto"/>
          <w:spacing w:val="-6"/>
          <w:kern w:val="2"/>
          <w:sz w:val="32"/>
          <w:szCs w:val="32"/>
          <w:lang w:val="en-US" w:eastAsia="zh-CN" w:bidi="ar-SA"/>
        </w:rPr>
        <w:t>1.向国家药品监管局提出审批或备案申请</w:t>
      </w: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  2.向省药品监管局提出备案申请</w:t>
      </w: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  3.年度报告</w:t>
      </w: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 xml:space="preserve"> </w:t>
      </w: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p>
    <w:p>
      <w:pPr>
        <w:snapToGrid w:val="0"/>
        <w:spacing w:line="600" w:lineRule="exact"/>
        <w:ind w:firstLine="616" w:firstLineChars="200"/>
        <w:jc w:val="right"/>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 xml:space="preserve"> 贵州省药品监督管理局</w:t>
      </w:r>
    </w:p>
    <w:p>
      <w:pPr>
        <w:wordWrap w:val="0"/>
        <w:snapToGrid w:val="0"/>
        <w:spacing w:line="600" w:lineRule="exact"/>
        <w:ind w:firstLine="616" w:firstLineChars="200"/>
        <w:jc w:val="right"/>
        <w:rPr>
          <w:rFonts w:hint="default"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年  月  日</w:t>
      </w:r>
      <w:r>
        <w:rPr>
          <w:rFonts w:hint="eastAsia" w:cs="Times New Roman"/>
          <w:b w:val="0"/>
          <w:bCs w:val="0"/>
          <w:color w:val="auto"/>
          <w:spacing w:val="-6"/>
          <w:kern w:val="2"/>
          <w:sz w:val="32"/>
          <w:szCs w:val="32"/>
          <w:lang w:val="en-US" w:eastAsia="zh-CN" w:bidi="ar-SA"/>
        </w:rPr>
        <w:t xml:space="preserve">     </w:t>
      </w: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本通知书一式2份，1份送药品上市许可持有人，1份存档</w:t>
      </w:r>
    </w:p>
    <w:p/>
    <w:sectPr>
      <w:headerReference w:type="default" r:id="rId5"/>
      <w:footerReference w:type="default" r:id="rId6"/>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思源黑体 CN Bold">
    <w:altName w:val="黑体"/>
    <w:panose1 w:val="020B0800000000000000"/>
    <w:charset w:val="86"/>
    <w:family w:val="auto"/>
    <w:pitch w:val="default"/>
    <w:sig w:usb0="00000000" w:usb1="00000000" w:usb2="00000016" w:usb3="00000000" w:csb0="60060107"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73034"/>
    <w:multiLevelType w:val="singleLevel"/>
    <w:tmpl w:val="6047303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83189"/>
    <w:rsid w:val="02F90C11"/>
    <w:rsid w:val="0568420D"/>
    <w:rsid w:val="19FA6751"/>
    <w:rsid w:val="1CAA3ABC"/>
    <w:rsid w:val="317B2261"/>
    <w:rsid w:val="49556A01"/>
    <w:rsid w:val="52B46976"/>
    <w:rsid w:val="55812D1C"/>
    <w:rsid w:val="5A0F06FE"/>
    <w:rsid w:val="5C096DCE"/>
    <w:rsid w:val="5F183189"/>
    <w:rsid w:val="7E6F4C04"/>
    <w:rsid w:val="ED7A8D0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 w:type="paragraph" w:customStyle="1" w:styleId="7">
    <w:name w:val="Default"/>
    <w:qFormat/>
    <w:uiPriority w:val="0"/>
    <w:pPr>
      <w:widowControl w:val="0"/>
      <w:autoSpaceDE w:val="0"/>
      <w:autoSpaceDN w:val="0"/>
    </w:pPr>
    <w:rPr>
      <w:rFonts w:hint="eastAsia" w:ascii="方正小标宋简体" w:hAnsi="Calibri" w:eastAsia="方正小标宋简体" w:cs="Times New Roman"/>
      <w:color w:val="000000"/>
      <w:sz w:val="24"/>
      <w:szCs w:val="22"/>
      <w:lang w:val="en-US" w:eastAsia="zh-CN"/>
    </w:rPr>
  </w:style>
  <w:style w:type="paragraph" w:customStyle="1" w:styleId="8">
    <w:name w:val="List Paragraph"/>
    <w:basedOn w:val="1"/>
    <w:qFormat/>
    <w:uiPriority w:val="0"/>
    <w:pPr>
      <w:ind w:firstLine="420" w:firstLineChars="200"/>
    </w:pPr>
    <w:rPr>
      <w:rFonts w:hint="eastAsia"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2021-03-10T16:37:00Z</dcterms:created>
  <dc:creator>lenovo</dc:creator>
  <cp:lastModifiedBy>AdministratorPC</cp:lastModifiedBy>
  <cp:lastPrinted>2021-03-16T11:11:00Z</cp:lastPrinted>
  <dcterms:modified xsi:type="dcterms:W3CDTF">2021-04-07T06:42:19Z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