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bookmarkStart w:name="_GoBack" w:id="0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新冠病毒核酸检测项目</w:t>
      </w:r>
      <w:r>
        <w:rPr>
          <w:rFonts w:ascii="Times New Roman" w:hAnsi="Times New Roman" w:eastAsia="方正小标宋简体"/>
          <w:bCs/>
          <w:sz w:val="44"/>
          <w:szCs w:val="44"/>
        </w:rPr>
        <w:t>价格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及医保支付标准表</w:t>
      </w:r>
    </w:p>
    <w:p>
      <w:pPr>
        <w:pStyle w:val="2"/>
        <w:rPr>
          <w:rFonts w:hint="eastAsia"/>
        </w:rPr>
      </w:pPr>
    </w:p>
    <w:tbl>
      <w:tblPr>
        <w:tblStyle w:val="4"/>
        <w:tblW w:w="14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16"/>
        <w:gridCol w:w="3390"/>
        <w:gridCol w:w="720"/>
        <w:gridCol w:w="712"/>
        <w:gridCol w:w="992"/>
        <w:gridCol w:w="2268"/>
        <w:gridCol w:w="992"/>
        <w:gridCol w:w="1134"/>
        <w:gridCol w:w="123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号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项目内涵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除外内容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计价单位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医保支付项目等级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医保增付比例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（%）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医保最高支付标准（元）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支付范围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新冠病毒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核酸检测</w:t>
            </w:r>
          </w:p>
        </w:tc>
        <w:tc>
          <w:tcPr>
            <w:tcW w:w="3390" w:type="dxa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样本类型：各种标本。样本采集、交接、签收、处理（根据标本类型不同进行相应的前处理），提取模板RNA，与阴、阳性对照及质控品同时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人份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根据疫情需要，按照市卫健部门技术要求和标准实施混合检测时，5</w:t>
            </w:r>
            <w:r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混检，每</w:t>
            </w:r>
            <w:r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  <w:t>人份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按不高于</w:t>
            </w:r>
            <w:r>
              <w:rPr>
                <w:rFonts w:hint="default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元收费。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1"/>
              </w:rPr>
              <w:t>0</w:t>
            </w:r>
          </w:p>
        </w:tc>
        <w:tc>
          <w:tcPr>
            <w:tcW w:w="12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1"/>
              </w:rPr>
              <w:t>0</w:t>
            </w:r>
          </w:p>
        </w:tc>
        <w:tc>
          <w:tcPr>
            <w:tcW w:w="129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新冠肺炎确诊患者或疑似患者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2021-12-06T08:21:15Z</dcterms:created>
  <dc:creator>tech-winning</dc:creator>
  <cp:lastModifiedBy>tech-winning</cp:lastModifiedBy>
  <dcterms:modified xsi:type="dcterms:W3CDTF">2021-12-06T08:22:22Z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BA01ED83ED2647CD9F281F35C725EDF3</vt:lpwstr>
  </property>
</Properties>
</file>