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8" w:lineRule="auto"/>
      </w:pPr>
      <w:r>
        <w:pict>
          <v:shape id="_x0000_s1026" o:spid="_x0000_s1026" o:spt="202" type="#_x0000_t202" style="position:absolute;left:0pt;margin-left:325.45pt;margin-top:693.4pt;height:53.35pt;width:128.6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20" w:line="593" w:lineRule="exact"/>
                    <w:jc w:val="right"/>
                    <w:rPr>
                      <w:rFonts w:ascii="仿宋" w:hAnsi="仿宋" w:eastAsia="仿宋" w:cs="仿宋"/>
                      <w:sz w:val="35"/>
                      <w:szCs w:val="35"/>
                    </w:rPr>
                  </w:pPr>
                  <w:r>
                    <w:rPr>
                      <w:rFonts w:ascii="仿宋" w:hAnsi="仿宋" w:eastAsia="仿宋" w:cs="仿宋"/>
                      <w:spacing w:val="-34"/>
                      <w:position w:val="17"/>
                      <w:sz w:val="35"/>
                      <w:szCs w:val="35"/>
                    </w:rPr>
                    <w:t>广东省医疗保障局</w:t>
                  </w:r>
                </w:p>
                <w:p>
                  <w:pPr>
                    <w:spacing w:line="222" w:lineRule="auto"/>
                    <w:ind w:left="200"/>
                    <w:rPr>
                      <w:rFonts w:ascii="仿宋" w:hAnsi="仿宋" w:eastAsia="仿宋" w:cs="仿宋"/>
                      <w:sz w:val="36"/>
                      <w:szCs w:val="36"/>
                    </w:rPr>
                  </w:pPr>
                  <w:r>
                    <w:rPr>
                      <w:rFonts w:ascii="仿宋" w:hAnsi="仿宋" w:eastAsia="仿宋" w:cs="仿宋"/>
                      <w:spacing w:val="-21"/>
                      <w:sz w:val="36"/>
                      <w:szCs w:val="36"/>
                    </w:rPr>
                    <w:t>2024年4月11日</w:t>
                  </w:r>
                </w:p>
              </w:txbxContent>
            </v:textbox>
          </v:shape>
        </w:pict>
      </w:r>
    </w:p>
    <w:p>
      <w:pPr>
        <w:pStyle w:val="2"/>
        <w:spacing w:line="258" w:lineRule="auto"/>
      </w:pPr>
    </w:p>
    <w:p>
      <w:pPr>
        <w:pStyle w:val="2"/>
        <w:spacing w:line="258"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259" w:lineRule="auto"/>
      </w:pPr>
    </w:p>
    <w:p>
      <w:pPr>
        <w:pStyle w:val="2"/>
        <w:spacing w:line="308" w:lineRule="auto"/>
      </w:pPr>
    </w:p>
    <w:p>
      <w:pPr>
        <w:pStyle w:val="2"/>
        <w:spacing w:line="308" w:lineRule="auto"/>
      </w:pPr>
    </w:p>
    <w:p>
      <w:pPr>
        <w:spacing w:before="153" w:line="224" w:lineRule="auto"/>
        <w:ind w:left="2016" w:right="578" w:hanging="1540"/>
        <w:rPr>
          <w:rFonts w:ascii="宋体" w:hAnsi="宋体" w:eastAsia="宋体" w:cs="宋体"/>
          <w:sz w:val="47"/>
          <w:szCs w:val="47"/>
        </w:rPr>
      </w:pPr>
      <w:r>
        <w:rPr>
          <w:rFonts w:ascii="宋体" w:hAnsi="宋体" w:eastAsia="宋体" w:cs="宋体"/>
          <w:b/>
          <w:bCs/>
          <w:spacing w:val="-33"/>
          <w:sz w:val="47"/>
          <w:szCs w:val="47"/>
        </w:rPr>
        <w:t>广东省医疗保障局关于印发新增医疗服务</w:t>
      </w:r>
      <w:r>
        <w:rPr>
          <w:rFonts w:ascii="宋体" w:hAnsi="宋体" w:eastAsia="宋体" w:cs="宋体"/>
          <w:spacing w:val="2"/>
          <w:sz w:val="47"/>
          <w:szCs w:val="47"/>
        </w:rPr>
        <w:t xml:space="preserve"> </w:t>
      </w:r>
      <w:r>
        <w:rPr>
          <w:rFonts w:ascii="宋体" w:hAnsi="宋体" w:eastAsia="宋体" w:cs="宋体"/>
          <w:b/>
          <w:bCs/>
          <w:spacing w:val="-28"/>
          <w:sz w:val="47"/>
          <w:szCs w:val="47"/>
        </w:rPr>
        <w:t>价格项目管理办法的通知</w:t>
      </w:r>
    </w:p>
    <w:p>
      <w:pPr>
        <w:pStyle w:val="2"/>
        <w:spacing w:line="318" w:lineRule="auto"/>
      </w:pPr>
    </w:p>
    <w:p>
      <w:pPr>
        <w:pStyle w:val="2"/>
        <w:spacing w:line="319" w:lineRule="auto"/>
      </w:pPr>
    </w:p>
    <w:p>
      <w:pPr>
        <w:spacing w:before="114" w:line="221" w:lineRule="auto"/>
        <w:rPr>
          <w:rFonts w:ascii="仿宋" w:hAnsi="仿宋" w:eastAsia="仿宋" w:cs="仿宋"/>
          <w:sz w:val="35"/>
          <w:szCs w:val="35"/>
        </w:rPr>
      </w:pPr>
      <w:r>
        <w:rPr>
          <w:rFonts w:ascii="仿宋" w:hAnsi="仿宋" w:eastAsia="仿宋" w:cs="仿宋"/>
          <w:spacing w:val="-29"/>
          <w:sz w:val="35"/>
          <w:szCs w:val="35"/>
        </w:rPr>
        <w:t>各地级以上市医疗保障局：</w:t>
      </w:r>
    </w:p>
    <w:p>
      <w:pPr>
        <w:spacing w:before="179" w:line="322" w:lineRule="auto"/>
        <w:ind w:right="199" w:firstLine="689"/>
        <w:jc w:val="both"/>
        <w:rPr>
          <w:rFonts w:ascii="仿宋" w:hAnsi="仿宋" w:eastAsia="仿宋" w:cs="仿宋"/>
          <w:sz w:val="35"/>
          <w:szCs w:val="35"/>
        </w:rPr>
      </w:pPr>
      <w:r>
        <w:rPr>
          <w:rFonts w:ascii="仿宋" w:hAnsi="仿宋" w:eastAsia="仿宋" w:cs="仿宋"/>
          <w:spacing w:val="-25"/>
          <w:sz w:val="35"/>
          <w:szCs w:val="35"/>
        </w:rPr>
        <w:t>为规范新增医疗服务价格项目管理工作，根据国家</w:t>
      </w:r>
      <w:r>
        <w:rPr>
          <w:rFonts w:ascii="仿宋" w:hAnsi="仿宋" w:eastAsia="仿宋" w:cs="仿宋"/>
          <w:spacing w:val="-26"/>
          <w:sz w:val="35"/>
          <w:szCs w:val="35"/>
        </w:rPr>
        <w:t>和省医</w:t>
      </w:r>
      <w:r>
        <w:rPr>
          <w:rFonts w:ascii="仿宋" w:hAnsi="仿宋" w:eastAsia="仿宋" w:cs="仿宋"/>
          <w:sz w:val="35"/>
          <w:szCs w:val="35"/>
        </w:rPr>
        <w:t xml:space="preserve"> </w:t>
      </w:r>
      <w:r>
        <w:rPr>
          <w:rFonts w:ascii="仿宋" w:hAnsi="仿宋" w:eastAsia="仿宋" w:cs="仿宋"/>
          <w:spacing w:val="-24"/>
          <w:sz w:val="35"/>
          <w:szCs w:val="35"/>
        </w:rPr>
        <w:t>疗服务价格管理有关规定，我局制定了《广东省医疗保</w:t>
      </w:r>
      <w:r>
        <w:rPr>
          <w:rFonts w:ascii="仿宋" w:hAnsi="仿宋" w:eastAsia="仿宋" w:cs="仿宋"/>
          <w:spacing w:val="-25"/>
          <w:sz w:val="35"/>
          <w:szCs w:val="35"/>
        </w:rPr>
        <w:t>障局新</w:t>
      </w:r>
    </w:p>
    <w:p>
      <w:pPr>
        <w:spacing w:line="220" w:lineRule="auto"/>
        <w:rPr>
          <w:rFonts w:ascii="仿宋" w:hAnsi="仿宋" w:eastAsia="仿宋" w:cs="仿宋"/>
          <w:sz w:val="35"/>
          <w:szCs w:val="35"/>
        </w:rPr>
      </w:pPr>
      <w:r>
        <w:rPr>
          <w:rFonts w:ascii="仿宋" w:hAnsi="仿宋" w:eastAsia="仿宋" w:cs="仿宋"/>
          <w:spacing w:val="-24"/>
          <w:sz w:val="35"/>
          <w:szCs w:val="35"/>
        </w:rPr>
        <w:t>增医疗服务价格项目管理办法》,现印发给你们，请遵</w:t>
      </w:r>
      <w:r>
        <w:rPr>
          <w:rFonts w:ascii="仿宋" w:hAnsi="仿宋" w:eastAsia="仿宋" w:cs="仿宋"/>
          <w:spacing w:val="-25"/>
          <w:sz w:val="35"/>
          <w:szCs w:val="35"/>
        </w:rPr>
        <w:t>照执行。</w:t>
      </w:r>
    </w:p>
    <w:p>
      <w:pPr>
        <w:pStyle w:val="2"/>
        <w:spacing w:line="260" w:lineRule="auto"/>
      </w:pPr>
    </w:p>
    <w:p>
      <w:pPr>
        <w:pStyle w:val="2"/>
        <w:spacing w:line="260" w:lineRule="auto"/>
      </w:pPr>
    </w:p>
    <w:p>
      <w:pPr>
        <w:pStyle w:val="2"/>
        <w:spacing w:line="260" w:lineRule="auto"/>
      </w:pPr>
    </w:p>
    <w:p>
      <w:pPr>
        <w:spacing w:line="2640" w:lineRule="exact"/>
        <w:ind w:firstLine="5119"/>
      </w:pPr>
      <w:bookmarkStart w:id="0" w:name="_GoBack"/>
      <w:bookmarkEnd w:id="0"/>
    </w:p>
    <w:p>
      <w:pPr>
        <w:spacing w:line="2640" w:lineRule="exact"/>
        <w:sectPr>
          <w:footerReference r:id="rId5" w:type="default"/>
          <w:pgSz w:w="12180" w:h="16910"/>
          <w:pgMar w:top="1437" w:right="1827" w:bottom="1505" w:left="1340" w:header="0" w:footer="1187" w:gutter="0"/>
          <w:cols w:space="720" w:num="1"/>
        </w:sectPr>
      </w:pPr>
    </w:p>
    <w:p>
      <w:pPr>
        <w:pStyle w:val="2"/>
        <w:spacing w:line="328" w:lineRule="auto"/>
      </w:pPr>
    </w:p>
    <w:p>
      <w:pPr>
        <w:pStyle w:val="2"/>
        <w:spacing w:line="329" w:lineRule="auto"/>
      </w:pPr>
    </w:p>
    <w:p>
      <w:pPr>
        <w:spacing w:before="143" w:line="234" w:lineRule="auto"/>
        <w:ind w:left="2726" w:right="1205" w:hanging="1320"/>
        <w:rPr>
          <w:rFonts w:ascii="宋体" w:hAnsi="宋体" w:eastAsia="宋体" w:cs="宋体"/>
          <w:sz w:val="44"/>
          <w:szCs w:val="44"/>
        </w:rPr>
      </w:pPr>
      <w:r>
        <w:rPr>
          <w:rFonts w:ascii="宋体" w:hAnsi="宋体" w:eastAsia="宋体" w:cs="宋体"/>
          <w:b/>
          <w:bCs/>
          <w:spacing w:val="-4"/>
          <w:sz w:val="44"/>
          <w:szCs w:val="44"/>
        </w:rPr>
        <w:t>广东省医疗保障局新增医疗服务</w:t>
      </w:r>
      <w:r>
        <w:rPr>
          <w:rFonts w:ascii="宋体" w:hAnsi="宋体" w:eastAsia="宋体" w:cs="宋体"/>
          <w:spacing w:val="8"/>
          <w:sz w:val="44"/>
          <w:szCs w:val="44"/>
        </w:rPr>
        <w:t xml:space="preserve"> </w:t>
      </w:r>
      <w:r>
        <w:rPr>
          <w:rFonts w:ascii="宋体" w:hAnsi="宋体" w:eastAsia="宋体" w:cs="宋体"/>
          <w:b/>
          <w:bCs/>
          <w:spacing w:val="-5"/>
          <w:sz w:val="44"/>
          <w:szCs w:val="44"/>
        </w:rPr>
        <w:t>价格项目管理办法</w:t>
      </w:r>
    </w:p>
    <w:p>
      <w:pPr>
        <w:pStyle w:val="2"/>
        <w:spacing w:line="341" w:lineRule="auto"/>
      </w:pPr>
    </w:p>
    <w:p>
      <w:pPr>
        <w:pStyle w:val="2"/>
        <w:spacing w:line="342" w:lineRule="auto"/>
      </w:pPr>
    </w:p>
    <w:p>
      <w:pPr>
        <w:spacing w:before="101" w:line="219" w:lineRule="auto"/>
        <w:ind w:left="3434"/>
        <w:rPr>
          <w:rFonts w:ascii="宋体" w:hAnsi="宋体" w:eastAsia="宋体" w:cs="宋体"/>
          <w:sz w:val="31"/>
          <w:szCs w:val="31"/>
        </w:rPr>
      </w:pPr>
      <w:r>
        <w:rPr>
          <w:rFonts w:ascii="宋体" w:hAnsi="宋体" w:eastAsia="宋体" w:cs="宋体"/>
          <w:b/>
          <w:bCs/>
          <w:sz w:val="31"/>
          <w:szCs w:val="31"/>
        </w:rPr>
        <w:t>第</w:t>
      </w:r>
      <w:r>
        <w:rPr>
          <w:rFonts w:ascii="宋体" w:hAnsi="宋体" w:eastAsia="宋体" w:cs="宋体"/>
          <w:spacing w:val="-68"/>
          <w:sz w:val="31"/>
          <w:szCs w:val="31"/>
        </w:rPr>
        <w:t xml:space="preserve"> </w:t>
      </w:r>
      <w:r>
        <w:rPr>
          <w:rFonts w:ascii="宋体" w:hAnsi="宋体" w:eastAsia="宋体" w:cs="宋体"/>
          <w:b/>
          <w:bCs/>
          <w:sz w:val="31"/>
          <w:szCs w:val="31"/>
        </w:rPr>
        <w:t>一</w:t>
      </w:r>
      <w:r>
        <w:rPr>
          <w:rFonts w:ascii="宋体" w:hAnsi="宋体" w:eastAsia="宋体" w:cs="宋体"/>
          <w:spacing w:val="-62"/>
          <w:sz w:val="31"/>
          <w:szCs w:val="31"/>
        </w:rPr>
        <w:t xml:space="preserve"> </w:t>
      </w:r>
      <w:r>
        <w:rPr>
          <w:rFonts w:ascii="宋体" w:hAnsi="宋体" w:eastAsia="宋体" w:cs="宋体"/>
          <w:b/>
          <w:bCs/>
          <w:sz w:val="31"/>
          <w:szCs w:val="31"/>
        </w:rPr>
        <w:t>章总</w:t>
      </w:r>
      <w:r>
        <w:rPr>
          <w:rFonts w:ascii="宋体" w:hAnsi="宋体" w:eastAsia="宋体" w:cs="宋体"/>
          <w:spacing w:val="1"/>
          <w:sz w:val="31"/>
          <w:szCs w:val="31"/>
        </w:rPr>
        <w:t xml:space="preserve">  </w:t>
      </w:r>
      <w:r>
        <w:rPr>
          <w:rFonts w:ascii="宋体" w:hAnsi="宋体" w:eastAsia="宋体" w:cs="宋体"/>
          <w:b/>
          <w:bCs/>
          <w:sz w:val="31"/>
          <w:szCs w:val="31"/>
        </w:rPr>
        <w:t>则</w:t>
      </w:r>
    </w:p>
    <w:p>
      <w:pPr>
        <w:pStyle w:val="2"/>
        <w:spacing w:line="322" w:lineRule="auto"/>
      </w:pPr>
    </w:p>
    <w:p>
      <w:pPr>
        <w:pStyle w:val="2"/>
        <w:spacing w:line="323" w:lineRule="auto"/>
      </w:pPr>
    </w:p>
    <w:p>
      <w:pPr>
        <w:spacing w:before="101" w:line="357" w:lineRule="auto"/>
        <w:ind w:left="4" w:firstLine="719"/>
        <w:jc w:val="both"/>
        <w:rPr>
          <w:rFonts w:ascii="仿宋" w:hAnsi="仿宋" w:eastAsia="仿宋" w:cs="仿宋"/>
          <w:sz w:val="31"/>
          <w:szCs w:val="31"/>
        </w:rPr>
      </w:pPr>
      <w:r>
        <w:rPr>
          <w:rFonts w:ascii="黑体" w:hAnsi="黑体" w:eastAsia="黑体" w:cs="黑体"/>
          <w:b/>
          <w:bCs/>
          <w:spacing w:val="3"/>
          <w:sz w:val="31"/>
          <w:szCs w:val="31"/>
        </w:rPr>
        <w:t>第一条</w:t>
      </w:r>
      <w:r>
        <w:rPr>
          <w:rFonts w:ascii="黑体" w:hAnsi="黑体" w:eastAsia="黑体" w:cs="黑体"/>
          <w:spacing w:val="3"/>
          <w:sz w:val="31"/>
          <w:szCs w:val="31"/>
        </w:rPr>
        <w:t xml:space="preserve"> </w:t>
      </w:r>
      <w:r>
        <w:rPr>
          <w:rFonts w:ascii="仿宋" w:hAnsi="仿宋" w:eastAsia="仿宋" w:cs="仿宋"/>
          <w:b/>
          <w:bCs/>
          <w:spacing w:val="3"/>
          <w:sz w:val="31"/>
          <w:szCs w:val="31"/>
        </w:rPr>
        <w:t>为规范新增医疗服务价格项目管理，促进医疗机构</w:t>
      </w:r>
      <w:r>
        <w:rPr>
          <w:rFonts w:ascii="仿宋" w:hAnsi="仿宋" w:eastAsia="仿宋" w:cs="仿宋"/>
          <w:sz w:val="31"/>
          <w:szCs w:val="31"/>
        </w:rPr>
        <w:t xml:space="preserve"> </w:t>
      </w:r>
      <w:r>
        <w:rPr>
          <w:rFonts w:ascii="仿宋" w:hAnsi="仿宋" w:eastAsia="仿宋" w:cs="仿宋"/>
          <w:b/>
          <w:bCs/>
          <w:spacing w:val="9"/>
          <w:sz w:val="31"/>
          <w:szCs w:val="31"/>
        </w:rPr>
        <w:t>新技术发展，满足群众医疗服务需求，根据《国家医保局国家</w:t>
      </w:r>
    </w:p>
    <w:p>
      <w:pPr>
        <w:spacing w:before="1" w:line="220" w:lineRule="auto"/>
        <w:ind w:left="4"/>
        <w:rPr>
          <w:rFonts w:ascii="仿宋" w:hAnsi="仿宋" w:eastAsia="仿宋" w:cs="仿宋"/>
          <w:sz w:val="31"/>
          <w:szCs w:val="31"/>
        </w:rPr>
      </w:pPr>
      <w:r>
        <w:rPr>
          <w:rFonts w:ascii="仿宋" w:hAnsi="仿宋" w:eastAsia="仿宋" w:cs="仿宋"/>
          <w:b/>
          <w:bCs/>
          <w:spacing w:val="35"/>
          <w:sz w:val="31"/>
          <w:szCs w:val="31"/>
        </w:rPr>
        <w:t>卫生健康委国家发展改革委财政部人力资源</w:t>
      </w:r>
      <w:r>
        <w:rPr>
          <w:rFonts w:ascii="仿宋" w:hAnsi="仿宋" w:eastAsia="仿宋" w:cs="仿宋"/>
          <w:b/>
          <w:bCs/>
          <w:spacing w:val="34"/>
          <w:sz w:val="31"/>
          <w:szCs w:val="31"/>
        </w:rPr>
        <w:t>社会保障部市</w:t>
      </w:r>
    </w:p>
    <w:p>
      <w:pPr>
        <w:spacing w:before="235" w:line="357" w:lineRule="auto"/>
        <w:ind w:right="45"/>
        <w:jc w:val="both"/>
        <w:rPr>
          <w:rFonts w:ascii="仿宋" w:hAnsi="仿宋" w:eastAsia="仿宋" w:cs="仿宋"/>
          <w:sz w:val="31"/>
          <w:szCs w:val="31"/>
        </w:rPr>
      </w:pPr>
      <w:r>
        <w:rPr>
          <w:rFonts w:ascii="仿宋" w:hAnsi="仿宋" w:eastAsia="仿宋" w:cs="仿宋"/>
          <w:spacing w:val="23"/>
          <w:sz w:val="31"/>
          <w:szCs w:val="31"/>
        </w:rPr>
        <w:t>场监管总局</w:t>
      </w:r>
      <w:r>
        <w:rPr>
          <w:rFonts w:ascii="仿宋" w:hAnsi="仿宋" w:eastAsia="仿宋" w:cs="仿宋"/>
          <w:spacing w:val="81"/>
          <w:sz w:val="31"/>
          <w:szCs w:val="31"/>
        </w:rPr>
        <w:t xml:space="preserve"> </w:t>
      </w:r>
      <w:r>
        <w:rPr>
          <w:rFonts w:ascii="仿宋" w:hAnsi="仿宋" w:eastAsia="仿宋" w:cs="仿宋"/>
          <w:spacing w:val="23"/>
          <w:sz w:val="31"/>
          <w:szCs w:val="31"/>
        </w:rPr>
        <w:t>国家中医药局国家药监局关于印发&lt;深化医疗服</w:t>
      </w:r>
      <w:r>
        <w:rPr>
          <w:rFonts w:ascii="仿宋" w:hAnsi="仿宋" w:eastAsia="仿宋" w:cs="仿宋"/>
          <w:sz w:val="31"/>
          <w:szCs w:val="31"/>
        </w:rPr>
        <w:t xml:space="preserve"> </w:t>
      </w:r>
      <w:r>
        <w:rPr>
          <w:rFonts w:ascii="仿宋" w:hAnsi="仿宋" w:eastAsia="仿宋" w:cs="仿宋"/>
          <w:spacing w:val="23"/>
          <w:sz w:val="31"/>
          <w:szCs w:val="31"/>
        </w:rPr>
        <w:t>务价格改革试点方案〉的通知》(医保发〔2021</w:t>
      </w:r>
      <w:r>
        <w:rPr>
          <w:rFonts w:ascii="仿宋" w:hAnsi="仿宋" w:eastAsia="仿宋" w:cs="仿宋"/>
          <w:spacing w:val="22"/>
          <w:sz w:val="31"/>
          <w:szCs w:val="31"/>
        </w:rPr>
        <w:t>〕41号)有关</w:t>
      </w:r>
    </w:p>
    <w:p>
      <w:pPr>
        <w:spacing w:before="1" w:line="221" w:lineRule="auto"/>
        <w:rPr>
          <w:rFonts w:ascii="仿宋" w:hAnsi="仿宋" w:eastAsia="仿宋" w:cs="仿宋"/>
          <w:sz w:val="31"/>
          <w:szCs w:val="31"/>
        </w:rPr>
      </w:pPr>
      <w:r>
        <w:rPr>
          <w:rFonts w:ascii="仿宋" w:hAnsi="仿宋" w:eastAsia="仿宋" w:cs="仿宋"/>
          <w:spacing w:val="10"/>
          <w:sz w:val="31"/>
          <w:szCs w:val="31"/>
        </w:rPr>
        <w:t>精神和医疗服务价格项目管理有关规定，制定本办法。</w:t>
      </w:r>
    </w:p>
    <w:p>
      <w:pPr>
        <w:spacing w:before="225" w:line="614" w:lineRule="exact"/>
        <w:ind w:right="10"/>
        <w:jc w:val="right"/>
        <w:rPr>
          <w:rFonts w:ascii="仿宋" w:hAnsi="仿宋" w:eastAsia="仿宋" w:cs="仿宋"/>
          <w:sz w:val="31"/>
          <w:szCs w:val="31"/>
        </w:rPr>
      </w:pPr>
      <w:r>
        <w:rPr>
          <w:rFonts w:ascii="黑体" w:hAnsi="黑体" w:eastAsia="黑体" w:cs="黑体"/>
          <w:b/>
          <w:bCs/>
          <w:spacing w:val="18"/>
          <w:position w:val="22"/>
          <w:sz w:val="31"/>
          <w:szCs w:val="31"/>
        </w:rPr>
        <w:t>第二条</w:t>
      </w:r>
      <w:r>
        <w:rPr>
          <w:rFonts w:ascii="黑体" w:hAnsi="黑体" w:eastAsia="黑体" w:cs="黑体"/>
          <w:spacing w:val="18"/>
          <w:position w:val="22"/>
          <w:sz w:val="31"/>
          <w:szCs w:val="31"/>
        </w:rPr>
        <w:t xml:space="preserve"> </w:t>
      </w:r>
      <w:r>
        <w:rPr>
          <w:rFonts w:ascii="仿宋" w:hAnsi="仿宋" w:eastAsia="仿宋" w:cs="仿宋"/>
          <w:spacing w:val="18"/>
          <w:position w:val="22"/>
          <w:sz w:val="31"/>
          <w:szCs w:val="31"/>
        </w:rPr>
        <w:t>本省行政区域内非营利性医疗机构新增医疗</w:t>
      </w:r>
      <w:r>
        <w:rPr>
          <w:rFonts w:ascii="仿宋" w:hAnsi="仿宋" w:eastAsia="仿宋" w:cs="仿宋"/>
          <w:spacing w:val="17"/>
          <w:position w:val="22"/>
          <w:sz w:val="31"/>
          <w:szCs w:val="31"/>
        </w:rPr>
        <w:t>服务</w:t>
      </w:r>
    </w:p>
    <w:p>
      <w:pPr>
        <w:spacing w:before="1" w:line="222" w:lineRule="auto"/>
        <w:rPr>
          <w:rFonts w:ascii="仿宋" w:hAnsi="仿宋" w:eastAsia="仿宋" w:cs="仿宋"/>
          <w:sz w:val="31"/>
          <w:szCs w:val="31"/>
        </w:rPr>
      </w:pPr>
      <w:r>
        <w:rPr>
          <w:rFonts w:ascii="仿宋" w:hAnsi="仿宋" w:eastAsia="仿宋" w:cs="仿宋"/>
          <w:spacing w:val="5"/>
          <w:sz w:val="31"/>
          <w:szCs w:val="31"/>
        </w:rPr>
        <w:t>价格项目管理，适用本办法。</w:t>
      </w:r>
    </w:p>
    <w:p>
      <w:pPr>
        <w:spacing w:before="233" w:line="359" w:lineRule="auto"/>
        <w:ind w:right="39" w:firstLine="724"/>
        <w:rPr>
          <w:rFonts w:ascii="仿宋" w:hAnsi="仿宋" w:eastAsia="仿宋" w:cs="仿宋"/>
          <w:sz w:val="31"/>
          <w:szCs w:val="31"/>
        </w:rPr>
      </w:pPr>
      <w:r>
        <w:rPr>
          <w:rFonts w:ascii="黑体" w:hAnsi="黑体" w:eastAsia="黑体" w:cs="黑体"/>
          <w:b/>
          <w:bCs/>
          <w:spacing w:val="17"/>
          <w:sz w:val="31"/>
          <w:szCs w:val="31"/>
        </w:rPr>
        <w:t>第三条</w:t>
      </w:r>
      <w:r>
        <w:rPr>
          <w:rFonts w:ascii="黑体" w:hAnsi="黑体" w:eastAsia="黑体" w:cs="黑体"/>
          <w:spacing w:val="17"/>
          <w:sz w:val="31"/>
          <w:szCs w:val="31"/>
        </w:rPr>
        <w:t xml:space="preserve"> </w:t>
      </w:r>
      <w:r>
        <w:rPr>
          <w:rFonts w:ascii="仿宋" w:hAnsi="仿宋" w:eastAsia="仿宋" w:cs="仿宋"/>
          <w:spacing w:val="17"/>
          <w:sz w:val="31"/>
          <w:szCs w:val="31"/>
        </w:rPr>
        <w:t>本办法所称新增医疗服务价格项目管</w:t>
      </w:r>
      <w:r>
        <w:rPr>
          <w:rFonts w:ascii="仿宋" w:hAnsi="仿宋" w:eastAsia="仿宋" w:cs="仿宋"/>
          <w:spacing w:val="16"/>
          <w:sz w:val="31"/>
          <w:szCs w:val="31"/>
        </w:rPr>
        <w:t>理是指按照</w:t>
      </w:r>
      <w:r>
        <w:rPr>
          <w:rFonts w:ascii="仿宋" w:hAnsi="仿宋" w:eastAsia="仿宋" w:cs="仿宋"/>
          <w:sz w:val="31"/>
          <w:szCs w:val="31"/>
        </w:rPr>
        <w:t xml:space="preserve"> </w:t>
      </w:r>
      <w:r>
        <w:rPr>
          <w:rFonts w:ascii="仿宋" w:hAnsi="仿宋" w:eastAsia="仿宋" w:cs="仿宋"/>
          <w:spacing w:val="13"/>
          <w:sz w:val="31"/>
          <w:szCs w:val="31"/>
        </w:rPr>
        <w:t>一定规则和程序，将符合条件、全省统一医疗服务价格项目未</w:t>
      </w:r>
      <w:r>
        <w:rPr>
          <w:rFonts w:ascii="仿宋" w:hAnsi="仿宋" w:eastAsia="仿宋" w:cs="仿宋"/>
          <w:spacing w:val="18"/>
          <w:sz w:val="31"/>
          <w:szCs w:val="31"/>
        </w:rPr>
        <w:t xml:space="preserve"> </w:t>
      </w:r>
      <w:r>
        <w:rPr>
          <w:rFonts w:ascii="仿宋" w:hAnsi="仿宋" w:eastAsia="仿宋" w:cs="仿宋"/>
          <w:spacing w:val="14"/>
          <w:sz w:val="31"/>
          <w:szCs w:val="31"/>
        </w:rPr>
        <w:t>覆盖的新医疗技术或新医疗活动，转化为边</w:t>
      </w:r>
      <w:r>
        <w:rPr>
          <w:rFonts w:ascii="仿宋" w:hAnsi="仿宋" w:eastAsia="仿宋" w:cs="仿宋"/>
          <w:spacing w:val="13"/>
          <w:sz w:val="31"/>
          <w:szCs w:val="31"/>
        </w:rPr>
        <w:t>界清晰、要素完备</w:t>
      </w:r>
      <w:r>
        <w:rPr>
          <w:rFonts w:ascii="仿宋" w:hAnsi="仿宋" w:eastAsia="仿宋" w:cs="仿宋"/>
          <w:sz w:val="31"/>
          <w:szCs w:val="31"/>
        </w:rPr>
        <w:t xml:space="preserve"> </w:t>
      </w:r>
      <w:r>
        <w:rPr>
          <w:rFonts w:ascii="仿宋" w:hAnsi="仿宋" w:eastAsia="仿宋" w:cs="仿宋"/>
          <w:spacing w:val="14"/>
          <w:sz w:val="31"/>
          <w:szCs w:val="31"/>
        </w:rPr>
        <w:t>的医疗服务价格项目，作为医疗机构服务患</w:t>
      </w:r>
      <w:r>
        <w:rPr>
          <w:rFonts w:ascii="仿宋" w:hAnsi="仿宋" w:eastAsia="仿宋" w:cs="仿宋"/>
          <w:spacing w:val="13"/>
          <w:sz w:val="31"/>
          <w:szCs w:val="31"/>
        </w:rPr>
        <w:t>者的收费依据和计</w:t>
      </w:r>
    </w:p>
    <w:p>
      <w:pPr>
        <w:spacing w:before="1" w:line="220" w:lineRule="auto"/>
        <w:rPr>
          <w:rFonts w:ascii="仿宋" w:hAnsi="仿宋" w:eastAsia="仿宋" w:cs="仿宋"/>
          <w:sz w:val="31"/>
          <w:szCs w:val="31"/>
        </w:rPr>
      </w:pPr>
      <w:r>
        <w:rPr>
          <w:rFonts w:ascii="仿宋" w:hAnsi="仿宋" w:eastAsia="仿宋" w:cs="仿宋"/>
          <w:spacing w:val="4"/>
          <w:sz w:val="31"/>
          <w:szCs w:val="31"/>
        </w:rPr>
        <w:t>价单元的管理过程。</w:t>
      </w:r>
    </w:p>
    <w:p>
      <w:pPr>
        <w:spacing w:before="249" w:line="358" w:lineRule="auto"/>
        <w:ind w:right="6" w:firstLine="724"/>
        <w:rPr>
          <w:rFonts w:ascii="仿宋" w:hAnsi="仿宋" w:eastAsia="仿宋" w:cs="仿宋"/>
          <w:sz w:val="31"/>
          <w:szCs w:val="31"/>
        </w:rPr>
      </w:pPr>
      <w:r>
        <w:rPr>
          <w:rFonts w:ascii="黑体" w:hAnsi="黑体" w:eastAsia="黑体" w:cs="黑体"/>
          <w:b/>
          <w:bCs/>
          <w:spacing w:val="4"/>
          <w:sz w:val="31"/>
          <w:szCs w:val="31"/>
        </w:rPr>
        <w:t>第四条</w:t>
      </w:r>
      <w:r>
        <w:rPr>
          <w:rFonts w:ascii="黑体" w:hAnsi="黑体" w:eastAsia="黑体" w:cs="黑体"/>
          <w:spacing w:val="42"/>
          <w:sz w:val="31"/>
          <w:szCs w:val="31"/>
        </w:rPr>
        <w:t xml:space="preserve"> </w:t>
      </w:r>
      <w:r>
        <w:rPr>
          <w:rFonts w:ascii="仿宋" w:hAnsi="仿宋" w:eastAsia="仿宋" w:cs="仿宋"/>
          <w:spacing w:val="4"/>
          <w:sz w:val="31"/>
          <w:szCs w:val="31"/>
        </w:rPr>
        <w:t>新增医疗服务价格项目按医疗机构提交材料、地级</w:t>
      </w:r>
      <w:r>
        <w:rPr>
          <w:rFonts w:ascii="仿宋" w:hAnsi="仿宋" w:eastAsia="仿宋" w:cs="仿宋"/>
          <w:sz w:val="31"/>
          <w:szCs w:val="31"/>
        </w:rPr>
        <w:t xml:space="preserve"> </w:t>
      </w:r>
      <w:r>
        <w:rPr>
          <w:rFonts w:ascii="仿宋" w:hAnsi="仿宋" w:eastAsia="仿宋" w:cs="仿宋"/>
          <w:spacing w:val="14"/>
          <w:sz w:val="31"/>
          <w:szCs w:val="31"/>
        </w:rPr>
        <w:t>以上市医疗保障局受理并初审、省医疗保障局审核公布的程序</w:t>
      </w:r>
    </w:p>
    <w:p>
      <w:pPr>
        <w:spacing w:before="1" w:line="222" w:lineRule="auto"/>
        <w:rPr>
          <w:rFonts w:ascii="仿宋" w:hAnsi="仿宋" w:eastAsia="仿宋" w:cs="仿宋"/>
          <w:sz w:val="31"/>
          <w:szCs w:val="31"/>
        </w:rPr>
      </w:pPr>
      <w:r>
        <w:rPr>
          <w:rFonts w:ascii="仿宋" w:hAnsi="仿宋" w:eastAsia="仿宋" w:cs="仿宋"/>
          <w:spacing w:val="-8"/>
          <w:sz w:val="31"/>
          <w:szCs w:val="31"/>
        </w:rPr>
        <w:t>开展。</w:t>
      </w:r>
    </w:p>
    <w:p>
      <w:pPr>
        <w:spacing w:line="222" w:lineRule="auto"/>
        <w:rPr>
          <w:rFonts w:ascii="仿宋" w:hAnsi="仿宋" w:eastAsia="仿宋" w:cs="仿宋"/>
          <w:sz w:val="31"/>
          <w:szCs w:val="31"/>
        </w:rPr>
        <w:sectPr>
          <w:footerReference r:id="rId6" w:type="default"/>
          <w:pgSz w:w="11840" w:h="16680"/>
          <w:pgMar w:top="1417" w:right="1710" w:bottom="1524" w:left="1340" w:header="0" w:footer="1306" w:gutter="0"/>
          <w:cols w:space="720" w:num="1"/>
        </w:sectPr>
      </w:pPr>
    </w:p>
    <w:p>
      <w:pPr>
        <w:pStyle w:val="2"/>
        <w:spacing w:line="316" w:lineRule="auto"/>
      </w:pPr>
    </w:p>
    <w:p>
      <w:pPr>
        <w:pStyle w:val="2"/>
        <w:spacing w:line="316" w:lineRule="auto"/>
      </w:pPr>
    </w:p>
    <w:p>
      <w:pPr>
        <w:spacing w:before="101" w:line="219" w:lineRule="auto"/>
        <w:ind w:left="3314"/>
        <w:rPr>
          <w:rFonts w:ascii="宋体" w:hAnsi="宋体" w:eastAsia="宋体" w:cs="宋体"/>
          <w:sz w:val="31"/>
          <w:szCs w:val="31"/>
        </w:rPr>
      </w:pPr>
      <w:r>
        <w:rPr>
          <w:rFonts w:ascii="宋体" w:hAnsi="宋体" w:eastAsia="宋体" w:cs="宋体"/>
          <w:b/>
          <w:bCs/>
          <w:spacing w:val="29"/>
          <w:sz w:val="31"/>
          <w:szCs w:val="31"/>
        </w:rPr>
        <w:t>第二章受</w:t>
      </w:r>
      <w:r>
        <w:rPr>
          <w:rFonts w:ascii="宋体" w:hAnsi="宋体" w:eastAsia="宋体" w:cs="宋体"/>
          <w:spacing w:val="152"/>
          <w:sz w:val="31"/>
          <w:szCs w:val="31"/>
        </w:rPr>
        <w:t xml:space="preserve"> </w:t>
      </w:r>
      <w:r>
        <w:rPr>
          <w:rFonts w:ascii="宋体" w:hAnsi="宋体" w:eastAsia="宋体" w:cs="宋体"/>
          <w:b/>
          <w:bCs/>
          <w:spacing w:val="29"/>
          <w:sz w:val="31"/>
          <w:szCs w:val="31"/>
        </w:rPr>
        <w:t>理</w:t>
      </w:r>
    </w:p>
    <w:p>
      <w:pPr>
        <w:pStyle w:val="2"/>
        <w:spacing w:line="294" w:lineRule="auto"/>
      </w:pPr>
    </w:p>
    <w:p>
      <w:pPr>
        <w:pStyle w:val="2"/>
        <w:spacing w:line="294" w:lineRule="auto"/>
      </w:pPr>
    </w:p>
    <w:p>
      <w:pPr>
        <w:spacing w:before="101" w:line="369" w:lineRule="auto"/>
        <w:ind w:right="66" w:firstLine="654"/>
        <w:jc w:val="both"/>
        <w:rPr>
          <w:rFonts w:ascii="仿宋" w:hAnsi="仿宋" w:eastAsia="仿宋" w:cs="仿宋"/>
          <w:sz w:val="31"/>
          <w:szCs w:val="31"/>
        </w:rPr>
      </w:pPr>
      <w:r>
        <w:rPr>
          <w:rFonts w:ascii="黑体" w:hAnsi="黑体" w:eastAsia="黑体" w:cs="黑体"/>
          <w:b/>
          <w:bCs/>
          <w:spacing w:val="4"/>
          <w:sz w:val="31"/>
          <w:szCs w:val="31"/>
        </w:rPr>
        <w:t>第五条</w:t>
      </w:r>
      <w:r>
        <w:rPr>
          <w:rFonts w:ascii="黑体" w:hAnsi="黑体" w:eastAsia="黑体" w:cs="黑体"/>
          <w:spacing w:val="4"/>
          <w:sz w:val="31"/>
          <w:szCs w:val="31"/>
        </w:rPr>
        <w:t xml:space="preserve"> </w:t>
      </w:r>
      <w:r>
        <w:rPr>
          <w:rFonts w:ascii="仿宋" w:hAnsi="仿宋" w:eastAsia="仿宋" w:cs="仿宋"/>
          <w:spacing w:val="4"/>
          <w:sz w:val="31"/>
          <w:szCs w:val="31"/>
        </w:rPr>
        <w:t>新增医疗服务价格项目受理实行属地管理，由具备</w:t>
      </w:r>
      <w:r>
        <w:rPr>
          <w:rFonts w:ascii="仿宋" w:hAnsi="仿宋" w:eastAsia="仿宋" w:cs="仿宋"/>
          <w:spacing w:val="7"/>
          <w:sz w:val="31"/>
          <w:szCs w:val="31"/>
        </w:rPr>
        <w:t xml:space="preserve"> </w:t>
      </w:r>
      <w:r>
        <w:rPr>
          <w:rFonts w:ascii="仿宋" w:hAnsi="仿宋" w:eastAsia="仿宋" w:cs="仿宋"/>
          <w:spacing w:val="11"/>
          <w:sz w:val="31"/>
          <w:szCs w:val="31"/>
        </w:rPr>
        <w:t>独立法人资格的非营利性医疗机构，向所在地级以上市医疗保</w:t>
      </w:r>
    </w:p>
    <w:p>
      <w:pPr>
        <w:spacing w:line="220" w:lineRule="auto"/>
        <w:rPr>
          <w:rFonts w:ascii="仿宋" w:hAnsi="仿宋" w:eastAsia="仿宋" w:cs="仿宋"/>
          <w:sz w:val="31"/>
          <w:szCs w:val="31"/>
        </w:rPr>
      </w:pPr>
      <w:r>
        <w:rPr>
          <w:rFonts w:ascii="仿宋" w:hAnsi="仿宋" w:eastAsia="仿宋" w:cs="仿宋"/>
          <w:spacing w:val="-1"/>
          <w:sz w:val="31"/>
          <w:szCs w:val="31"/>
        </w:rPr>
        <w:t>障局提出申请。</w:t>
      </w:r>
    </w:p>
    <w:p>
      <w:pPr>
        <w:spacing w:before="239" w:line="360" w:lineRule="auto"/>
        <w:ind w:right="69" w:firstLine="664"/>
        <w:jc w:val="both"/>
        <w:rPr>
          <w:rFonts w:ascii="仿宋" w:hAnsi="仿宋" w:eastAsia="仿宋" w:cs="仿宋"/>
          <w:sz w:val="31"/>
          <w:szCs w:val="31"/>
        </w:rPr>
      </w:pPr>
      <w:r>
        <w:rPr>
          <w:rFonts w:ascii="黑体" w:hAnsi="黑体" w:eastAsia="黑体" w:cs="黑体"/>
          <w:b/>
          <w:bCs/>
          <w:spacing w:val="1"/>
          <w:sz w:val="31"/>
          <w:szCs w:val="31"/>
        </w:rPr>
        <w:t>第六条</w:t>
      </w:r>
      <w:r>
        <w:rPr>
          <w:rFonts w:ascii="黑体" w:hAnsi="黑体" w:eastAsia="黑体" w:cs="黑体"/>
          <w:spacing w:val="74"/>
          <w:sz w:val="31"/>
          <w:szCs w:val="31"/>
        </w:rPr>
        <w:t xml:space="preserve"> </w:t>
      </w:r>
      <w:r>
        <w:rPr>
          <w:rFonts w:ascii="仿宋" w:hAnsi="仿宋" w:eastAsia="仿宋" w:cs="仿宋"/>
          <w:spacing w:val="1"/>
          <w:sz w:val="31"/>
          <w:szCs w:val="31"/>
        </w:rPr>
        <w:t>医疗机构应提交加盖公章的《广东省新增医疗服务</w:t>
      </w:r>
      <w:r>
        <w:rPr>
          <w:rFonts w:ascii="仿宋" w:hAnsi="仿宋" w:eastAsia="仿宋" w:cs="仿宋"/>
          <w:sz w:val="31"/>
          <w:szCs w:val="31"/>
        </w:rPr>
        <w:t xml:space="preserve"> </w:t>
      </w:r>
      <w:r>
        <w:rPr>
          <w:rFonts w:ascii="仿宋" w:hAnsi="仿宋" w:eastAsia="仿宋" w:cs="仿宋"/>
          <w:spacing w:val="24"/>
          <w:sz w:val="31"/>
          <w:szCs w:val="31"/>
        </w:rPr>
        <w:t>价格项目信息材料》</w:t>
      </w:r>
      <w:r>
        <w:rPr>
          <w:rFonts w:ascii="仿宋" w:hAnsi="仿宋" w:eastAsia="仿宋" w:cs="仿宋"/>
          <w:spacing w:val="127"/>
          <w:sz w:val="31"/>
          <w:szCs w:val="31"/>
        </w:rPr>
        <w:t xml:space="preserve"> </w:t>
      </w:r>
      <w:r>
        <w:rPr>
          <w:rFonts w:ascii="仿宋" w:hAnsi="仿宋" w:eastAsia="仿宋" w:cs="仿宋"/>
          <w:spacing w:val="24"/>
          <w:sz w:val="31"/>
          <w:szCs w:val="31"/>
        </w:rPr>
        <w:t>(见附件1),并对其完整性、真实性负</w:t>
      </w:r>
    </w:p>
    <w:p>
      <w:pPr>
        <w:spacing w:line="225" w:lineRule="auto"/>
        <w:rPr>
          <w:rFonts w:ascii="仿宋" w:hAnsi="仿宋" w:eastAsia="仿宋" w:cs="仿宋"/>
          <w:sz w:val="31"/>
          <w:szCs w:val="31"/>
        </w:rPr>
      </w:pPr>
      <w:r>
        <w:rPr>
          <w:rFonts w:ascii="仿宋" w:hAnsi="仿宋" w:eastAsia="仿宋" w:cs="仿宋"/>
          <w:spacing w:val="-24"/>
          <w:sz w:val="31"/>
          <w:szCs w:val="31"/>
        </w:rPr>
        <w:t>责：</w:t>
      </w:r>
    </w:p>
    <w:p>
      <w:pPr>
        <w:spacing w:before="223" w:line="222" w:lineRule="auto"/>
        <w:ind w:left="794"/>
        <w:rPr>
          <w:rFonts w:ascii="仿宋" w:hAnsi="仿宋" w:eastAsia="仿宋" w:cs="仿宋"/>
          <w:sz w:val="31"/>
          <w:szCs w:val="31"/>
        </w:rPr>
      </w:pPr>
      <w:r>
        <w:rPr>
          <w:rFonts w:ascii="仿宋" w:hAnsi="仿宋" w:eastAsia="仿宋" w:cs="仿宋"/>
          <w:b/>
          <w:bCs/>
          <w:spacing w:val="-14"/>
          <w:sz w:val="31"/>
          <w:szCs w:val="31"/>
        </w:rPr>
        <w:t>(</w:t>
      </w:r>
      <w:r>
        <w:rPr>
          <w:rFonts w:ascii="仿宋" w:hAnsi="仿宋" w:eastAsia="仿宋" w:cs="仿宋"/>
          <w:spacing w:val="-37"/>
          <w:sz w:val="31"/>
          <w:szCs w:val="31"/>
        </w:rPr>
        <w:t xml:space="preserve"> </w:t>
      </w:r>
      <w:r>
        <w:rPr>
          <w:rFonts w:ascii="仿宋" w:hAnsi="仿宋" w:eastAsia="仿宋" w:cs="仿宋"/>
          <w:b/>
          <w:bCs/>
          <w:spacing w:val="-14"/>
          <w:sz w:val="31"/>
          <w:szCs w:val="31"/>
        </w:rPr>
        <w:t>一</w:t>
      </w:r>
      <w:r>
        <w:rPr>
          <w:rFonts w:ascii="仿宋" w:hAnsi="仿宋" w:eastAsia="仿宋" w:cs="仿宋"/>
          <w:spacing w:val="-60"/>
          <w:sz w:val="31"/>
          <w:szCs w:val="31"/>
        </w:rPr>
        <w:t xml:space="preserve"> </w:t>
      </w:r>
      <w:r>
        <w:rPr>
          <w:rFonts w:ascii="仿宋" w:hAnsi="仿宋" w:eastAsia="仿宋" w:cs="仿宋"/>
          <w:b/>
          <w:bCs/>
          <w:spacing w:val="-14"/>
          <w:sz w:val="31"/>
          <w:szCs w:val="31"/>
        </w:rPr>
        <w:t>)</w:t>
      </w:r>
      <w:r>
        <w:rPr>
          <w:rFonts w:ascii="仿宋" w:hAnsi="仿宋" w:eastAsia="仿宋" w:cs="仿宋"/>
          <w:spacing w:val="55"/>
          <w:sz w:val="31"/>
          <w:szCs w:val="31"/>
        </w:rPr>
        <w:t xml:space="preserve"> </w:t>
      </w:r>
      <w:r>
        <w:rPr>
          <w:rFonts w:ascii="仿宋" w:hAnsi="仿宋" w:eastAsia="仿宋" w:cs="仿宋"/>
          <w:b/>
          <w:bCs/>
          <w:spacing w:val="-14"/>
          <w:sz w:val="31"/>
          <w:szCs w:val="31"/>
        </w:rPr>
        <w:t>《广东省新增医疗服务价格项目表》</w:t>
      </w:r>
      <w:r>
        <w:rPr>
          <w:rFonts w:ascii="仿宋" w:hAnsi="仿宋" w:eastAsia="仿宋" w:cs="仿宋"/>
          <w:spacing w:val="123"/>
          <w:sz w:val="31"/>
          <w:szCs w:val="31"/>
        </w:rPr>
        <w:t xml:space="preserve"> </w:t>
      </w:r>
      <w:r>
        <w:rPr>
          <w:rFonts w:ascii="仿宋" w:hAnsi="仿宋" w:eastAsia="仿宋" w:cs="仿宋"/>
          <w:b/>
          <w:bCs/>
          <w:spacing w:val="-14"/>
          <w:sz w:val="31"/>
          <w:szCs w:val="31"/>
        </w:rPr>
        <w:t>《广东省新增</w:t>
      </w:r>
    </w:p>
    <w:p>
      <w:pPr>
        <w:spacing w:before="227" w:line="220" w:lineRule="auto"/>
        <w:ind w:left="150"/>
        <w:rPr>
          <w:rFonts w:ascii="仿宋" w:hAnsi="仿宋" w:eastAsia="仿宋" w:cs="仿宋"/>
          <w:sz w:val="31"/>
          <w:szCs w:val="31"/>
        </w:rPr>
      </w:pPr>
      <w:r>
        <w:rPr>
          <w:rFonts w:ascii="仿宋" w:hAnsi="仿宋" w:eastAsia="仿宋" w:cs="仿宋"/>
          <w:spacing w:val="17"/>
          <w:sz w:val="31"/>
          <w:szCs w:val="31"/>
        </w:rPr>
        <w:t>(修订)医疗服务价格项目信息资料》和《广东省新增医疗服</w:t>
      </w:r>
    </w:p>
    <w:p>
      <w:pPr>
        <w:spacing w:before="228" w:line="222" w:lineRule="auto"/>
        <w:ind w:left="4"/>
        <w:rPr>
          <w:rFonts w:ascii="仿宋" w:hAnsi="仿宋" w:eastAsia="仿宋" w:cs="仿宋"/>
          <w:sz w:val="31"/>
          <w:szCs w:val="31"/>
        </w:rPr>
      </w:pPr>
      <w:r>
        <w:rPr>
          <w:rFonts w:ascii="仿宋" w:hAnsi="仿宋" w:eastAsia="仿宋" w:cs="仿宋"/>
          <w:b/>
          <w:bCs/>
          <w:spacing w:val="-2"/>
          <w:sz w:val="31"/>
          <w:szCs w:val="31"/>
        </w:rPr>
        <w:t>务价格项目成本测算表》。</w:t>
      </w:r>
    </w:p>
    <w:p>
      <w:pPr>
        <w:spacing w:before="235" w:line="600" w:lineRule="exact"/>
        <w:jc w:val="right"/>
        <w:rPr>
          <w:rFonts w:ascii="仿宋" w:hAnsi="仿宋" w:eastAsia="仿宋" w:cs="仿宋"/>
          <w:sz w:val="31"/>
          <w:szCs w:val="31"/>
        </w:rPr>
      </w:pPr>
      <w:r>
        <w:rPr>
          <w:rFonts w:ascii="仿宋" w:hAnsi="仿宋" w:eastAsia="仿宋" w:cs="仿宋"/>
          <w:b/>
          <w:bCs/>
          <w:spacing w:val="4"/>
          <w:position w:val="21"/>
          <w:sz w:val="31"/>
          <w:szCs w:val="31"/>
        </w:rPr>
        <w:t>(二)卫生技术规范确认材料。其中属限制类医疗技术的，</w:t>
      </w:r>
    </w:p>
    <w:p>
      <w:pPr>
        <w:spacing w:before="1" w:line="220" w:lineRule="auto"/>
        <w:ind w:left="4"/>
        <w:rPr>
          <w:rFonts w:ascii="仿宋" w:hAnsi="仿宋" w:eastAsia="仿宋" w:cs="仿宋"/>
          <w:sz w:val="31"/>
          <w:szCs w:val="31"/>
        </w:rPr>
      </w:pPr>
      <w:r>
        <w:rPr>
          <w:rFonts w:ascii="仿宋" w:hAnsi="仿宋" w:eastAsia="仿宋" w:cs="仿宋"/>
          <w:b/>
          <w:bCs/>
          <w:spacing w:val="1"/>
          <w:sz w:val="31"/>
          <w:szCs w:val="31"/>
        </w:rPr>
        <w:t>还须提供卫生健康部门同意备案的材料。</w:t>
      </w:r>
    </w:p>
    <w:p>
      <w:pPr>
        <w:spacing w:before="220" w:line="614" w:lineRule="exact"/>
        <w:ind w:right="72"/>
        <w:jc w:val="right"/>
        <w:rPr>
          <w:rFonts w:ascii="仿宋" w:hAnsi="仿宋" w:eastAsia="仿宋" w:cs="仿宋"/>
          <w:sz w:val="31"/>
          <w:szCs w:val="31"/>
        </w:rPr>
      </w:pPr>
      <w:r>
        <w:rPr>
          <w:rFonts w:ascii="仿宋" w:hAnsi="仿宋" w:eastAsia="仿宋" w:cs="仿宋"/>
          <w:b/>
          <w:bCs/>
          <w:spacing w:val="14"/>
          <w:position w:val="22"/>
          <w:sz w:val="31"/>
          <w:szCs w:val="31"/>
        </w:rPr>
        <w:t>(三)医疗机构审核论证同意新增的材料，涉及医疗新技</w:t>
      </w:r>
    </w:p>
    <w:p>
      <w:pPr>
        <w:spacing w:line="222" w:lineRule="auto"/>
        <w:ind w:left="4"/>
        <w:rPr>
          <w:rFonts w:ascii="仿宋" w:hAnsi="仿宋" w:eastAsia="仿宋" w:cs="仿宋"/>
          <w:sz w:val="31"/>
          <w:szCs w:val="31"/>
        </w:rPr>
      </w:pPr>
      <w:r>
        <w:rPr>
          <w:rFonts w:ascii="仿宋" w:hAnsi="仿宋" w:eastAsia="仿宋" w:cs="仿宋"/>
          <w:b/>
          <w:bCs/>
          <w:sz w:val="31"/>
          <w:szCs w:val="31"/>
        </w:rPr>
        <w:t>术的须提交项目伦理审查结论。</w:t>
      </w:r>
    </w:p>
    <w:p>
      <w:pPr>
        <w:spacing w:before="222" w:line="361" w:lineRule="auto"/>
        <w:ind w:left="4" w:right="64" w:firstLine="785"/>
        <w:rPr>
          <w:rFonts w:ascii="仿宋" w:hAnsi="仿宋" w:eastAsia="仿宋" w:cs="仿宋"/>
          <w:sz w:val="31"/>
          <w:szCs w:val="31"/>
        </w:rPr>
      </w:pPr>
      <w:r>
        <w:rPr>
          <w:rFonts w:ascii="仿宋" w:hAnsi="仿宋" w:eastAsia="仿宋" w:cs="仿宋"/>
          <w:spacing w:val="15"/>
          <w:sz w:val="31"/>
          <w:szCs w:val="31"/>
        </w:rPr>
        <w:t>(</w:t>
      </w:r>
      <w:r>
        <w:rPr>
          <w:rFonts w:ascii="仿宋" w:hAnsi="仿宋" w:eastAsia="仿宋" w:cs="仿宋"/>
          <w:b/>
          <w:bCs/>
          <w:spacing w:val="15"/>
          <w:sz w:val="31"/>
          <w:szCs w:val="31"/>
        </w:rPr>
        <w:t>四)新增项目价值评估报告。价值评估报告需从项目的</w:t>
      </w:r>
      <w:r>
        <w:rPr>
          <w:rFonts w:ascii="仿宋" w:hAnsi="仿宋" w:eastAsia="仿宋" w:cs="仿宋"/>
          <w:spacing w:val="1"/>
          <w:sz w:val="31"/>
          <w:szCs w:val="31"/>
        </w:rPr>
        <w:t xml:space="preserve"> </w:t>
      </w:r>
      <w:r>
        <w:rPr>
          <w:rFonts w:ascii="仿宋" w:hAnsi="仿宋" w:eastAsia="仿宋" w:cs="仿宋"/>
          <w:b/>
          <w:bCs/>
          <w:spacing w:val="7"/>
          <w:sz w:val="31"/>
          <w:szCs w:val="31"/>
        </w:rPr>
        <w:t>临床价值、社会价值、经济价值等维度所涉及的评估指标进行</w:t>
      </w:r>
      <w:r>
        <w:rPr>
          <w:rFonts w:ascii="仿宋" w:hAnsi="仿宋" w:eastAsia="仿宋" w:cs="仿宋"/>
          <w:spacing w:val="5"/>
          <w:sz w:val="31"/>
          <w:szCs w:val="31"/>
        </w:rPr>
        <w:t xml:space="preserve"> </w:t>
      </w:r>
      <w:r>
        <w:rPr>
          <w:rFonts w:ascii="仿宋" w:hAnsi="仿宋" w:eastAsia="仿宋" w:cs="仿宋"/>
          <w:b/>
          <w:bCs/>
          <w:spacing w:val="31"/>
          <w:sz w:val="31"/>
          <w:szCs w:val="31"/>
        </w:rPr>
        <w:t>评价阐述(见附件2),并提供有关材料。属于</w:t>
      </w:r>
      <w:r>
        <w:rPr>
          <w:rFonts w:ascii="仿宋" w:hAnsi="仿宋" w:eastAsia="仿宋" w:cs="仿宋"/>
          <w:b/>
          <w:bCs/>
          <w:spacing w:val="30"/>
          <w:sz w:val="31"/>
          <w:szCs w:val="31"/>
        </w:rPr>
        <w:t>项目预期价格</w:t>
      </w:r>
      <w:r>
        <w:rPr>
          <w:rFonts w:ascii="仿宋" w:hAnsi="仿宋" w:eastAsia="仿宋" w:cs="仿宋"/>
          <w:sz w:val="31"/>
          <w:szCs w:val="31"/>
        </w:rPr>
        <w:t xml:space="preserve"> </w:t>
      </w:r>
      <w:r>
        <w:rPr>
          <w:rFonts w:ascii="仿宋" w:hAnsi="仿宋" w:eastAsia="仿宋" w:cs="仿宋"/>
          <w:b/>
          <w:bCs/>
          <w:spacing w:val="23"/>
          <w:sz w:val="31"/>
          <w:szCs w:val="31"/>
        </w:rPr>
        <w:t>较高的项目(详见《广东省新增(修订)医疗服务价格项目信</w:t>
      </w:r>
      <w:r>
        <w:rPr>
          <w:rFonts w:ascii="仿宋" w:hAnsi="仿宋" w:eastAsia="仿宋" w:cs="仿宋"/>
          <w:spacing w:val="16"/>
          <w:sz w:val="31"/>
          <w:szCs w:val="31"/>
        </w:rPr>
        <w:t xml:space="preserve"> </w:t>
      </w:r>
      <w:r>
        <w:rPr>
          <w:rFonts w:ascii="仿宋" w:hAnsi="仿宋" w:eastAsia="仿宋" w:cs="仿宋"/>
          <w:b/>
          <w:bCs/>
          <w:spacing w:val="12"/>
          <w:sz w:val="31"/>
          <w:szCs w:val="31"/>
        </w:rPr>
        <w:t>息资料》3.2条款内容),医疗机构需在价</w:t>
      </w:r>
      <w:r>
        <w:rPr>
          <w:rFonts w:ascii="仿宋" w:hAnsi="仿宋" w:eastAsia="仿宋" w:cs="仿宋"/>
          <w:b/>
          <w:bCs/>
          <w:spacing w:val="11"/>
          <w:sz w:val="31"/>
          <w:szCs w:val="31"/>
        </w:rPr>
        <w:t>值评估报告中以分报</w:t>
      </w:r>
    </w:p>
    <w:p>
      <w:pPr>
        <w:spacing w:before="1" w:line="220" w:lineRule="auto"/>
        <w:ind w:left="4"/>
        <w:rPr>
          <w:rFonts w:ascii="仿宋" w:hAnsi="仿宋" w:eastAsia="仿宋" w:cs="仿宋"/>
          <w:sz w:val="31"/>
          <w:szCs w:val="31"/>
        </w:rPr>
      </w:pPr>
      <w:r>
        <w:rPr>
          <w:rFonts w:ascii="仿宋" w:hAnsi="仿宋" w:eastAsia="仿宋" w:cs="仿宋"/>
          <w:b/>
          <w:bCs/>
          <w:spacing w:val="-4"/>
          <w:sz w:val="31"/>
          <w:szCs w:val="31"/>
        </w:rPr>
        <w:t>告的形式作出特别说明。</w:t>
      </w:r>
    </w:p>
    <w:p>
      <w:pPr>
        <w:spacing w:line="220" w:lineRule="auto"/>
        <w:rPr>
          <w:rFonts w:ascii="仿宋" w:hAnsi="仿宋" w:eastAsia="仿宋" w:cs="仿宋"/>
          <w:sz w:val="31"/>
          <w:szCs w:val="31"/>
        </w:rPr>
        <w:sectPr>
          <w:footerReference r:id="rId7" w:type="default"/>
          <w:pgSz w:w="11830" w:h="16700"/>
          <w:pgMar w:top="1419" w:right="1489" w:bottom="1868" w:left="1589" w:header="0" w:footer="1492" w:gutter="0"/>
          <w:cols w:space="720" w:num="1"/>
        </w:sectPr>
      </w:pPr>
    </w:p>
    <w:p>
      <w:pPr>
        <w:pStyle w:val="2"/>
        <w:spacing w:line="346" w:lineRule="auto"/>
      </w:pPr>
    </w:p>
    <w:p>
      <w:pPr>
        <w:pStyle w:val="2"/>
        <w:spacing w:line="346" w:lineRule="auto"/>
      </w:pPr>
    </w:p>
    <w:p>
      <w:pPr>
        <w:spacing w:before="97" w:line="371" w:lineRule="auto"/>
        <w:ind w:right="58" w:firstLine="800"/>
        <w:rPr>
          <w:rFonts w:ascii="仿宋" w:hAnsi="仿宋" w:eastAsia="仿宋" w:cs="仿宋"/>
          <w:sz w:val="30"/>
          <w:szCs w:val="30"/>
        </w:rPr>
      </w:pPr>
      <w:r>
        <w:rPr>
          <w:rFonts w:ascii="仿宋" w:hAnsi="仿宋" w:eastAsia="仿宋" w:cs="仿宋"/>
          <w:spacing w:val="27"/>
          <w:sz w:val="30"/>
          <w:szCs w:val="30"/>
        </w:rPr>
        <w:t>(五)项目涉及使用大型医用设备的，须提供该设备的配</w:t>
      </w:r>
      <w:r>
        <w:rPr>
          <w:rFonts w:ascii="仿宋" w:hAnsi="仿宋" w:eastAsia="仿宋" w:cs="仿宋"/>
          <w:spacing w:val="5"/>
          <w:sz w:val="30"/>
          <w:szCs w:val="30"/>
        </w:rPr>
        <w:t xml:space="preserve"> </w:t>
      </w:r>
      <w:r>
        <w:rPr>
          <w:rFonts w:ascii="仿宋" w:hAnsi="仿宋" w:eastAsia="仿宋" w:cs="仿宋"/>
          <w:spacing w:val="20"/>
          <w:sz w:val="30"/>
          <w:szCs w:val="30"/>
        </w:rPr>
        <w:t>置许可证材料，并注明设备的资金来源；项目涉及使用医用耗</w:t>
      </w:r>
      <w:r>
        <w:rPr>
          <w:rFonts w:ascii="仿宋" w:hAnsi="仿宋" w:eastAsia="仿宋" w:cs="仿宋"/>
          <w:spacing w:val="11"/>
          <w:sz w:val="30"/>
          <w:szCs w:val="30"/>
        </w:rPr>
        <w:t xml:space="preserve"> </w:t>
      </w:r>
      <w:r>
        <w:rPr>
          <w:rFonts w:ascii="仿宋" w:hAnsi="仿宋" w:eastAsia="仿宋" w:cs="仿宋"/>
          <w:spacing w:val="21"/>
          <w:sz w:val="30"/>
          <w:szCs w:val="30"/>
        </w:rPr>
        <w:t>材的，须提供相关医用耗材的详细信息。属于设备耗材费用占</w:t>
      </w:r>
      <w:r>
        <w:rPr>
          <w:rFonts w:ascii="仿宋" w:hAnsi="仿宋" w:eastAsia="仿宋" w:cs="仿宋"/>
          <w:sz w:val="30"/>
          <w:szCs w:val="30"/>
        </w:rPr>
        <w:t xml:space="preserve"> </w:t>
      </w:r>
      <w:r>
        <w:rPr>
          <w:rFonts w:ascii="仿宋" w:hAnsi="仿宋" w:eastAsia="仿宋" w:cs="仿宋"/>
          <w:spacing w:val="35"/>
          <w:sz w:val="30"/>
          <w:szCs w:val="30"/>
        </w:rPr>
        <w:t>比较高的项目(详见《广东省新增(修订)医疗服务价格项目</w:t>
      </w:r>
      <w:r>
        <w:rPr>
          <w:rFonts w:ascii="仿宋" w:hAnsi="仿宋" w:eastAsia="仿宋" w:cs="仿宋"/>
          <w:spacing w:val="18"/>
          <w:sz w:val="30"/>
          <w:szCs w:val="30"/>
        </w:rPr>
        <w:t xml:space="preserve"> </w:t>
      </w:r>
      <w:r>
        <w:rPr>
          <w:rFonts w:ascii="仿宋" w:hAnsi="仿宋" w:eastAsia="仿宋" w:cs="仿宋"/>
          <w:spacing w:val="36"/>
          <w:sz w:val="30"/>
          <w:szCs w:val="30"/>
        </w:rPr>
        <w:t>信息资料》的3.3条款内容),需提交生产企业出具的采</w:t>
      </w:r>
      <w:r>
        <w:rPr>
          <w:rFonts w:ascii="仿宋" w:hAnsi="仿宋" w:eastAsia="仿宋" w:cs="仿宋"/>
          <w:spacing w:val="35"/>
          <w:sz w:val="30"/>
          <w:szCs w:val="30"/>
        </w:rPr>
        <w:t>购或</w:t>
      </w:r>
    </w:p>
    <w:p>
      <w:pPr>
        <w:spacing w:line="220" w:lineRule="auto"/>
        <w:rPr>
          <w:rFonts w:ascii="仿宋" w:hAnsi="仿宋" w:eastAsia="仿宋" w:cs="仿宋"/>
          <w:sz w:val="30"/>
          <w:szCs w:val="30"/>
        </w:rPr>
      </w:pPr>
      <w:r>
        <w:rPr>
          <w:rFonts w:ascii="仿宋" w:hAnsi="仿宋" w:eastAsia="仿宋" w:cs="仿宋"/>
          <w:spacing w:val="15"/>
          <w:sz w:val="30"/>
          <w:szCs w:val="30"/>
        </w:rPr>
        <w:t>拟采购价格特别说明、采购发票复印件等资料。</w:t>
      </w:r>
    </w:p>
    <w:p>
      <w:pPr>
        <w:spacing w:before="257" w:line="369" w:lineRule="auto"/>
        <w:ind w:firstLine="800"/>
        <w:rPr>
          <w:rFonts w:ascii="仿宋" w:hAnsi="仿宋" w:eastAsia="仿宋" w:cs="仿宋"/>
          <w:sz w:val="30"/>
          <w:szCs w:val="30"/>
        </w:rPr>
      </w:pPr>
      <w:r>
        <w:rPr>
          <w:rFonts w:ascii="仿宋" w:hAnsi="仿宋" w:eastAsia="仿宋" w:cs="仿宋"/>
          <w:spacing w:val="27"/>
          <w:sz w:val="30"/>
          <w:szCs w:val="30"/>
        </w:rPr>
        <w:t>(六)开展附条件新增立项。价格预期较高，但理论上具</w:t>
      </w:r>
      <w:r>
        <w:rPr>
          <w:rFonts w:ascii="仿宋" w:hAnsi="仿宋" w:eastAsia="仿宋" w:cs="仿宋"/>
          <w:spacing w:val="3"/>
          <w:sz w:val="30"/>
          <w:szCs w:val="30"/>
        </w:rPr>
        <w:t xml:space="preserve"> </w:t>
      </w:r>
      <w:r>
        <w:rPr>
          <w:rFonts w:ascii="仿宋" w:hAnsi="仿宋" w:eastAsia="仿宋" w:cs="仿宋"/>
          <w:spacing w:val="23"/>
          <w:sz w:val="30"/>
          <w:szCs w:val="30"/>
        </w:rPr>
        <w:t xml:space="preserve">有综合经济性优势(如应用新技术后患者疗程费用整体下降、 </w:t>
      </w:r>
      <w:r>
        <w:rPr>
          <w:rFonts w:ascii="仿宋" w:hAnsi="仿宋" w:eastAsia="仿宋" w:cs="仿宋"/>
          <w:spacing w:val="26"/>
          <w:sz w:val="30"/>
          <w:szCs w:val="30"/>
        </w:rPr>
        <w:t>住院费用整体下降或后续康复治疗费用整体下降等)的拟新增</w:t>
      </w:r>
      <w:r>
        <w:rPr>
          <w:rFonts w:ascii="仿宋" w:hAnsi="仿宋" w:eastAsia="仿宋" w:cs="仿宋"/>
          <w:spacing w:val="6"/>
          <w:sz w:val="30"/>
          <w:szCs w:val="30"/>
        </w:rPr>
        <w:t xml:space="preserve"> </w:t>
      </w:r>
      <w:r>
        <w:rPr>
          <w:rFonts w:ascii="仿宋" w:hAnsi="仿宋" w:eastAsia="仿宋" w:cs="仿宋"/>
          <w:spacing w:val="19"/>
          <w:sz w:val="30"/>
          <w:szCs w:val="30"/>
        </w:rPr>
        <w:t>医疗服务价格项目，承诺新增的项目达到主张的临床效果和经</w:t>
      </w:r>
      <w:r>
        <w:rPr>
          <w:rFonts w:ascii="仿宋" w:hAnsi="仿宋" w:eastAsia="仿宋" w:cs="仿宋"/>
          <w:spacing w:val="17"/>
          <w:sz w:val="30"/>
          <w:szCs w:val="30"/>
        </w:rPr>
        <w:t xml:space="preserve"> </w:t>
      </w:r>
      <w:r>
        <w:rPr>
          <w:rFonts w:ascii="仿宋" w:hAnsi="仿宋" w:eastAsia="仿宋" w:cs="仿宋"/>
          <w:spacing w:val="12"/>
          <w:sz w:val="30"/>
          <w:szCs w:val="30"/>
        </w:rPr>
        <w:t>济效果，以及开展真实世界研究所达到的预期目标及验证事项，</w:t>
      </w:r>
      <w:r>
        <w:rPr>
          <w:rFonts w:ascii="仿宋" w:hAnsi="仿宋" w:eastAsia="仿宋" w:cs="仿宋"/>
          <w:spacing w:val="3"/>
          <w:sz w:val="30"/>
          <w:szCs w:val="30"/>
        </w:rPr>
        <w:t xml:space="preserve"> </w:t>
      </w:r>
      <w:r>
        <w:rPr>
          <w:rFonts w:ascii="仿宋" w:hAnsi="仿宋" w:eastAsia="仿宋" w:cs="仿宋"/>
          <w:spacing w:val="20"/>
          <w:sz w:val="30"/>
          <w:szCs w:val="30"/>
        </w:rPr>
        <w:t>可申请附条件新增立项。附条件新增项目仅限于申请附条件立</w:t>
      </w:r>
    </w:p>
    <w:p>
      <w:pPr>
        <w:spacing w:line="222" w:lineRule="auto"/>
        <w:rPr>
          <w:rFonts w:ascii="仿宋" w:hAnsi="仿宋" w:eastAsia="仿宋" w:cs="仿宋"/>
          <w:sz w:val="30"/>
          <w:szCs w:val="30"/>
        </w:rPr>
      </w:pPr>
      <w:r>
        <w:rPr>
          <w:rFonts w:ascii="仿宋" w:hAnsi="仿宋" w:eastAsia="仿宋" w:cs="仿宋"/>
          <w:spacing w:val="8"/>
          <w:sz w:val="30"/>
          <w:szCs w:val="30"/>
        </w:rPr>
        <w:t>项的医疗机构试用。</w:t>
      </w:r>
    </w:p>
    <w:p>
      <w:pPr>
        <w:spacing w:before="226" w:line="633" w:lineRule="exact"/>
        <w:ind w:right="60"/>
        <w:jc w:val="right"/>
        <w:rPr>
          <w:rFonts w:ascii="仿宋" w:hAnsi="仿宋" w:eastAsia="仿宋" w:cs="仿宋"/>
          <w:sz w:val="30"/>
          <w:szCs w:val="30"/>
        </w:rPr>
      </w:pPr>
      <w:r>
        <w:rPr>
          <w:rFonts w:ascii="黑体" w:hAnsi="黑体" w:eastAsia="黑体" w:cs="黑体"/>
          <w:b/>
          <w:bCs/>
          <w:spacing w:val="24"/>
          <w:position w:val="25"/>
          <w:sz w:val="30"/>
          <w:szCs w:val="30"/>
        </w:rPr>
        <w:t>第七条</w:t>
      </w:r>
      <w:r>
        <w:rPr>
          <w:rFonts w:ascii="黑体" w:hAnsi="黑体" w:eastAsia="黑体" w:cs="黑体"/>
          <w:spacing w:val="59"/>
          <w:position w:val="25"/>
          <w:sz w:val="30"/>
          <w:szCs w:val="30"/>
        </w:rPr>
        <w:t xml:space="preserve"> </w:t>
      </w:r>
      <w:r>
        <w:rPr>
          <w:rFonts w:ascii="仿宋" w:hAnsi="仿宋" w:eastAsia="仿宋" w:cs="仿宋"/>
          <w:spacing w:val="24"/>
          <w:position w:val="25"/>
          <w:sz w:val="30"/>
          <w:szCs w:val="30"/>
        </w:rPr>
        <w:t>各地级以上市医疗保障局负责受理本市行政区域</w:t>
      </w:r>
    </w:p>
    <w:p>
      <w:pPr>
        <w:spacing w:line="222" w:lineRule="auto"/>
        <w:rPr>
          <w:rFonts w:ascii="仿宋" w:hAnsi="仿宋" w:eastAsia="仿宋" w:cs="仿宋"/>
          <w:sz w:val="30"/>
          <w:szCs w:val="30"/>
        </w:rPr>
      </w:pPr>
      <w:r>
        <w:rPr>
          <w:rFonts w:ascii="仿宋" w:hAnsi="仿宋" w:eastAsia="仿宋" w:cs="仿宋"/>
          <w:spacing w:val="9"/>
          <w:sz w:val="30"/>
          <w:szCs w:val="30"/>
        </w:rPr>
        <w:t>内新增医疗服务价格项目。</w:t>
      </w:r>
    </w:p>
    <w:p>
      <w:pPr>
        <w:spacing w:before="238" w:line="369" w:lineRule="auto"/>
        <w:ind w:right="55" w:firstLine="684"/>
        <w:rPr>
          <w:rFonts w:ascii="仿宋" w:hAnsi="仿宋" w:eastAsia="仿宋" w:cs="仿宋"/>
          <w:sz w:val="30"/>
          <w:szCs w:val="30"/>
        </w:rPr>
      </w:pPr>
      <w:r>
        <w:rPr>
          <w:rFonts w:ascii="黑体" w:hAnsi="黑体" w:eastAsia="黑体" w:cs="黑体"/>
          <w:b/>
          <w:bCs/>
          <w:spacing w:val="24"/>
          <w:sz w:val="30"/>
          <w:szCs w:val="30"/>
        </w:rPr>
        <w:t>第八条</w:t>
      </w:r>
      <w:r>
        <w:rPr>
          <w:rFonts w:ascii="黑体" w:hAnsi="黑体" w:eastAsia="黑体" w:cs="黑体"/>
          <w:spacing w:val="65"/>
          <w:sz w:val="30"/>
          <w:szCs w:val="30"/>
        </w:rPr>
        <w:t xml:space="preserve"> </w:t>
      </w:r>
      <w:r>
        <w:rPr>
          <w:rFonts w:ascii="仿宋" w:hAnsi="仿宋" w:eastAsia="仿宋" w:cs="仿宋"/>
          <w:spacing w:val="24"/>
          <w:sz w:val="30"/>
          <w:szCs w:val="30"/>
        </w:rPr>
        <w:t>设置新增项目审核绿色通道，属于以下情形</w:t>
      </w:r>
      <w:r>
        <w:rPr>
          <w:rFonts w:ascii="仿宋" w:hAnsi="仿宋" w:eastAsia="仿宋" w:cs="仿宋"/>
          <w:spacing w:val="23"/>
          <w:sz w:val="30"/>
          <w:szCs w:val="30"/>
        </w:rPr>
        <w:t>之一</w:t>
      </w:r>
      <w:r>
        <w:rPr>
          <w:rFonts w:ascii="仿宋" w:hAnsi="仿宋" w:eastAsia="仿宋" w:cs="仿宋"/>
          <w:sz w:val="30"/>
          <w:szCs w:val="30"/>
        </w:rPr>
        <w:t xml:space="preserve"> </w:t>
      </w:r>
      <w:r>
        <w:rPr>
          <w:rFonts w:ascii="仿宋" w:hAnsi="仿宋" w:eastAsia="仿宋" w:cs="仿宋"/>
          <w:spacing w:val="21"/>
          <w:sz w:val="30"/>
          <w:szCs w:val="30"/>
        </w:rPr>
        <w:t>的，医疗机构直接向省医疗保障局提交材料，同步抄送所在地</w:t>
      </w:r>
    </w:p>
    <w:p>
      <w:pPr>
        <w:spacing w:before="1" w:line="220" w:lineRule="auto"/>
        <w:rPr>
          <w:rFonts w:ascii="仿宋" w:hAnsi="仿宋" w:eastAsia="仿宋" w:cs="仿宋"/>
          <w:sz w:val="30"/>
          <w:szCs w:val="30"/>
        </w:rPr>
      </w:pPr>
      <w:r>
        <w:rPr>
          <w:rFonts w:ascii="仿宋" w:hAnsi="仿宋" w:eastAsia="仿宋" w:cs="仿宋"/>
          <w:spacing w:val="12"/>
          <w:sz w:val="30"/>
          <w:szCs w:val="30"/>
        </w:rPr>
        <w:t>级以上市医疗保障局，简化审核流程：</w:t>
      </w:r>
    </w:p>
    <w:p>
      <w:pPr>
        <w:spacing w:before="242" w:line="588" w:lineRule="exact"/>
        <w:ind w:right="42"/>
        <w:jc w:val="right"/>
        <w:rPr>
          <w:rFonts w:ascii="仿宋" w:hAnsi="仿宋" w:eastAsia="仿宋" w:cs="仿宋"/>
          <w:sz w:val="30"/>
          <w:szCs w:val="30"/>
        </w:rPr>
      </w:pPr>
      <w:r>
        <w:rPr>
          <w:rFonts w:ascii="仿宋" w:hAnsi="仿宋" w:eastAsia="仿宋" w:cs="仿宋"/>
          <w:spacing w:val="28"/>
          <w:position w:val="21"/>
          <w:sz w:val="30"/>
          <w:szCs w:val="30"/>
        </w:rPr>
        <w:t>(一)优化重大疾病、罕见病诊疗方案或填补诊</w:t>
      </w:r>
      <w:r>
        <w:rPr>
          <w:rFonts w:ascii="仿宋" w:hAnsi="仿宋" w:eastAsia="仿宋" w:cs="仿宋"/>
          <w:spacing w:val="27"/>
          <w:position w:val="21"/>
          <w:sz w:val="30"/>
          <w:szCs w:val="30"/>
        </w:rPr>
        <w:t>疗手段空</w:t>
      </w:r>
    </w:p>
    <w:p>
      <w:pPr>
        <w:spacing w:before="1" w:line="222" w:lineRule="auto"/>
        <w:rPr>
          <w:rFonts w:ascii="宋体" w:hAnsi="宋体" w:eastAsia="宋体" w:cs="宋体"/>
          <w:sz w:val="30"/>
          <w:szCs w:val="30"/>
        </w:rPr>
      </w:pPr>
      <w:r>
        <w:rPr>
          <w:rFonts w:ascii="宋体" w:hAnsi="宋体" w:eastAsia="宋体" w:cs="宋体"/>
          <w:spacing w:val="-12"/>
          <w:sz w:val="30"/>
          <w:szCs w:val="30"/>
        </w:rPr>
        <w:t>白的。</w:t>
      </w:r>
    </w:p>
    <w:p>
      <w:pPr>
        <w:spacing w:before="240" w:line="222" w:lineRule="auto"/>
        <w:ind w:left="800"/>
        <w:rPr>
          <w:rFonts w:ascii="仿宋" w:hAnsi="仿宋" w:eastAsia="仿宋" w:cs="仿宋"/>
          <w:sz w:val="30"/>
          <w:szCs w:val="30"/>
        </w:rPr>
      </w:pPr>
      <w:r>
        <w:rPr>
          <w:rFonts w:ascii="仿宋" w:hAnsi="仿宋" w:eastAsia="仿宋" w:cs="仿宋"/>
          <w:spacing w:val="27"/>
          <w:sz w:val="30"/>
          <w:szCs w:val="30"/>
        </w:rPr>
        <w:t>(二)区域医疗中心从输出医院重点引进，我省无相应价</w:t>
      </w:r>
    </w:p>
    <w:p>
      <w:pPr>
        <w:spacing w:line="222" w:lineRule="auto"/>
        <w:rPr>
          <w:rFonts w:ascii="仿宋" w:hAnsi="仿宋" w:eastAsia="仿宋" w:cs="仿宋"/>
          <w:sz w:val="30"/>
          <w:szCs w:val="30"/>
        </w:rPr>
        <w:sectPr>
          <w:footerReference r:id="rId8" w:type="default"/>
          <w:pgSz w:w="11840" w:h="16680"/>
          <w:pgMar w:top="1417" w:right="1619" w:bottom="1790" w:left="1479" w:header="0" w:footer="1492" w:gutter="0"/>
          <w:cols w:space="720" w:num="1"/>
        </w:sectPr>
      </w:pPr>
    </w:p>
    <w:p>
      <w:pPr>
        <w:pStyle w:val="2"/>
        <w:spacing w:line="330" w:lineRule="auto"/>
      </w:pPr>
    </w:p>
    <w:p>
      <w:pPr>
        <w:pStyle w:val="2"/>
        <w:spacing w:line="330" w:lineRule="auto"/>
      </w:pPr>
    </w:p>
    <w:p>
      <w:pPr>
        <w:spacing w:before="101" w:line="222" w:lineRule="auto"/>
        <w:ind w:left="4"/>
        <w:rPr>
          <w:rFonts w:ascii="仿宋" w:hAnsi="仿宋" w:eastAsia="仿宋" w:cs="仿宋"/>
          <w:sz w:val="31"/>
          <w:szCs w:val="31"/>
        </w:rPr>
      </w:pPr>
      <w:r>
        <w:rPr>
          <w:rFonts w:ascii="仿宋" w:hAnsi="仿宋" w:eastAsia="仿宋" w:cs="仿宋"/>
          <w:b/>
          <w:bCs/>
          <w:spacing w:val="-9"/>
          <w:sz w:val="31"/>
          <w:szCs w:val="31"/>
        </w:rPr>
        <w:t>格项目的。</w:t>
      </w:r>
    </w:p>
    <w:p>
      <w:pPr>
        <w:spacing w:before="212" w:line="219" w:lineRule="auto"/>
        <w:ind w:left="794"/>
        <w:rPr>
          <w:rFonts w:ascii="仿宋" w:hAnsi="仿宋" w:eastAsia="仿宋" w:cs="仿宋"/>
          <w:sz w:val="31"/>
          <w:szCs w:val="31"/>
        </w:rPr>
      </w:pPr>
      <w:r>
        <w:rPr>
          <w:rFonts w:ascii="仿宋" w:hAnsi="仿宋" w:eastAsia="仿宋" w:cs="仿宋"/>
          <w:b/>
          <w:bCs/>
          <w:spacing w:val="15"/>
          <w:sz w:val="31"/>
          <w:szCs w:val="31"/>
        </w:rPr>
        <w:t>(三)配合落实国家和省重点改革和创新有关任</w:t>
      </w:r>
      <w:r>
        <w:rPr>
          <w:rFonts w:ascii="仿宋" w:hAnsi="仿宋" w:eastAsia="仿宋" w:cs="仿宋"/>
          <w:b/>
          <w:bCs/>
          <w:spacing w:val="14"/>
          <w:sz w:val="31"/>
          <w:szCs w:val="31"/>
        </w:rPr>
        <w:t>务，并在</w:t>
      </w:r>
    </w:p>
    <w:p>
      <w:pPr>
        <w:spacing w:before="248" w:line="222" w:lineRule="auto"/>
        <w:rPr>
          <w:rFonts w:ascii="仿宋" w:hAnsi="仿宋" w:eastAsia="仿宋" w:cs="仿宋"/>
          <w:sz w:val="31"/>
          <w:szCs w:val="31"/>
        </w:rPr>
      </w:pPr>
      <w:r>
        <w:rPr>
          <w:rFonts w:ascii="仿宋" w:hAnsi="仿宋" w:eastAsia="仿宋" w:cs="仿宋"/>
          <w:spacing w:val="1"/>
          <w:sz w:val="31"/>
          <w:szCs w:val="31"/>
        </w:rPr>
        <w:t>相关政策已经明确的。</w:t>
      </w:r>
    </w:p>
    <w:p>
      <w:pPr>
        <w:spacing w:before="222" w:line="221" w:lineRule="auto"/>
        <w:ind w:left="794"/>
        <w:rPr>
          <w:rFonts w:ascii="仿宋" w:hAnsi="仿宋" w:eastAsia="仿宋" w:cs="仿宋"/>
          <w:sz w:val="31"/>
          <w:szCs w:val="31"/>
        </w:rPr>
      </w:pPr>
      <w:r>
        <w:rPr>
          <w:rFonts w:ascii="仿宋" w:hAnsi="仿宋" w:eastAsia="仿宋" w:cs="仿宋"/>
          <w:b/>
          <w:bCs/>
          <w:spacing w:val="14"/>
          <w:sz w:val="31"/>
          <w:szCs w:val="31"/>
        </w:rPr>
        <w:t>(四)重大疫情和公共卫生事件期间，对于疾病诊断救治</w:t>
      </w:r>
    </w:p>
    <w:p>
      <w:pPr>
        <w:spacing w:before="236" w:line="222" w:lineRule="auto"/>
        <w:rPr>
          <w:rFonts w:ascii="仿宋" w:hAnsi="仿宋" w:eastAsia="仿宋" w:cs="仿宋"/>
          <w:sz w:val="31"/>
          <w:szCs w:val="31"/>
        </w:rPr>
      </w:pPr>
      <w:r>
        <w:rPr>
          <w:rFonts w:ascii="仿宋" w:hAnsi="仿宋" w:eastAsia="仿宋" w:cs="仿宋"/>
          <w:spacing w:val="-2"/>
          <w:sz w:val="31"/>
          <w:szCs w:val="31"/>
        </w:rPr>
        <w:t>急需的新医疗技术。</w:t>
      </w:r>
    </w:p>
    <w:p>
      <w:pPr>
        <w:spacing w:before="244" w:line="221" w:lineRule="auto"/>
        <w:ind w:left="789"/>
        <w:rPr>
          <w:rFonts w:ascii="仿宋" w:hAnsi="仿宋" w:eastAsia="仿宋" w:cs="仿宋"/>
          <w:sz w:val="31"/>
          <w:szCs w:val="31"/>
        </w:rPr>
      </w:pPr>
      <w:r>
        <w:rPr>
          <w:rFonts w:ascii="仿宋" w:hAnsi="仿宋" w:eastAsia="仿宋" w:cs="仿宋"/>
          <w:spacing w:val="14"/>
          <w:sz w:val="31"/>
          <w:szCs w:val="31"/>
        </w:rPr>
        <w:t>(五)国家医疗保障局同意新增，且外省已实施的项目。</w:t>
      </w:r>
    </w:p>
    <w:p>
      <w:pPr>
        <w:spacing w:before="227" w:line="604" w:lineRule="exact"/>
        <w:ind w:right="59"/>
        <w:jc w:val="right"/>
        <w:rPr>
          <w:rFonts w:ascii="仿宋" w:hAnsi="仿宋" w:eastAsia="仿宋" w:cs="仿宋"/>
          <w:sz w:val="31"/>
          <w:szCs w:val="31"/>
        </w:rPr>
      </w:pPr>
      <w:r>
        <w:rPr>
          <w:rFonts w:ascii="仿宋" w:hAnsi="仿宋" w:eastAsia="仿宋" w:cs="仿宋"/>
          <w:spacing w:val="18"/>
          <w:position w:val="21"/>
          <w:sz w:val="31"/>
          <w:szCs w:val="31"/>
        </w:rPr>
        <w:t>(六)现行法律法规、规章、规范性文件规定有必要优先</w:t>
      </w:r>
    </w:p>
    <w:p>
      <w:pPr>
        <w:spacing w:before="1" w:line="222" w:lineRule="auto"/>
        <w:rPr>
          <w:rFonts w:ascii="仿宋" w:hAnsi="仿宋" w:eastAsia="仿宋" w:cs="仿宋"/>
          <w:sz w:val="31"/>
          <w:szCs w:val="31"/>
        </w:rPr>
      </w:pPr>
      <w:r>
        <w:rPr>
          <w:rFonts w:ascii="仿宋" w:hAnsi="仿宋" w:eastAsia="仿宋" w:cs="仿宋"/>
          <w:spacing w:val="-11"/>
          <w:sz w:val="31"/>
          <w:szCs w:val="31"/>
        </w:rPr>
        <w:t>审核的。</w:t>
      </w:r>
    </w:p>
    <w:p>
      <w:pPr>
        <w:pStyle w:val="2"/>
        <w:spacing w:line="242" w:lineRule="auto"/>
      </w:pPr>
    </w:p>
    <w:p>
      <w:pPr>
        <w:pStyle w:val="2"/>
        <w:spacing w:line="242" w:lineRule="auto"/>
      </w:pPr>
    </w:p>
    <w:p>
      <w:pPr>
        <w:pStyle w:val="2"/>
        <w:spacing w:line="243" w:lineRule="auto"/>
      </w:pPr>
    </w:p>
    <w:p>
      <w:pPr>
        <w:spacing w:before="101" w:line="219" w:lineRule="auto"/>
        <w:ind w:left="3324"/>
        <w:rPr>
          <w:rFonts w:ascii="宋体" w:hAnsi="宋体" w:eastAsia="宋体" w:cs="宋体"/>
          <w:sz w:val="31"/>
          <w:szCs w:val="31"/>
        </w:rPr>
      </w:pPr>
      <w:r>
        <w:rPr>
          <w:rFonts w:ascii="宋体" w:hAnsi="宋体" w:eastAsia="宋体" w:cs="宋体"/>
          <w:b/>
          <w:bCs/>
          <w:spacing w:val="36"/>
          <w:sz w:val="31"/>
          <w:szCs w:val="31"/>
        </w:rPr>
        <w:t>第三章审</w:t>
      </w:r>
      <w:r>
        <w:rPr>
          <w:rFonts w:ascii="宋体" w:hAnsi="宋体" w:eastAsia="宋体" w:cs="宋体"/>
          <w:spacing w:val="147"/>
          <w:sz w:val="31"/>
          <w:szCs w:val="31"/>
        </w:rPr>
        <w:t xml:space="preserve"> </w:t>
      </w:r>
      <w:r>
        <w:rPr>
          <w:rFonts w:ascii="宋体" w:hAnsi="宋体" w:eastAsia="宋体" w:cs="宋体"/>
          <w:b/>
          <w:bCs/>
          <w:spacing w:val="36"/>
          <w:sz w:val="31"/>
          <w:szCs w:val="31"/>
        </w:rPr>
        <w:t>核</w:t>
      </w:r>
    </w:p>
    <w:p>
      <w:pPr>
        <w:pStyle w:val="2"/>
        <w:spacing w:line="304" w:lineRule="auto"/>
      </w:pPr>
    </w:p>
    <w:p>
      <w:pPr>
        <w:pStyle w:val="2"/>
        <w:spacing w:line="304" w:lineRule="auto"/>
      </w:pPr>
    </w:p>
    <w:p>
      <w:pPr>
        <w:spacing w:before="102" w:line="363" w:lineRule="auto"/>
        <w:ind w:right="63" w:firstLine="664"/>
        <w:rPr>
          <w:rFonts w:ascii="仿宋" w:hAnsi="仿宋" w:eastAsia="仿宋" w:cs="仿宋"/>
          <w:sz w:val="31"/>
          <w:szCs w:val="31"/>
        </w:rPr>
      </w:pPr>
      <w:r>
        <w:rPr>
          <w:rFonts w:ascii="黑体" w:hAnsi="黑体" w:eastAsia="黑体" w:cs="黑体"/>
          <w:b/>
          <w:bCs/>
          <w:spacing w:val="15"/>
          <w:sz w:val="31"/>
          <w:szCs w:val="31"/>
        </w:rPr>
        <w:t>第九条</w:t>
      </w:r>
      <w:r>
        <w:rPr>
          <w:rFonts w:ascii="黑体" w:hAnsi="黑体" w:eastAsia="黑体" w:cs="黑体"/>
          <w:spacing w:val="62"/>
          <w:sz w:val="31"/>
          <w:szCs w:val="31"/>
        </w:rPr>
        <w:t xml:space="preserve"> </w:t>
      </w:r>
      <w:r>
        <w:rPr>
          <w:rFonts w:ascii="仿宋" w:hAnsi="仿宋" w:eastAsia="仿宋" w:cs="仿宋"/>
          <w:spacing w:val="15"/>
          <w:sz w:val="31"/>
          <w:szCs w:val="31"/>
        </w:rPr>
        <w:t>各地级以上市医疗保障局及省医疗保障局按规定</w:t>
      </w:r>
      <w:r>
        <w:rPr>
          <w:rFonts w:ascii="仿宋" w:hAnsi="仿宋" w:eastAsia="仿宋" w:cs="仿宋"/>
          <w:sz w:val="31"/>
          <w:szCs w:val="31"/>
        </w:rPr>
        <w:t xml:space="preserve"> </w:t>
      </w:r>
      <w:r>
        <w:rPr>
          <w:rFonts w:ascii="仿宋" w:hAnsi="仿宋" w:eastAsia="仿宋" w:cs="仿宋"/>
          <w:spacing w:val="11"/>
          <w:sz w:val="31"/>
          <w:szCs w:val="31"/>
        </w:rPr>
        <w:t>对受理的新增医疗服务价格项目组织逐级审核，原则上每年启</w:t>
      </w:r>
    </w:p>
    <w:p>
      <w:pPr>
        <w:spacing w:line="220" w:lineRule="auto"/>
        <w:rPr>
          <w:rFonts w:ascii="仿宋" w:hAnsi="仿宋" w:eastAsia="仿宋" w:cs="仿宋"/>
          <w:sz w:val="31"/>
          <w:szCs w:val="31"/>
        </w:rPr>
      </w:pPr>
      <w:r>
        <w:rPr>
          <w:rFonts w:ascii="仿宋" w:hAnsi="仿宋" w:eastAsia="仿宋" w:cs="仿宋"/>
          <w:spacing w:val="7"/>
          <w:sz w:val="31"/>
          <w:szCs w:val="31"/>
        </w:rPr>
        <w:t>动一次审核工作，如遇紧急疫情等特殊情况，随时进行审核。</w:t>
      </w:r>
    </w:p>
    <w:p>
      <w:pPr>
        <w:spacing w:before="231" w:line="222" w:lineRule="auto"/>
        <w:ind w:left="674"/>
        <w:rPr>
          <w:rFonts w:ascii="仿宋" w:hAnsi="仿宋" w:eastAsia="仿宋" w:cs="仿宋"/>
          <w:sz w:val="31"/>
          <w:szCs w:val="31"/>
        </w:rPr>
      </w:pPr>
      <w:r>
        <w:rPr>
          <w:rFonts w:ascii="黑体" w:hAnsi="黑体" w:eastAsia="黑体" w:cs="黑体"/>
          <w:b/>
          <w:bCs/>
          <w:spacing w:val="1"/>
          <w:sz w:val="31"/>
          <w:szCs w:val="31"/>
        </w:rPr>
        <w:t>第十条</w:t>
      </w:r>
      <w:r>
        <w:rPr>
          <w:rFonts w:ascii="黑体" w:hAnsi="黑体" w:eastAsia="黑体" w:cs="黑体"/>
          <w:spacing w:val="66"/>
          <w:sz w:val="31"/>
          <w:szCs w:val="31"/>
        </w:rPr>
        <w:t xml:space="preserve"> </w:t>
      </w:r>
      <w:r>
        <w:rPr>
          <w:rFonts w:ascii="仿宋" w:hAnsi="仿宋" w:eastAsia="仿宋" w:cs="仿宋"/>
          <w:spacing w:val="1"/>
          <w:sz w:val="31"/>
          <w:szCs w:val="31"/>
        </w:rPr>
        <w:t>有下列情形之一的，审核不予通过：</w:t>
      </w:r>
    </w:p>
    <w:p>
      <w:pPr>
        <w:spacing w:before="219" w:line="357" w:lineRule="auto"/>
        <w:ind w:firstLine="789"/>
        <w:rPr>
          <w:rFonts w:ascii="仿宋" w:hAnsi="仿宋" w:eastAsia="仿宋" w:cs="仿宋"/>
          <w:sz w:val="31"/>
          <w:szCs w:val="31"/>
        </w:rPr>
      </w:pPr>
      <w:r>
        <w:rPr>
          <w:rFonts w:ascii="仿宋" w:hAnsi="仿宋" w:eastAsia="仿宋" w:cs="仿宋"/>
          <w:spacing w:val="18"/>
          <w:sz w:val="31"/>
          <w:szCs w:val="31"/>
        </w:rPr>
        <w:t>(一)属于非医疗活动的，包括但不限于教育培训、科研</w:t>
      </w:r>
      <w:r>
        <w:rPr>
          <w:rFonts w:ascii="仿宋" w:hAnsi="仿宋" w:eastAsia="仿宋" w:cs="仿宋"/>
          <w:spacing w:val="10"/>
          <w:sz w:val="31"/>
          <w:szCs w:val="31"/>
        </w:rPr>
        <w:t xml:space="preserve"> </w:t>
      </w:r>
      <w:r>
        <w:rPr>
          <w:rFonts w:ascii="仿宋" w:hAnsi="仿宋" w:eastAsia="仿宋" w:cs="仿宋"/>
          <w:spacing w:val="2"/>
          <w:sz w:val="31"/>
          <w:szCs w:val="31"/>
        </w:rPr>
        <w:t>随访、数据处理、资料复制、便民服务、生活照料、精神慰藉、</w:t>
      </w:r>
    </w:p>
    <w:p>
      <w:pPr>
        <w:spacing w:before="1" w:line="220" w:lineRule="auto"/>
        <w:rPr>
          <w:rFonts w:ascii="仿宋" w:hAnsi="仿宋" w:eastAsia="仿宋" w:cs="仿宋"/>
          <w:sz w:val="31"/>
          <w:szCs w:val="31"/>
        </w:rPr>
      </w:pPr>
      <w:r>
        <w:rPr>
          <w:rFonts w:ascii="仿宋" w:hAnsi="仿宋" w:eastAsia="仿宋" w:cs="仿宋"/>
          <w:spacing w:val="-4"/>
          <w:sz w:val="31"/>
          <w:szCs w:val="31"/>
        </w:rPr>
        <w:t>养生保健等。</w:t>
      </w:r>
    </w:p>
    <w:p>
      <w:pPr>
        <w:spacing w:before="237" w:line="361" w:lineRule="auto"/>
        <w:ind w:right="59" w:firstLine="789"/>
        <w:rPr>
          <w:rFonts w:ascii="仿宋" w:hAnsi="仿宋" w:eastAsia="仿宋" w:cs="仿宋"/>
          <w:sz w:val="31"/>
          <w:szCs w:val="31"/>
        </w:rPr>
      </w:pPr>
      <w:r>
        <w:rPr>
          <w:rFonts w:ascii="仿宋" w:hAnsi="仿宋" w:eastAsia="仿宋" w:cs="仿宋"/>
          <w:spacing w:val="18"/>
          <w:sz w:val="31"/>
          <w:szCs w:val="31"/>
        </w:rPr>
        <w:t>(二)属于医疗活动，但服务和收费的性质属于公共卫生</w:t>
      </w:r>
      <w:r>
        <w:rPr>
          <w:rFonts w:ascii="仿宋" w:hAnsi="仿宋" w:eastAsia="仿宋" w:cs="仿宋"/>
          <w:spacing w:val="14"/>
          <w:sz w:val="31"/>
          <w:szCs w:val="31"/>
        </w:rPr>
        <w:t xml:space="preserve"> </w:t>
      </w:r>
      <w:r>
        <w:rPr>
          <w:rFonts w:ascii="仿宋" w:hAnsi="仿宋" w:eastAsia="仿宋" w:cs="仿宋"/>
          <w:spacing w:val="12"/>
          <w:sz w:val="31"/>
          <w:szCs w:val="31"/>
        </w:rPr>
        <w:t>服务、行政事业性收费、经营服务性收费，或</w:t>
      </w:r>
      <w:r>
        <w:rPr>
          <w:rFonts w:ascii="仿宋" w:hAnsi="仿宋" w:eastAsia="仿宋" w:cs="仿宋"/>
          <w:spacing w:val="11"/>
          <w:sz w:val="31"/>
          <w:szCs w:val="31"/>
        </w:rPr>
        <w:t>医疗机构代收费</w:t>
      </w:r>
    </w:p>
    <w:p>
      <w:pPr>
        <w:spacing w:line="222" w:lineRule="auto"/>
        <w:rPr>
          <w:rFonts w:ascii="宋体" w:hAnsi="宋体" w:eastAsia="宋体" w:cs="宋体"/>
          <w:sz w:val="31"/>
          <w:szCs w:val="31"/>
        </w:rPr>
      </w:pPr>
      <w:r>
        <w:rPr>
          <w:rFonts w:ascii="宋体" w:hAnsi="宋体" w:eastAsia="宋体" w:cs="宋体"/>
          <w:spacing w:val="-21"/>
          <w:sz w:val="31"/>
          <w:szCs w:val="31"/>
        </w:rPr>
        <w:t>的。</w:t>
      </w:r>
    </w:p>
    <w:p>
      <w:pPr>
        <w:spacing w:line="222" w:lineRule="auto"/>
        <w:rPr>
          <w:rFonts w:ascii="宋体" w:hAnsi="宋体" w:eastAsia="宋体" w:cs="宋体"/>
          <w:sz w:val="31"/>
          <w:szCs w:val="31"/>
        </w:rPr>
        <w:sectPr>
          <w:footerReference r:id="rId9" w:type="default"/>
          <w:pgSz w:w="11840" w:h="16720"/>
          <w:pgMar w:top="1421" w:right="1504" w:bottom="1756" w:left="1580" w:header="0" w:footer="1520" w:gutter="0"/>
          <w:cols w:space="720" w:num="1"/>
        </w:sectPr>
      </w:pPr>
    </w:p>
    <w:p>
      <w:pPr>
        <w:pStyle w:val="2"/>
        <w:spacing w:line="342" w:lineRule="auto"/>
      </w:pPr>
    </w:p>
    <w:p>
      <w:pPr>
        <w:pStyle w:val="2"/>
        <w:spacing w:line="343" w:lineRule="auto"/>
      </w:pPr>
    </w:p>
    <w:p>
      <w:pPr>
        <w:spacing w:before="101" w:line="600" w:lineRule="exact"/>
        <w:ind w:left="789"/>
        <w:rPr>
          <w:rFonts w:ascii="仿宋" w:hAnsi="仿宋" w:eastAsia="仿宋" w:cs="仿宋"/>
          <w:sz w:val="31"/>
          <w:szCs w:val="31"/>
        </w:rPr>
      </w:pPr>
      <w:r>
        <w:rPr>
          <w:rFonts w:ascii="仿宋" w:hAnsi="仿宋" w:eastAsia="仿宋" w:cs="仿宋"/>
          <w:spacing w:val="18"/>
          <w:position w:val="21"/>
          <w:sz w:val="31"/>
          <w:szCs w:val="31"/>
        </w:rPr>
        <w:t>(三)属于医疗活动，但仅发生于医疗机构之间、医</w:t>
      </w:r>
      <w:r>
        <w:rPr>
          <w:rFonts w:ascii="仿宋" w:hAnsi="仿宋" w:eastAsia="仿宋" w:cs="仿宋"/>
          <w:spacing w:val="17"/>
          <w:position w:val="21"/>
          <w:sz w:val="31"/>
          <w:szCs w:val="31"/>
        </w:rPr>
        <w:t>疗机</w:t>
      </w:r>
    </w:p>
    <w:p>
      <w:pPr>
        <w:spacing w:before="1" w:line="221" w:lineRule="auto"/>
        <w:rPr>
          <w:rFonts w:ascii="仿宋" w:hAnsi="仿宋" w:eastAsia="仿宋" w:cs="仿宋"/>
          <w:sz w:val="31"/>
          <w:szCs w:val="31"/>
        </w:rPr>
      </w:pPr>
      <w:r>
        <w:rPr>
          <w:rFonts w:ascii="仿宋" w:hAnsi="仿宋" w:eastAsia="仿宋" w:cs="仿宋"/>
          <w:spacing w:val="5"/>
          <w:sz w:val="31"/>
          <w:szCs w:val="31"/>
        </w:rPr>
        <w:t>构与其他机构之间，不直接面向患者服务的。</w:t>
      </w:r>
    </w:p>
    <w:p>
      <w:pPr>
        <w:spacing w:before="235" w:line="611" w:lineRule="exact"/>
        <w:ind w:left="789"/>
        <w:rPr>
          <w:rFonts w:ascii="仿宋" w:hAnsi="仿宋" w:eastAsia="仿宋" w:cs="仿宋"/>
          <w:sz w:val="31"/>
          <w:szCs w:val="31"/>
        </w:rPr>
      </w:pPr>
      <w:r>
        <w:rPr>
          <w:rFonts w:ascii="仿宋" w:hAnsi="仿宋" w:eastAsia="仿宋" w:cs="仿宋"/>
          <w:spacing w:val="18"/>
          <w:position w:val="22"/>
          <w:sz w:val="31"/>
          <w:szCs w:val="31"/>
        </w:rPr>
        <w:t>(四)项目名称不规范，没有项目内涵或内涵</w:t>
      </w:r>
      <w:r>
        <w:rPr>
          <w:rFonts w:ascii="仿宋" w:hAnsi="仿宋" w:eastAsia="仿宋" w:cs="仿宋"/>
          <w:spacing w:val="17"/>
          <w:position w:val="22"/>
          <w:sz w:val="31"/>
          <w:szCs w:val="31"/>
        </w:rPr>
        <w:t>不清晰，变</w:t>
      </w:r>
    </w:p>
    <w:p>
      <w:pPr>
        <w:spacing w:before="1" w:line="220" w:lineRule="auto"/>
        <w:rPr>
          <w:rFonts w:ascii="仿宋" w:hAnsi="仿宋" w:eastAsia="仿宋" w:cs="仿宋"/>
          <w:sz w:val="31"/>
          <w:szCs w:val="31"/>
        </w:rPr>
      </w:pPr>
      <w:r>
        <w:rPr>
          <w:rFonts w:ascii="仿宋" w:hAnsi="仿宋" w:eastAsia="仿宋" w:cs="仿宋"/>
          <w:spacing w:val="5"/>
          <w:sz w:val="31"/>
          <w:szCs w:val="31"/>
        </w:rPr>
        <w:t>更全省统一医疗服务价格项目名称、内涵的。</w:t>
      </w:r>
    </w:p>
    <w:p>
      <w:pPr>
        <w:spacing w:before="226" w:line="605" w:lineRule="exact"/>
        <w:ind w:left="789"/>
        <w:rPr>
          <w:rFonts w:ascii="仿宋" w:hAnsi="仿宋" w:eastAsia="仿宋" w:cs="仿宋"/>
          <w:sz w:val="31"/>
          <w:szCs w:val="31"/>
        </w:rPr>
      </w:pPr>
      <w:r>
        <w:rPr>
          <w:rFonts w:ascii="仿宋" w:hAnsi="仿宋" w:eastAsia="仿宋" w:cs="仿宋"/>
          <w:spacing w:val="17"/>
          <w:position w:val="22"/>
          <w:sz w:val="31"/>
          <w:szCs w:val="31"/>
        </w:rPr>
        <w:t>(五)按照技术细节、操作步骤、岗位分工、应用场景等</w:t>
      </w:r>
    </w:p>
    <w:p>
      <w:pPr>
        <w:spacing w:line="222" w:lineRule="auto"/>
        <w:rPr>
          <w:rFonts w:ascii="仿宋" w:hAnsi="仿宋" w:eastAsia="仿宋" w:cs="仿宋"/>
          <w:sz w:val="31"/>
          <w:szCs w:val="31"/>
        </w:rPr>
      </w:pPr>
      <w:r>
        <w:rPr>
          <w:rFonts w:ascii="仿宋" w:hAnsi="仿宋" w:eastAsia="仿宋" w:cs="仿宋"/>
          <w:spacing w:val="3"/>
          <w:sz w:val="31"/>
          <w:szCs w:val="31"/>
        </w:rPr>
        <w:t>拆分重组医疗服务价格项目的。</w:t>
      </w:r>
    </w:p>
    <w:p>
      <w:pPr>
        <w:spacing w:before="217" w:line="606" w:lineRule="exact"/>
        <w:ind w:right="20"/>
        <w:jc w:val="right"/>
        <w:rPr>
          <w:rFonts w:ascii="仿宋" w:hAnsi="仿宋" w:eastAsia="仿宋" w:cs="仿宋"/>
          <w:sz w:val="31"/>
          <w:szCs w:val="31"/>
        </w:rPr>
      </w:pPr>
      <w:r>
        <w:rPr>
          <w:rFonts w:ascii="仿宋" w:hAnsi="仿宋" w:eastAsia="仿宋" w:cs="仿宋"/>
          <w:spacing w:val="9"/>
          <w:position w:val="22"/>
          <w:sz w:val="31"/>
          <w:szCs w:val="31"/>
        </w:rPr>
        <w:t>(六)按特定设备、耗材、发明人、技术流派等要素设立，</w:t>
      </w:r>
    </w:p>
    <w:p>
      <w:pPr>
        <w:spacing w:line="220" w:lineRule="auto"/>
        <w:rPr>
          <w:rFonts w:ascii="仿宋" w:hAnsi="仿宋" w:eastAsia="仿宋" w:cs="仿宋"/>
          <w:sz w:val="31"/>
          <w:szCs w:val="31"/>
        </w:rPr>
      </w:pPr>
      <w:r>
        <w:rPr>
          <w:rFonts w:ascii="仿宋" w:hAnsi="仿宋" w:eastAsia="仿宋" w:cs="仿宋"/>
          <w:spacing w:val="-4"/>
          <w:sz w:val="31"/>
          <w:szCs w:val="31"/>
        </w:rPr>
        <w:t>具有排他性的。</w:t>
      </w:r>
    </w:p>
    <w:p>
      <w:pPr>
        <w:spacing w:before="240" w:line="604" w:lineRule="exact"/>
        <w:ind w:left="789"/>
        <w:rPr>
          <w:rFonts w:ascii="仿宋" w:hAnsi="仿宋" w:eastAsia="仿宋" w:cs="仿宋"/>
          <w:sz w:val="31"/>
          <w:szCs w:val="31"/>
        </w:rPr>
      </w:pPr>
      <w:r>
        <w:rPr>
          <w:rFonts w:ascii="仿宋" w:hAnsi="仿宋" w:eastAsia="仿宋" w:cs="仿宋"/>
          <w:spacing w:val="17"/>
          <w:position w:val="22"/>
          <w:sz w:val="31"/>
          <w:szCs w:val="31"/>
        </w:rPr>
        <w:t>(七)属于现行医疗服务价格项目可兼容的新医疗技术或</w:t>
      </w:r>
    </w:p>
    <w:p>
      <w:pPr>
        <w:spacing w:before="1" w:line="222" w:lineRule="auto"/>
        <w:rPr>
          <w:rFonts w:ascii="仿宋" w:hAnsi="仿宋" w:eastAsia="仿宋" w:cs="仿宋"/>
          <w:sz w:val="31"/>
          <w:szCs w:val="31"/>
        </w:rPr>
      </w:pPr>
      <w:r>
        <w:rPr>
          <w:rFonts w:ascii="仿宋" w:hAnsi="仿宋" w:eastAsia="仿宋" w:cs="仿宋"/>
          <w:spacing w:val="-5"/>
          <w:sz w:val="31"/>
          <w:szCs w:val="31"/>
        </w:rPr>
        <w:t>新医疗活动。</w:t>
      </w:r>
    </w:p>
    <w:p>
      <w:pPr>
        <w:spacing w:before="216" w:line="363" w:lineRule="auto"/>
        <w:ind w:firstLine="789"/>
        <w:rPr>
          <w:rFonts w:ascii="仿宋" w:hAnsi="仿宋" w:eastAsia="仿宋" w:cs="仿宋"/>
          <w:sz w:val="31"/>
          <w:szCs w:val="31"/>
        </w:rPr>
      </w:pPr>
      <w:r>
        <w:rPr>
          <w:rFonts w:ascii="仿宋" w:hAnsi="仿宋" w:eastAsia="仿宋" w:cs="仿宋"/>
          <w:spacing w:val="10"/>
          <w:sz w:val="31"/>
          <w:szCs w:val="31"/>
        </w:rPr>
        <w:t>(八)虽然使用新技术、新设备、新试剂等</w:t>
      </w:r>
      <w:r>
        <w:rPr>
          <w:rFonts w:ascii="仿宋" w:hAnsi="仿宋" w:eastAsia="仿宋" w:cs="仿宋"/>
          <w:spacing w:val="9"/>
          <w:sz w:val="31"/>
          <w:szCs w:val="31"/>
        </w:rPr>
        <w:t>，但诊疗目的、</w:t>
      </w:r>
      <w:r>
        <w:rPr>
          <w:rFonts w:ascii="仿宋" w:hAnsi="仿宋" w:eastAsia="仿宋" w:cs="仿宋"/>
          <w:sz w:val="31"/>
          <w:szCs w:val="31"/>
        </w:rPr>
        <w:t xml:space="preserve"> </w:t>
      </w:r>
      <w:r>
        <w:rPr>
          <w:rFonts w:ascii="仿宋" w:hAnsi="仿宋" w:eastAsia="仿宋" w:cs="仿宋"/>
          <w:spacing w:val="10"/>
          <w:sz w:val="31"/>
          <w:szCs w:val="31"/>
        </w:rPr>
        <w:t>服务产出与全省统一医疗服务价格项目内的项目一致，诊疗效</w:t>
      </w:r>
    </w:p>
    <w:p>
      <w:pPr>
        <w:spacing w:before="1" w:line="221" w:lineRule="auto"/>
        <w:rPr>
          <w:rFonts w:ascii="仿宋" w:hAnsi="仿宋" w:eastAsia="仿宋" w:cs="仿宋"/>
          <w:sz w:val="31"/>
          <w:szCs w:val="31"/>
        </w:rPr>
      </w:pPr>
      <w:r>
        <w:rPr>
          <w:rFonts w:ascii="仿宋" w:hAnsi="仿宋" w:eastAsia="仿宋" w:cs="仿宋"/>
          <w:spacing w:val="4"/>
          <w:sz w:val="31"/>
          <w:szCs w:val="31"/>
        </w:rPr>
        <w:t>果无明显提高，成本上升较大的。</w:t>
      </w:r>
    </w:p>
    <w:p>
      <w:pPr>
        <w:spacing w:before="225" w:line="612" w:lineRule="exact"/>
        <w:ind w:left="789"/>
        <w:rPr>
          <w:rFonts w:ascii="仿宋" w:hAnsi="仿宋" w:eastAsia="仿宋" w:cs="仿宋"/>
          <w:sz w:val="31"/>
          <w:szCs w:val="31"/>
        </w:rPr>
      </w:pPr>
      <w:r>
        <w:rPr>
          <w:rFonts w:ascii="仿宋" w:hAnsi="仿宋" w:eastAsia="仿宋" w:cs="仿宋"/>
          <w:spacing w:val="16"/>
          <w:position w:val="22"/>
          <w:sz w:val="31"/>
          <w:szCs w:val="31"/>
        </w:rPr>
        <w:t>(九)不符合国家医疗保障局发布的立项指</w:t>
      </w:r>
      <w:r>
        <w:rPr>
          <w:rFonts w:ascii="仿宋" w:hAnsi="仿宋" w:eastAsia="仿宋" w:cs="仿宋"/>
          <w:spacing w:val="15"/>
          <w:position w:val="22"/>
          <w:sz w:val="31"/>
          <w:szCs w:val="31"/>
        </w:rPr>
        <w:t>南相关精神，</w:t>
      </w:r>
    </w:p>
    <w:p>
      <w:pPr>
        <w:spacing w:before="1" w:line="220" w:lineRule="auto"/>
        <w:rPr>
          <w:rFonts w:ascii="仿宋" w:hAnsi="仿宋" w:eastAsia="仿宋" w:cs="仿宋"/>
          <w:sz w:val="31"/>
          <w:szCs w:val="31"/>
        </w:rPr>
      </w:pPr>
      <w:r>
        <w:rPr>
          <w:rFonts w:ascii="仿宋" w:hAnsi="仿宋" w:eastAsia="仿宋" w:cs="仿宋"/>
          <w:spacing w:val="4"/>
          <w:sz w:val="31"/>
          <w:szCs w:val="31"/>
        </w:rPr>
        <w:t>或国家医疗保障局明确不予新增的。</w:t>
      </w:r>
    </w:p>
    <w:p>
      <w:pPr>
        <w:spacing w:before="228" w:line="593" w:lineRule="exact"/>
        <w:ind w:left="789"/>
        <w:rPr>
          <w:rFonts w:ascii="仿宋" w:hAnsi="仿宋" w:eastAsia="仿宋" w:cs="仿宋"/>
          <w:sz w:val="31"/>
          <w:szCs w:val="31"/>
        </w:rPr>
      </w:pPr>
      <w:r>
        <w:rPr>
          <w:rFonts w:ascii="仿宋" w:hAnsi="仿宋" w:eastAsia="仿宋" w:cs="仿宋"/>
          <w:spacing w:val="17"/>
          <w:position w:val="21"/>
          <w:sz w:val="31"/>
          <w:szCs w:val="31"/>
        </w:rPr>
        <w:t>(十)不符合法律法规、规章、规范性文件规定，或被相</w:t>
      </w:r>
    </w:p>
    <w:p>
      <w:pPr>
        <w:spacing w:before="1" w:line="221" w:lineRule="auto"/>
        <w:rPr>
          <w:rFonts w:ascii="仿宋" w:hAnsi="仿宋" w:eastAsia="仿宋" w:cs="仿宋"/>
          <w:sz w:val="31"/>
          <w:szCs w:val="31"/>
        </w:rPr>
      </w:pPr>
      <w:r>
        <w:rPr>
          <w:rFonts w:ascii="仿宋" w:hAnsi="仿宋" w:eastAsia="仿宋" w:cs="仿宋"/>
          <w:spacing w:val="1"/>
          <w:sz w:val="31"/>
          <w:szCs w:val="31"/>
        </w:rPr>
        <w:t>关职能部门取消或废止的。</w:t>
      </w:r>
    </w:p>
    <w:p>
      <w:pPr>
        <w:spacing w:before="214" w:line="358" w:lineRule="auto"/>
        <w:ind w:right="112" w:firstLine="684"/>
        <w:rPr>
          <w:rFonts w:ascii="仿宋" w:hAnsi="仿宋" w:eastAsia="仿宋" w:cs="仿宋"/>
          <w:sz w:val="31"/>
          <w:szCs w:val="31"/>
        </w:rPr>
      </w:pPr>
      <w:r>
        <w:rPr>
          <w:rFonts w:ascii="黑体" w:hAnsi="黑体" w:eastAsia="黑体" w:cs="黑体"/>
          <w:b/>
          <w:bCs/>
          <w:spacing w:val="15"/>
          <w:sz w:val="31"/>
          <w:szCs w:val="31"/>
        </w:rPr>
        <w:t>第十一条</w:t>
      </w:r>
      <w:r>
        <w:rPr>
          <w:rFonts w:ascii="黑体" w:hAnsi="黑体" w:eastAsia="黑体" w:cs="黑体"/>
          <w:spacing w:val="15"/>
          <w:sz w:val="31"/>
          <w:szCs w:val="31"/>
        </w:rPr>
        <w:t xml:space="preserve"> </w:t>
      </w:r>
      <w:r>
        <w:rPr>
          <w:rFonts w:ascii="仿宋" w:hAnsi="仿宋" w:eastAsia="仿宋" w:cs="仿宋"/>
          <w:spacing w:val="15"/>
          <w:sz w:val="31"/>
          <w:szCs w:val="31"/>
        </w:rPr>
        <w:t>对临床诊疗以及公共卫生方面急需的新医疗技</w:t>
      </w:r>
      <w:r>
        <w:rPr>
          <w:rFonts w:ascii="仿宋" w:hAnsi="仿宋" w:eastAsia="仿宋" w:cs="仿宋"/>
          <w:spacing w:val="14"/>
          <w:sz w:val="31"/>
          <w:szCs w:val="31"/>
        </w:rPr>
        <w:t xml:space="preserve"> </w:t>
      </w:r>
      <w:r>
        <w:rPr>
          <w:rFonts w:ascii="仿宋" w:hAnsi="仿宋" w:eastAsia="仿宋" w:cs="仿宋"/>
          <w:spacing w:val="11"/>
          <w:sz w:val="31"/>
          <w:szCs w:val="31"/>
        </w:rPr>
        <w:t>术和医疗活动，临床试验已有数据显示疗效并已</w:t>
      </w:r>
      <w:r>
        <w:rPr>
          <w:rFonts w:ascii="仿宋" w:hAnsi="仿宋" w:eastAsia="仿宋" w:cs="仿宋"/>
          <w:spacing w:val="10"/>
          <w:sz w:val="31"/>
          <w:szCs w:val="31"/>
        </w:rPr>
        <w:t>承诺其预期临</w:t>
      </w:r>
      <w:r>
        <w:rPr>
          <w:rFonts w:ascii="仿宋" w:hAnsi="仿宋" w:eastAsia="仿宋" w:cs="仿宋"/>
          <w:sz w:val="31"/>
          <w:szCs w:val="31"/>
        </w:rPr>
        <w:t xml:space="preserve"> </w:t>
      </w:r>
      <w:r>
        <w:rPr>
          <w:rFonts w:ascii="仿宋" w:hAnsi="仿宋" w:eastAsia="仿宋" w:cs="仿宋"/>
          <w:spacing w:val="10"/>
          <w:sz w:val="31"/>
          <w:szCs w:val="31"/>
        </w:rPr>
        <w:t>床价值、社会价值和经济价值的，可附条件新增立项，并在医</w:t>
      </w:r>
    </w:p>
    <w:p>
      <w:pPr>
        <w:spacing w:before="1" w:line="221" w:lineRule="auto"/>
        <w:rPr>
          <w:rFonts w:ascii="仿宋" w:hAnsi="仿宋" w:eastAsia="仿宋" w:cs="仿宋"/>
          <w:sz w:val="31"/>
          <w:szCs w:val="31"/>
        </w:rPr>
      </w:pPr>
      <w:r>
        <w:rPr>
          <w:rFonts w:ascii="仿宋" w:hAnsi="仿宋" w:eastAsia="仿宋" w:cs="仿宋"/>
          <w:spacing w:val="2"/>
          <w:sz w:val="31"/>
          <w:szCs w:val="31"/>
        </w:rPr>
        <w:t>疗服务价格项目中标注其相关事项。</w:t>
      </w:r>
    </w:p>
    <w:p>
      <w:pPr>
        <w:spacing w:line="221" w:lineRule="auto"/>
        <w:rPr>
          <w:rFonts w:ascii="仿宋" w:hAnsi="仿宋" w:eastAsia="仿宋" w:cs="仿宋"/>
          <w:sz w:val="31"/>
          <w:szCs w:val="31"/>
        </w:rPr>
        <w:sectPr>
          <w:footerReference r:id="rId10" w:type="default"/>
          <w:pgSz w:w="11840" w:h="16690"/>
          <w:pgMar w:top="1418" w:right="1545" w:bottom="1717" w:left="1500" w:header="0" w:footer="1510" w:gutter="0"/>
          <w:cols w:space="720" w:num="1"/>
        </w:sectPr>
      </w:pPr>
    </w:p>
    <w:p>
      <w:pPr>
        <w:pStyle w:val="2"/>
        <w:spacing w:line="321" w:lineRule="auto"/>
      </w:pPr>
    </w:p>
    <w:p>
      <w:pPr>
        <w:pStyle w:val="2"/>
        <w:spacing w:line="321" w:lineRule="auto"/>
      </w:pPr>
    </w:p>
    <w:p>
      <w:pPr>
        <w:spacing w:before="101" w:line="602" w:lineRule="exact"/>
        <w:ind w:left="640"/>
        <w:rPr>
          <w:rFonts w:ascii="仿宋" w:hAnsi="仿宋" w:eastAsia="仿宋" w:cs="仿宋"/>
          <w:sz w:val="31"/>
          <w:szCs w:val="31"/>
        </w:rPr>
      </w:pPr>
      <w:r>
        <w:rPr>
          <w:rFonts w:ascii="仿宋" w:hAnsi="仿宋" w:eastAsia="仿宋" w:cs="仿宋"/>
          <w:spacing w:val="10"/>
          <w:position w:val="21"/>
          <w:sz w:val="31"/>
          <w:szCs w:val="31"/>
        </w:rPr>
        <w:t>重大疫情等公共卫生事件期间，对于疾病诊断救治急需的</w:t>
      </w:r>
    </w:p>
    <w:p>
      <w:pPr>
        <w:spacing w:line="222" w:lineRule="auto"/>
        <w:rPr>
          <w:rFonts w:ascii="仿宋" w:hAnsi="仿宋" w:eastAsia="仿宋" w:cs="仿宋"/>
          <w:sz w:val="31"/>
          <w:szCs w:val="31"/>
        </w:rPr>
      </w:pPr>
      <w:r>
        <w:rPr>
          <w:rFonts w:ascii="仿宋" w:hAnsi="仿宋" w:eastAsia="仿宋" w:cs="仿宋"/>
          <w:spacing w:val="4"/>
          <w:sz w:val="31"/>
          <w:szCs w:val="31"/>
        </w:rPr>
        <w:t>新医疗技术，可设置临时新增项目。</w:t>
      </w:r>
    </w:p>
    <w:p>
      <w:pPr>
        <w:spacing w:before="225" w:line="363" w:lineRule="auto"/>
        <w:ind w:right="40" w:firstLine="644"/>
        <w:rPr>
          <w:rFonts w:ascii="仿宋" w:hAnsi="仿宋" w:eastAsia="仿宋" w:cs="仿宋"/>
          <w:sz w:val="31"/>
          <w:szCs w:val="31"/>
        </w:rPr>
      </w:pPr>
      <w:r>
        <w:rPr>
          <w:rFonts w:ascii="黑体" w:hAnsi="黑体" w:eastAsia="黑体" w:cs="黑体"/>
          <w:b/>
          <w:bCs/>
          <w:spacing w:val="6"/>
          <w:sz w:val="31"/>
          <w:szCs w:val="31"/>
        </w:rPr>
        <w:t>第十二条</w:t>
      </w:r>
      <w:r>
        <w:rPr>
          <w:rFonts w:ascii="黑体" w:hAnsi="黑体" w:eastAsia="黑体" w:cs="黑体"/>
          <w:spacing w:val="6"/>
          <w:sz w:val="31"/>
          <w:szCs w:val="31"/>
        </w:rPr>
        <w:t xml:space="preserve"> </w:t>
      </w:r>
      <w:r>
        <w:rPr>
          <w:rFonts w:ascii="仿宋" w:hAnsi="仿宋" w:eastAsia="仿宋" w:cs="仿宋"/>
          <w:spacing w:val="6"/>
          <w:sz w:val="31"/>
          <w:szCs w:val="31"/>
        </w:rPr>
        <w:t>省医疗保障局组织专家论证。论证时选取医疗、</w:t>
      </w:r>
      <w:r>
        <w:rPr>
          <w:rFonts w:ascii="仿宋" w:hAnsi="仿宋" w:eastAsia="仿宋" w:cs="仿宋"/>
          <w:spacing w:val="5"/>
          <w:sz w:val="31"/>
          <w:szCs w:val="31"/>
        </w:rPr>
        <w:t xml:space="preserve"> </w:t>
      </w:r>
      <w:r>
        <w:rPr>
          <w:rFonts w:ascii="仿宋" w:hAnsi="仿宋" w:eastAsia="仿宋" w:cs="仿宋"/>
          <w:spacing w:val="27"/>
          <w:sz w:val="31"/>
          <w:szCs w:val="31"/>
        </w:rPr>
        <w:t>医务、价格(收费)及医保等领域专家，专家人</w:t>
      </w:r>
      <w:r>
        <w:rPr>
          <w:rFonts w:ascii="仿宋" w:hAnsi="仿宋" w:eastAsia="仿宋" w:cs="仿宋"/>
          <w:spacing w:val="26"/>
          <w:sz w:val="31"/>
          <w:szCs w:val="31"/>
        </w:rPr>
        <w:t>数为不少于7</w:t>
      </w:r>
    </w:p>
    <w:p>
      <w:pPr>
        <w:spacing w:before="1" w:line="220" w:lineRule="auto"/>
        <w:rPr>
          <w:rFonts w:ascii="仿宋" w:hAnsi="仿宋" w:eastAsia="仿宋" w:cs="仿宋"/>
          <w:sz w:val="31"/>
          <w:szCs w:val="31"/>
        </w:rPr>
      </w:pPr>
      <w:r>
        <w:rPr>
          <w:rFonts w:ascii="仿宋" w:hAnsi="仿宋" w:eastAsia="仿宋" w:cs="仿宋"/>
          <w:spacing w:val="6"/>
          <w:sz w:val="31"/>
          <w:szCs w:val="31"/>
        </w:rPr>
        <w:t>人的奇数。与项目有利益关系的专家实行回避。</w:t>
      </w:r>
    </w:p>
    <w:p>
      <w:pPr>
        <w:spacing w:before="228" w:line="358" w:lineRule="auto"/>
        <w:ind w:firstLine="640"/>
        <w:rPr>
          <w:rFonts w:ascii="仿宋" w:hAnsi="仿宋" w:eastAsia="仿宋" w:cs="仿宋"/>
          <w:sz w:val="31"/>
          <w:szCs w:val="31"/>
        </w:rPr>
      </w:pPr>
      <w:r>
        <w:rPr>
          <w:rFonts w:ascii="仿宋" w:hAnsi="仿宋" w:eastAsia="仿宋" w:cs="仿宋"/>
          <w:spacing w:val="2"/>
          <w:sz w:val="31"/>
          <w:szCs w:val="31"/>
        </w:rPr>
        <w:t>专家对项目进行论证，结合提交材料从新增项目临床价值、</w:t>
      </w:r>
      <w:r>
        <w:rPr>
          <w:rFonts w:ascii="仿宋" w:hAnsi="仿宋" w:eastAsia="仿宋" w:cs="仿宋"/>
          <w:spacing w:val="12"/>
          <w:sz w:val="31"/>
          <w:szCs w:val="31"/>
        </w:rPr>
        <w:t xml:space="preserve"> </w:t>
      </w:r>
      <w:r>
        <w:rPr>
          <w:rFonts w:ascii="仿宋" w:hAnsi="仿宋" w:eastAsia="仿宋" w:cs="仿宋"/>
          <w:spacing w:val="11"/>
          <w:sz w:val="31"/>
          <w:szCs w:val="31"/>
        </w:rPr>
        <w:t>社会价值、经济价值等维度多方面的评估指标对项目进行综合</w:t>
      </w:r>
      <w:r>
        <w:rPr>
          <w:rFonts w:ascii="仿宋" w:hAnsi="仿宋" w:eastAsia="仿宋" w:cs="仿宋"/>
          <w:sz w:val="31"/>
          <w:szCs w:val="31"/>
        </w:rPr>
        <w:t xml:space="preserve"> </w:t>
      </w:r>
      <w:r>
        <w:rPr>
          <w:rFonts w:ascii="仿宋" w:hAnsi="仿宋" w:eastAsia="仿宋" w:cs="仿宋"/>
          <w:spacing w:val="11"/>
          <w:sz w:val="31"/>
          <w:szCs w:val="31"/>
        </w:rPr>
        <w:t>评价，必要时可开展项目答辩，最终独立出具“建议立项”或</w:t>
      </w:r>
      <w:r>
        <w:rPr>
          <w:rFonts w:ascii="仿宋" w:hAnsi="仿宋" w:eastAsia="仿宋" w:cs="仿宋"/>
          <w:spacing w:val="9"/>
          <w:sz w:val="31"/>
          <w:szCs w:val="31"/>
        </w:rPr>
        <w:t xml:space="preserve"> </w:t>
      </w:r>
      <w:r>
        <w:rPr>
          <w:rFonts w:ascii="仿宋" w:hAnsi="仿宋" w:eastAsia="仿宋" w:cs="仿宋"/>
          <w:spacing w:val="11"/>
          <w:sz w:val="31"/>
          <w:szCs w:val="31"/>
        </w:rPr>
        <w:t>“不建议立项”的论证意见并说明理由。凡三分之二及以上专</w:t>
      </w:r>
    </w:p>
    <w:p>
      <w:pPr>
        <w:spacing w:line="223" w:lineRule="auto"/>
        <w:rPr>
          <w:rFonts w:ascii="仿宋" w:hAnsi="仿宋" w:eastAsia="仿宋" w:cs="仿宋"/>
          <w:sz w:val="31"/>
          <w:szCs w:val="31"/>
        </w:rPr>
      </w:pPr>
      <w:r>
        <w:rPr>
          <w:rFonts w:ascii="仿宋" w:hAnsi="仿宋" w:eastAsia="仿宋" w:cs="仿宋"/>
          <w:spacing w:val="4"/>
          <w:sz w:val="31"/>
          <w:szCs w:val="31"/>
        </w:rPr>
        <w:t>家建议立项的项目视为通过专家论证。</w:t>
      </w:r>
    </w:p>
    <w:p>
      <w:pPr>
        <w:spacing w:before="232" w:line="600" w:lineRule="exact"/>
        <w:ind w:right="65"/>
        <w:jc w:val="right"/>
        <w:rPr>
          <w:rFonts w:ascii="仿宋" w:hAnsi="仿宋" w:eastAsia="仿宋" w:cs="仿宋"/>
          <w:sz w:val="31"/>
          <w:szCs w:val="31"/>
        </w:rPr>
      </w:pPr>
      <w:r>
        <w:rPr>
          <w:rFonts w:ascii="仿宋" w:hAnsi="仿宋" w:eastAsia="仿宋" w:cs="仿宋"/>
          <w:spacing w:val="12"/>
          <w:position w:val="21"/>
          <w:sz w:val="31"/>
          <w:szCs w:val="31"/>
        </w:rPr>
        <w:t>对通过专家论证的项目，专家组应规范项目名称、项目内</w:t>
      </w:r>
    </w:p>
    <w:p>
      <w:pPr>
        <w:spacing w:before="1" w:line="220" w:lineRule="auto"/>
        <w:rPr>
          <w:rFonts w:ascii="仿宋" w:hAnsi="仿宋" w:eastAsia="仿宋" w:cs="仿宋"/>
          <w:sz w:val="31"/>
          <w:szCs w:val="31"/>
        </w:rPr>
      </w:pPr>
      <w:r>
        <w:rPr>
          <w:rFonts w:ascii="仿宋" w:hAnsi="仿宋" w:eastAsia="仿宋" w:cs="仿宋"/>
          <w:spacing w:val="6"/>
          <w:sz w:val="31"/>
          <w:szCs w:val="31"/>
        </w:rPr>
        <w:t>涵、计价单位、除外内容和说明等价格要素内容。</w:t>
      </w:r>
    </w:p>
    <w:p>
      <w:pPr>
        <w:spacing w:before="227" w:line="359" w:lineRule="auto"/>
        <w:ind w:right="65" w:firstLine="644"/>
        <w:rPr>
          <w:rFonts w:ascii="仿宋" w:hAnsi="仿宋" w:eastAsia="仿宋" w:cs="仿宋"/>
          <w:sz w:val="31"/>
          <w:szCs w:val="31"/>
        </w:rPr>
      </w:pPr>
      <w:r>
        <w:rPr>
          <w:rFonts w:ascii="黑体" w:hAnsi="黑体" w:eastAsia="黑体" w:cs="黑体"/>
          <w:b/>
          <w:bCs/>
          <w:spacing w:val="1"/>
          <w:sz w:val="31"/>
          <w:szCs w:val="31"/>
        </w:rPr>
        <w:t>第十三条</w:t>
      </w:r>
      <w:r>
        <w:rPr>
          <w:rFonts w:ascii="黑体" w:hAnsi="黑体" w:eastAsia="黑体" w:cs="黑体"/>
          <w:spacing w:val="51"/>
          <w:sz w:val="31"/>
          <w:szCs w:val="31"/>
        </w:rPr>
        <w:t xml:space="preserve"> </w:t>
      </w:r>
      <w:r>
        <w:rPr>
          <w:rFonts w:ascii="仿宋" w:hAnsi="仿宋" w:eastAsia="仿宋" w:cs="仿宋"/>
          <w:spacing w:val="1"/>
          <w:sz w:val="31"/>
          <w:szCs w:val="31"/>
        </w:rPr>
        <w:t>省医疗保障局参考专家论证意见，对论证通过的</w:t>
      </w:r>
      <w:r>
        <w:rPr>
          <w:rFonts w:ascii="仿宋" w:hAnsi="仿宋" w:eastAsia="仿宋" w:cs="仿宋"/>
          <w:sz w:val="31"/>
          <w:szCs w:val="31"/>
        </w:rPr>
        <w:t xml:space="preserve"> </w:t>
      </w:r>
      <w:r>
        <w:rPr>
          <w:rFonts w:ascii="仿宋" w:hAnsi="仿宋" w:eastAsia="仿宋" w:cs="仿宋"/>
          <w:spacing w:val="17"/>
          <w:sz w:val="31"/>
          <w:szCs w:val="31"/>
        </w:rPr>
        <w:t>新增医疗服务价格项目进行复核，通过的项目挂网</w:t>
      </w:r>
      <w:r>
        <w:rPr>
          <w:rFonts w:ascii="仿宋" w:hAnsi="仿宋" w:eastAsia="仿宋" w:cs="仿宋"/>
          <w:spacing w:val="16"/>
          <w:sz w:val="31"/>
          <w:szCs w:val="31"/>
        </w:rPr>
        <w:t>公示7个工</w:t>
      </w:r>
      <w:r>
        <w:rPr>
          <w:rFonts w:ascii="仿宋" w:hAnsi="仿宋" w:eastAsia="仿宋" w:cs="仿宋"/>
          <w:sz w:val="31"/>
          <w:szCs w:val="31"/>
        </w:rPr>
        <w:t xml:space="preserve"> </w:t>
      </w:r>
      <w:r>
        <w:rPr>
          <w:rFonts w:ascii="仿宋" w:hAnsi="仿宋" w:eastAsia="仿宋" w:cs="仿宋"/>
          <w:spacing w:val="12"/>
          <w:sz w:val="31"/>
          <w:szCs w:val="31"/>
        </w:rPr>
        <w:t>作日。公示期间，医疗机构有异议的可向省医疗保障局提供书</w:t>
      </w:r>
    </w:p>
    <w:p>
      <w:pPr>
        <w:spacing w:line="224" w:lineRule="auto"/>
        <w:rPr>
          <w:rFonts w:ascii="仿宋" w:hAnsi="仿宋" w:eastAsia="仿宋" w:cs="仿宋"/>
          <w:sz w:val="31"/>
          <w:szCs w:val="31"/>
        </w:rPr>
      </w:pPr>
      <w:r>
        <w:rPr>
          <w:rFonts w:ascii="仿宋" w:hAnsi="仿宋" w:eastAsia="仿宋" w:cs="仿宋"/>
          <w:spacing w:val="-9"/>
          <w:sz w:val="31"/>
          <w:szCs w:val="31"/>
        </w:rPr>
        <w:t>面意见。</w:t>
      </w:r>
    </w:p>
    <w:p>
      <w:pPr>
        <w:pStyle w:val="2"/>
        <w:spacing w:line="246" w:lineRule="auto"/>
      </w:pPr>
    </w:p>
    <w:p>
      <w:pPr>
        <w:pStyle w:val="2"/>
        <w:spacing w:line="247" w:lineRule="auto"/>
      </w:pPr>
    </w:p>
    <w:p>
      <w:pPr>
        <w:pStyle w:val="2"/>
        <w:spacing w:line="247" w:lineRule="auto"/>
      </w:pPr>
    </w:p>
    <w:p>
      <w:pPr>
        <w:spacing w:before="102" w:line="219" w:lineRule="auto"/>
        <w:ind w:left="3304"/>
        <w:rPr>
          <w:rFonts w:ascii="宋体" w:hAnsi="宋体" w:eastAsia="宋体" w:cs="宋体"/>
          <w:sz w:val="31"/>
          <w:szCs w:val="31"/>
        </w:rPr>
      </w:pPr>
      <w:r>
        <w:rPr>
          <w:rFonts w:ascii="宋体" w:hAnsi="宋体" w:eastAsia="宋体" w:cs="宋体"/>
          <w:b/>
          <w:bCs/>
          <w:spacing w:val="-19"/>
          <w:sz w:val="31"/>
          <w:szCs w:val="31"/>
        </w:rPr>
        <w:t>第</w:t>
      </w:r>
      <w:r>
        <w:rPr>
          <w:rFonts w:ascii="宋体" w:hAnsi="宋体" w:eastAsia="宋体" w:cs="宋体"/>
          <w:spacing w:val="-38"/>
          <w:sz w:val="31"/>
          <w:szCs w:val="31"/>
        </w:rPr>
        <w:t xml:space="preserve"> </w:t>
      </w:r>
      <w:r>
        <w:rPr>
          <w:rFonts w:ascii="宋体" w:hAnsi="宋体" w:eastAsia="宋体" w:cs="宋体"/>
          <w:b/>
          <w:bCs/>
          <w:spacing w:val="-19"/>
          <w:sz w:val="31"/>
          <w:szCs w:val="31"/>
        </w:rPr>
        <w:t>四</w:t>
      </w:r>
      <w:r>
        <w:rPr>
          <w:rFonts w:ascii="宋体" w:hAnsi="宋体" w:eastAsia="宋体" w:cs="宋体"/>
          <w:spacing w:val="-59"/>
          <w:sz w:val="31"/>
          <w:szCs w:val="31"/>
        </w:rPr>
        <w:t xml:space="preserve"> </w:t>
      </w:r>
      <w:r>
        <w:rPr>
          <w:rFonts w:ascii="宋体" w:hAnsi="宋体" w:eastAsia="宋体" w:cs="宋体"/>
          <w:b/>
          <w:bCs/>
          <w:spacing w:val="-19"/>
          <w:sz w:val="31"/>
          <w:szCs w:val="31"/>
        </w:rPr>
        <w:t>章</w:t>
      </w:r>
      <w:r>
        <w:rPr>
          <w:rFonts w:ascii="宋体" w:hAnsi="宋体" w:eastAsia="宋体" w:cs="宋体"/>
          <w:spacing w:val="-63"/>
          <w:sz w:val="31"/>
          <w:szCs w:val="31"/>
        </w:rPr>
        <w:t xml:space="preserve"> </w:t>
      </w:r>
      <w:r>
        <w:rPr>
          <w:rFonts w:ascii="宋体" w:hAnsi="宋体" w:eastAsia="宋体" w:cs="宋体"/>
          <w:b/>
          <w:bCs/>
          <w:spacing w:val="-19"/>
          <w:sz w:val="31"/>
          <w:szCs w:val="31"/>
        </w:rPr>
        <w:t>实</w:t>
      </w:r>
      <w:r>
        <w:rPr>
          <w:rFonts w:ascii="宋体" w:hAnsi="宋体" w:eastAsia="宋体" w:cs="宋体"/>
          <w:spacing w:val="-19"/>
          <w:sz w:val="31"/>
          <w:szCs w:val="31"/>
        </w:rPr>
        <w:t xml:space="preserve">  </w:t>
      </w:r>
      <w:r>
        <w:rPr>
          <w:rFonts w:ascii="宋体" w:hAnsi="宋体" w:eastAsia="宋体" w:cs="宋体"/>
          <w:b/>
          <w:bCs/>
          <w:spacing w:val="-19"/>
          <w:sz w:val="31"/>
          <w:szCs w:val="31"/>
        </w:rPr>
        <w:t>施</w:t>
      </w:r>
    </w:p>
    <w:p>
      <w:pPr>
        <w:pStyle w:val="2"/>
        <w:spacing w:line="308" w:lineRule="auto"/>
      </w:pPr>
    </w:p>
    <w:p>
      <w:pPr>
        <w:pStyle w:val="2"/>
        <w:spacing w:line="309" w:lineRule="auto"/>
      </w:pPr>
    </w:p>
    <w:p>
      <w:pPr>
        <w:spacing w:before="101" w:line="589" w:lineRule="exact"/>
        <w:ind w:left="644"/>
        <w:rPr>
          <w:rFonts w:ascii="仿宋" w:hAnsi="仿宋" w:eastAsia="仿宋" w:cs="仿宋"/>
          <w:sz w:val="31"/>
          <w:szCs w:val="31"/>
        </w:rPr>
      </w:pPr>
      <w:r>
        <w:rPr>
          <w:rFonts w:ascii="黑体" w:hAnsi="黑体" w:eastAsia="黑体" w:cs="黑体"/>
          <w:b/>
          <w:bCs/>
          <w:spacing w:val="13"/>
          <w:position w:val="20"/>
          <w:sz w:val="31"/>
          <w:szCs w:val="31"/>
        </w:rPr>
        <w:t>第十四条</w:t>
      </w:r>
      <w:r>
        <w:rPr>
          <w:rFonts w:ascii="黑体" w:hAnsi="黑体" w:eastAsia="黑体" w:cs="黑体"/>
          <w:spacing w:val="72"/>
          <w:position w:val="20"/>
          <w:sz w:val="31"/>
          <w:szCs w:val="31"/>
        </w:rPr>
        <w:t xml:space="preserve"> </w:t>
      </w:r>
      <w:r>
        <w:rPr>
          <w:rFonts w:ascii="仿宋" w:hAnsi="仿宋" w:eastAsia="仿宋" w:cs="仿宋"/>
          <w:spacing w:val="13"/>
          <w:position w:val="20"/>
          <w:sz w:val="31"/>
          <w:szCs w:val="31"/>
        </w:rPr>
        <w:t>省医疗保障局公布实施的新增医疗</w:t>
      </w:r>
      <w:r>
        <w:rPr>
          <w:rFonts w:ascii="仿宋" w:hAnsi="仿宋" w:eastAsia="仿宋" w:cs="仿宋"/>
          <w:spacing w:val="12"/>
          <w:position w:val="20"/>
          <w:sz w:val="31"/>
          <w:szCs w:val="31"/>
        </w:rPr>
        <w:t>服务价格项</w:t>
      </w:r>
    </w:p>
    <w:p>
      <w:pPr>
        <w:spacing w:before="1" w:line="219" w:lineRule="auto"/>
        <w:rPr>
          <w:rFonts w:ascii="仿宋" w:hAnsi="仿宋" w:eastAsia="仿宋" w:cs="仿宋"/>
          <w:sz w:val="31"/>
          <w:szCs w:val="31"/>
        </w:rPr>
      </w:pPr>
      <w:r>
        <w:rPr>
          <w:rFonts w:ascii="仿宋" w:hAnsi="仿宋" w:eastAsia="仿宋" w:cs="仿宋"/>
          <w:spacing w:val="9"/>
          <w:sz w:val="31"/>
          <w:szCs w:val="31"/>
        </w:rPr>
        <w:t>目，可在全省非营利性医疗机构中试行两年。试行期间，</w:t>
      </w:r>
      <w:r>
        <w:rPr>
          <w:rFonts w:ascii="仿宋" w:hAnsi="仿宋" w:eastAsia="仿宋" w:cs="仿宋"/>
          <w:spacing w:val="8"/>
          <w:sz w:val="31"/>
          <w:szCs w:val="31"/>
        </w:rPr>
        <w:t>医疗</w:t>
      </w:r>
    </w:p>
    <w:p>
      <w:pPr>
        <w:spacing w:line="219" w:lineRule="auto"/>
        <w:rPr>
          <w:rFonts w:ascii="仿宋" w:hAnsi="仿宋" w:eastAsia="仿宋" w:cs="仿宋"/>
          <w:sz w:val="31"/>
          <w:szCs w:val="31"/>
        </w:rPr>
        <w:sectPr>
          <w:footerReference r:id="rId11" w:type="default"/>
          <w:pgSz w:w="11830" w:h="16710"/>
          <w:pgMar w:top="1420" w:right="1484" w:bottom="1827" w:left="1580" w:header="0" w:footer="1521" w:gutter="0"/>
          <w:cols w:space="720" w:num="1"/>
        </w:sectPr>
      </w:pPr>
    </w:p>
    <w:p>
      <w:pPr>
        <w:pStyle w:val="2"/>
        <w:spacing w:line="352" w:lineRule="auto"/>
      </w:pPr>
    </w:p>
    <w:p>
      <w:pPr>
        <w:pStyle w:val="2"/>
        <w:spacing w:line="353" w:lineRule="auto"/>
      </w:pPr>
    </w:p>
    <w:p>
      <w:pPr>
        <w:spacing w:before="98" w:line="369" w:lineRule="auto"/>
        <w:ind w:right="59"/>
        <w:jc w:val="both"/>
        <w:rPr>
          <w:rFonts w:ascii="仿宋" w:hAnsi="仿宋" w:eastAsia="仿宋" w:cs="仿宋"/>
          <w:sz w:val="30"/>
          <w:szCs w:val="30"/>
        </w:rPr>
      </w:pPr>
      <w:r>
        <w:rPr>
          <w:rFonts w:ascii="仿宋" w:hAnsi="仿宋" w:eastAsia="仿宋" w:cs="仿宋"/>
          <w:spacing w:val="21"/>
          <w:sz w:val="30"/>
          <w:szCs w:val="30"/>
        </w:rPr>
        <w:t>机构遵循公开透明、合法合理、诚实信用的原则，自主制定试</w:t>
      </w:r>
      <w:r>
        <w:rPr>
          <w:rFonts w:ascii="仿宋" w:hAnsi="仿宋" w:eastAsia="仿宋" w:cs="仿宋"/>
          <w:spacing w:val="12"/>
          <w:sz w:val="30"/>
          <w:szCs w:val="30"/>
        </w:rPr>
        <w:t xml:space="preserve"> </w:t>
      </w:r>
      <w:r>
        <w:rPr>
          <w:rFonts w:ascii="仿宋" w:hAnsi="仿宋" w:eastAsia="仿宋" w:cs="仿宋"/>
          <w:spacing w:val="20"/>
          <w:sz w:val="30"/>
          <w:szCs w:val="30"/>
        </w:rPr>
        <w:t>行价格，并报所在地级以上市医疗保障部门备案。因病例极少</w:t>
      </w:r>
      <w:r>
        <w:rPr>
          <w:rFonts w:ascii="仿宋" w:hAnsi="仿宋" w:eastAsia="仿宋" w:cs="仿宋"/>
          <w:spacing w:val="7"/>
          <w:sz w:val="30"/>
          <w:szCs w:val="30"/>
        </w:rPr>
        <w:t xml:space="preserve"> </w:t>
      </w:r>
      <w:r>
        <w:rPr>
          <w:rFonts w:ascii="仿宋" w:hAnsi="仿宋" w:eastAsia="仿宋" w:cs="仿宋"/>
          <w:spacing w:val="21"/>
          <w:sz w:val="30"/>
          <w:szCs w:val="30"/>
        </w:rPr>
        <w:t>没有服务量等特殊原因的项目，理由清晰充分的</w:t>
      </w:r>
      <w:r>
        <w:rPr>
          <w:rFonts w:ascii="仿宋" w:hAnsi="仿宋" w:eastAsia="仿宋" w:cs="仿宋"/>
          <w:spacing w:val="20"/>
          <w:sz w:val="30"/>
          <w:szCs w:val="30"/>
        </w:rPr>
        <w:t>，由原提交项</w:t>
      </w:r>
      <w:r>
        <w:rPr>
          <w:rFonts w:ascii="仿宋" w:hAnsi="仿宋" w:eastAsia="仿宋" w:cs="仿宋"/>
          <w:sz w:val="30"/>
          <w:szCs w:val="30"/>
        </w:rPr>
        <w:t xml:space="preserve"> </w:t>
      </w:r>
      <w:r>
        <w:rPr>
          <w:rFonts w:ascii="仿宋" w:hAnsi="仿宋" w:eastAsia="仿宋" w:cs="仿宋"/>
          <w:spacing w:val="21"/>
          <w:sz w:val="30"/>
          <w:szCs w:val="30"/>
        </w:rPr>
        <w:t>目的地级以上市医疗保障局提出申请，经省医疗保障局</w:t>
      </w:r>
      <w:r>
        <w:rPr>
          <w:rFonts w:ascii="仿宋" w:hAnsi="仿宋" w:eastAsia="仿宋" w:cs="仿宋"/>
          <w:spacing w:val="20"/>
          <w:sz w:val="30"/>
          <w:szCs w:val="30"/>
        </w:rPr>
        <w:t>确认后</w:t>
      </w:r>
    </w:p>
    <w:p>
      <w:pPr>
        <w:spacing w:before="1" w:line="220" w:lineRule="auto"/>
        <w:rPr>
          <w:rFonts w:ascii="仿宋" w:hAnsi="仿宋" w:eastAsia="仿宋" w:cs="仿宋"/>
          <w:sz w:val="30"/>
          <w:szCs w:val="30"/>
        </w:rPr>
      </w:pPr>
      <w:r>
        <w:rPr>
          <w:rFonts w:ascii="仿宋" w:hAnsi="仿宋" w:eastAsia="仿宋" w:cs="仿宋"/>
          <w:spacing w:val="6"/>
          <w:sz w:val="30"/>
          <w:szCs w:val="30"/>
        </w:rPr>
        <w:t>可延长试行两年。</w:t>
      </w:r>
    </w:p>
    <w:p>
      <w:pPr>
        <w:spacing w:before="259" w:line="376" w:lineRule="auto"/>
        <w:ind w:right="77" w:firstLine="654"/>
        <w:rPr>
          <w:rFonts w:ascii="仿宋" w:hAnsi="仿宋" w:eastAsia="仿宋" w:cs="仿宋"/>
          <w:sz w:val="30"/>
          <w:szCs w:val="30"/>
        </w:rPr>
      </w:pPr>
      <w:r>
        <w:rPr>
          <w:rFonts w:ascii="黑体" w:hAnsi="黑体" w:eastAsia="黑体" w:cs="黑体"/>
          <w:b/>
          <w:bCs/>
          <w:spacing w:val="11"/>
          <w:sz w:val="30"/>
          <w:szCs w:val="30"/>
        </w:rPr>
        <w:t>第十五条</w:t>
      </w:r>
      <w:r>
        <w:rPr>
          <w:rFonts w:ascii="黑体" w:hAnsi="黑体" w:eastAsia="黑体" w:cs="黑体"/>
          <w:spacing w:val="69"/>
          <w:sz w:val="30"/>
          <w:szCs w:val="30"/>
        </w:rPr>
        <w:t xml:space="preserve"> </w:t>
      </w:r>
      <w:r>
        <w:rPr>
          <w:rFonts w:ascii="仿宋" w:hAnsi="仿宋" w:eastAsia="仿宋" w:cs="仿宋"/>
          <w:spacing w:val="11"/>
          <w:sz w:val="30"/>
          <w:szCs w:val="30"/>
        </w:rPr>
        <w:t>新增医疗服务价格项目在试行期间，遇下列情况</w:t>
      </w:r>
      <w:r>
        <w:rPr>
          <w:rFonts w:ascii="仿宋" w:hAnsi="仿宋" w:eastAsia="仿宋" w:cs="仿宋"/>
          <w:sz w:val="30"/>
          <w:szCs w:val="30"/>
        </w:rPr>
        <w:t xml:space="preserve"> </w:t>
      </w:r>
      <w:r>
        <w:rPr>
          <w:rFonts w:ascii="仿宋" w:hAnsi="仿宋" w:eastAsia="仿宋" w:cs="仿宋"/>
          <w:spacing w:val="20"/>
          <w:sz w:val="30"/>
          <w:szCs w:val="30"/>
        </w:rPr>
        <w:t>之一，地级以上市医疗保障局可向省医疗保障局提出取消</w:t>
      </w:r>
      <w:r>
        <w:rPr>
          <w:rFonts w:ascii="仿宋" w:hAnsi="仿宋" w:eastAsia="仿宋" w:cs="仿宋"/>
          <w:spacing w:val="19"/>
          <w:sz w:val="30"/>
          <w:szCs w:val="30"/>
        </w:rPr>
        <w:t>立项</w:t>
      </w:r>
    </w:p>
    <w:p>
      <w:pPr>
        <w:spacing w:before="1" w:line="220" w:lineRule="auto"/>
        <w:rPr>
          <w:rFonts w:ascii="仿宋" w:hAnsi="仿宋" w:eastAsia="仿宋" w:cs="仿宋"/>
          <w:sz w:val="30"/>
          <w:szCs w:val="30"/>
        </w:rPr>
      </w:pPr>
      <w:r>
        <w:rPr>
          <w:rFonts w:ascii="仿宋" w:hAnsi="仿宋" w:eastAsia="仿宋" w:cs="仿宋"/>
          <w:spacing w:val="13"/>
          <w:sz w:val="30"/>
          <w:szCs w:val="30"/>
        </w:rPr>
        <w:t>建议，省医疗保障局发文废止。</w:t>
      </w:r>
    </w:p>
    <w:p>
      <w:pPr>
        <w:spacing w:before="230" w:line="611" w:lineRule="exact"/>
        <w:jc w:val="right"/>
        <w:rPr>
          <w:rFonts w:ascii="仿宋" w:hAnsi="仿宋" w:eastAsia="仿宋" w:cs="仿宋"/>
          <w:sz w:val="30"/>
          <w:szCs w:val="30"/>
        </w:rPr>
      </w:pPr>
      <w:r>
        <w:rPr>
          <w:rFonts w:ascii="仿宋" w:hAnsi="仿宋" w:eastAsia="仿宋" w:cs="仿宋"/>
          <w:spacing w:val="17"/>
          <w:position w:val="23"/>
          <w:sz w:val="30"/>
          <w:szCs w:val="30"/>
        </w:rPr>
        <w:t>(一)项目涉及的医疗技术被卫生行政部门禁止临床应用，</w:t>
      </w:r>
    </w:p>
    <w:p>
      <w:pPr>
        <w:spacing w:before="1" w:line="220" w:lineRule="auto"/>
        <w:rPr>
          <w:rFonts w:ascii="仿宋" w:hAnsi="仿宋" w:eastAsia="仿宋" w:cs="仿宋"/>
          <w:sz w:val="30"/>
          <w:szCs w:val="30"/>
        </w:rPr>
      </w:pPr>
      <w:r>
        <w:rPr>
          <w:rFonts w:ascii="仿宋" w:hAnsi="仿宋" w:eastAsia="仿宋" w:cs="仿宋"/>
          <w:spacing w:val="16"/>
          <w:sz w:val="30"/>
          <w:szCs w:val="30"/>
        </w:rPr>
        <w:t>或重点管理类医疗技术被卫生行政部门注销</w:t>
      </w:r>
      <w:r>
        <w:rPr>
          <w:rFonts w:ascii="仿宋" w:hAnsi="仿宋" w:eastAsia="仿宋" w:cs="仿宋"/>
          <w:spacing w:val="15"/>
          <w:sz w:val="30"/>
          <w:szCs w:val="30"/>
        </w:rPr>
        <w:t>备案。</w:t>
      </w:r>
    </w:p>
    <w:p>
      <w:pPr>
        <w:spacing w:before="251" w:line="603" w:lineRule="exact"/>
        <w:ind w:right="61"/>
        <w:jc w:val="right"/>
        <w:rPr>
          <w:rFonts w:ascii="仿宋" w:hAnsi="仿宋" w:eastAsia="仿宋" w:cs="仿宋"/>
          <w:sz w:val="30"/>
          <w:szCs w:val="30"/>
        </w:rPr>
      </w:pPr>
      <w:r>
        <w:rPr>
          <w:rFonts w:ascii="仿宋" w:hAnsi="仿宋" w:eastAsia="仿宋" w:cs="仿宋"/>
          <w:spacing w:val="28"/>
          <w:position w:val="22"/>
          <w:sz w:val="30"/>
          <w:szCs w:val="30"/>
        </w:rPr>
        <w:t>(二)项目涉及的关键设备、器械、试剂等相关注</w:t>
      </w:r>
      <w:r>
        <w:rPr>
          <w:rFonts w:ascii="仿宋" w:hAnsi="仿宋" w:eastAsia="仿宋" w:cs="仿宋"/>
          <w:spacing w:val="27"/>
          <w:position w:val="22"/>
          <w:sz w:val="30"/>
          <w:szCs w:val="30"/>
        </w:rPr>
        <w:t>册、批</w:t>
      </w:r>
    </w:p>
    <w:p>
      <w:pPr>
        <w:spacing w:line="223" w:lineRule="auto"/>
        <w:rPr>
          <w:rFonts w:ascii="仿宋" w:hAnsi="仿宋" w:eastAsia="仿宋" w:cs="仿宋"/>
          <w:sz w:val="30"/>
          <w:szCs w:val="30"/>
        </w:rPr>
      </w:pPr>
      <w:r>
        <w:rPr>
          <w:rFonts w:ascii="仿宋" w:hAnsi="仿宋" w:eastAsia="仿宋" w:cs="仿宋"/>
          <w:spacing w:val="5"/>
          <w:sz w:val="30"/>
          <w:szCs w:val="30"/>
        </w:rPr>
        <w:t>复等废止失效。</w:t>
      </w:r>
    </w:p>
    <w:p>
      <w:pPr>
        <w:spacing w:before="237" w:line="222" w:lineRule="auto"/>
        <w:ind w:left="780"/>
        <w:rPr>
          <w:rFonts w:ascii="仿宋" w:hAnsi="仿宋" w:eastAsia="仿宋" w:cs="仿宋"/>
          <w:sz w:val="30"/>
          <w:szCs w:val="30"/>
        </w:rPr>
      </w:pPr>
      <w:r>
        <w:rPr>
          <w:rFonts w:ascii="仿宋" w:hAnsi="仿宋" w:eastAsia="仿宋" w:cs="仿宋"/>
          <w:spacing w:val="24"/>
          <w:sz w:val="30"/>
          <w:szCs w:val="30"/>
        </w:rPr>
        <w:t>(三)临床证明达不到预期诊疗效果。</w:t>
      </w:r>
    </w:p>
    <w:p>
      <w:pPr>
        <w:spacing w:before="239" w:line="609" w:lineRule="exact"/>
        <w:ind w:right="77"/>
        <w:jc w:val="right"/>
        <w:rPr>
          <w:rFonts w:ascii="仿宋" w:hAnsi="仿宋" w:eastAsia="仿宋" w:cs="仿宋"/>
          <w:sz w:val="30"/>
          <w:szCs w:val="30"/>
        </w:rPr>
      </w:pPr>
      <w:r>
        <w:rPr>
          <w:rFonts w:ascii="仿宋" w:hAnsi="仿宋" w:eastAsia="仿宋" w:cs="仿宋"/>
          <w:spacing w:val="27"/>
          <w:position w:val="23"/>
          <w:sz w:val="30"/>
          <w:szCs w:val="30"/>
        </w:rPr>
        <w:t>(四)项目服务内容、服务规范方面难以明确界定、歧义</w:t>
      </w:r>
    </w:p>
    <w:p>
      <w:pPr>
        <w:spacing w:before="1" w:line="221" w:lineRule="auto"/>
        <w:rPr>
          <w:rFonts w:ascii="仿宋" w:hAnsi="仿宋" w:eastAsia="仿宋" w:cs="仿宋"/>
          <w:sz w:val="30"/>
          <w:szCs w:val="30"/>
        </w:rPr>
      </w:pPr>
      <w:r>
        <w:rPr>
          <w:rFonts w:ascii="仿宋" w:hAnsi="仿宋" w:eastAsia="仿宋" w:cs="仿宋"/>
          <w:spacing w:val="12"/>
          <w:sz w:val="30"/>
          <w:szCs w:val="30"/>
        </w:rPr>
        <w:t>较大，造成投诉、纠纷较多。</w:t>
      </w:r>
    </w:p>
    <w:p>
      <w:pPr>
        <w:pStyle w:val="2"/>
        <w:spacing w:line="245" w:lineRule="auto"/>
      </w:pPr>
    </w:p>
    <w:p>
      <w:pPr>
        <w:pStyle w:val="2"/>
        <w:spacing w:line="245" w:lineRule="auto"/>
      </w:pPr>
    </w:p>
    <w:p>
      <w:pPr>
        <w:pStyle w:val="2"/>
        <w:spacing w:line="245" w:lineRule="auto"/>
      </w:pPr>
    </w:p>
    <w:p>
      <w:pPr>
        <w:spacing w:before="97" w:line="219" w:lineRule="auto"/>
        <w:ind w:left="3304"/>
        <w:rPr>
          <w:rFonts w:ascii="宋体" w:hAnsi="宋体" w:eastAsia="宋体" w:cs="宋体"/>
          <w:sz w:val="30"/>
          <w:szCs w:val="30"/>
        </w:rPr>
      </w:pPr>
      <w:r>
        <w:rPr>
          <w:rFonts w:ascii="宋体" w:hAnsi="宋体" w:eastAsia="宋体" w:cs="宋体"/>
          <w:b/>
          <w:bCs/>
          <w:spacing w:val="-16"/>
          <w:sz w:val="30"/>
          <w:szCs w:val="30"/>
        </w:rPr>
        <w:t>第</w:t>
      </w:r>
      <w:r>
        <w:rPr>
          <w:rFonts w:ascii="宋体" w:hAnsi="宋体" w:eastAsia="宋体" w:cs="宋体"/>
          <w:spacing w:val="-59"/>
          <w:sz w:val="30"/>
          <w:szCs w:val="30"/>
        </w:rPr>
        <w:t xml:space="preserve"> </w:t>
      </w:r>
      <w:r>
        <w:rPr>
          <w:rFonts w:ascii="宋体" w:hAnsi="宋体" w:eastAsia="宋体" w:cs="宋体"/>
          <w:b/>
          <w:bCs/>
          <w:spacing w:val="-16"/>
          <w:sz w:val="30"/>
          <w:szCs w:val="30"/>
        </w:rPr>
        <w:t>五</w:t>
      </w:r>
      <w:r>
        <w:rPr>
          <w:rFonts w:ascii="宋体" w:hAnsi="宋体" w:eastAsia="宋体" w:cs="宋体"/>
          <w:spacing w:val="-52"/>
          <w:sz w:val="30"/>
          <w:szCs w:val="30"/>
        </w:rPr>
        <w:t xml:space="preserve"> </w:t>
      </w:r>
      <w:r>
        <w:rPr>
          <w:rFonts w:ascii="宋体" w:hAnsi="宋体" w:eastAsia="宋体" w:cs="宋体"/>
          <w:b/>
          <w:bCs/>
          <w:spacing w:val="-16"/>
          <w:sz w:val="30"/>
          <w:szCs w:val="30"/>
        </w:rPr>
        <w:t>章</w:t>
      </w:r>
      <w:r>
        <w:rPr>
          <w:rFonts w:ascii="宋体" w:hAnsi="宋体" w:eastAsia="宋体" w:cs="宋体"/>
          <w:spacing w:val="-62"/>
          <w:sz w:val="30"/>
          <w:szCs w:val="30"/>
        </w:rPr>
        <w:t xml:space="preserve"> </w:t>
      </w:r>
      <w:r>
        <w:rPr>
          <w:rFonts w:ascii="宋体" w:hAnsi="宋体" w:eastAsia="宋体" w:cs="宋体"/>
          <w:b/>
          <w:bCs/>
          <w:spacing w:val="-16"/>
          <w:sz w:val="30"/>
          <w:szCs w:val="30"/>
        </w:rPr>
        <w:t>转</w:t>
      </w:r>
      <w:r>
        <w:rPr>
          <w:rFonts w:ascii="宋体" w:hAnsi="宋体" w:eastAsia="宋体" w:cs="宋体"/>
          <w:spacing w:val="8"/>
          <w:sz w:val="30"/>
          <w:szCs w:val="30"/>
        </w:rPr>
        <w:t xml:space="preserve">  </w:t>
      </w:r>
      <w:r>
        <w:rPr>
          <w:rFonts w:ascii="宋体" w:hAnsi="宋体" w:eastAsia="宋体" w:cs="宋体"/>
          <w:b/>
          <w:bCs/>
          <w:spacing w:val="-16"/>
          <w:sz w:val="30"/>
          <w:szCs w:val="30"/>
        </w:rPr>
        <w:t>归</w:t>
      </w:r>
    </w:p>
    <w:p>
      <w:pPr>
        <w:pStyle w:val="2"/>
        <w:spacing w:line="309" w:lineRule="auto"/>
      </w:pPr>
    </w:p>
    <w:p>
      <w:pPr>
        <w:pStyle w:val="2"/>
        <w:spacing w:line="309" w:lineRule="auto"/>
      </w:pPr>
    </w:p>
    <w:p>
      <w:pPr>
        <w:spacing w:before="99" w:line="220" w:lineRule="auto"/>
        <w:ind w:right="44"/>
        <w:jc w:val="right"/>
        <w:rPr>
          <w:rFonts w:ascii="仿宋" w:hAnsi="仿宋" w:eastAsia="仿宋" w:cs="仿宋"/>
          <w:sz w:val="30"/>
          <w:szCs w:val="30"/>
        </w:rPr>
      </w:pPr>
      <w:r>
        <w:rPr>
          <w:rFonts w:ascii="黑体" w:hAnsi="黑体" w:eastAsia="黑体" w:cs="黑体"/>
          <w:b/>
          <w:bCs/>
          <w:spacing w:val="17"/>
          <w:sz w:val="30"/>
          <w:szCs w:val="30"/>
        </w:rPr>
        <w:t>第十六条</w:t>
      </w:r>
      <w:r>
        <w:rPr>
          <w:rFonts w:ascii="黑体" w:hAnsi="黑体" w:eastAsia="黑体" w:cs="黑体"/>
          <w:spacing w:val="17"/>
          <w:sz w:val="30"/>
          <w:szCs w:val="30"/>
        </w:rPr>
        <w:t xml:space="preserve"> </w:t>
      </w:r>
      <w:r>
        <w:rPr>
          <w:rFonts w:ascii="仿宋" w:hAnsi="仿宋" w:eastAsia="仿宋" w:cs="仿宋"/>
          <w:b/>
          <w:bCs/>
          <w:spacing w:val="17"/>
          <w:sz w:val="30"/>
          <w:szCs w:val="30"/>
        </w:rPr>
        <w:t>新增医疗服务价格项目试行期结束的9个月前，</w:t>
      </w:r>
    </w:p>
    <w:p>
      <w:pPr>
        <w:spacing w:before="248" w:line="596" w:lineRule="exact"/>
        <w:rPr>
          <w:rFonts w:ascii="仿宋" w:hAnsi="仿宋" w:eastAsia="仿宋" w:cs="仿宋"/>
          <w:sz w:val="30"/>
          <w:szCs w:val="30"/>
        </w:rPr>
      </w:pPr>
      <w:r>
        <w:rPr>
          <w:rFonts w:ascii="仿宋" w:hAnsi="仿宋" w:eastAsia="仿宋" w:cs="仿宋"/>
          <w:spacing w:val="21"/>
          <w:position w:val="22"/>
          <w:sz w:val="30"/>
          <w:szCs w:val="30"/>
        </w:rPr>
        <w:t>原提交项目的地级以上市医疗保障局结合本辖区医</w:t>
      </w:r>
      <w:r>
        <w:rPr>
          <w:rFonts w:ascii="仿宋" w:hAnsi="仿宋" w:eastAsia="仿宋" w:cs="仿宋"/>
          <w:spacing w:val="20"/>
          <w:position w:val="22"/>
          <w:sz w:val="30"/>
          <w:szCs w:val="30"/>
        </w:rPr>
        <w:t>疗机构实施</w:t>
      </w:r>
    </w:p>
    <w:p>
      <w:pPr>
        <w:spacing w:before="1" w:line="218" w:lineRule="auto"/>
        <w:rPr>
          <w:rFonts w:ascii="仿宋" w:hAnsi="仿宋" w:eastAsia="仿宋" w:cs="仿宋"/>
          <w:sz w:val="30"/>
          <w:szCs w:val="30"/>
        </w:rPr>
      </w:pPr>
      <w:r>
        <w:rPr>
          <w:rFonts w:ascii="仿宋" w:hAnsi="仿宋" w:eastAsia="仿宋" w:cs="仿宋"/>
          <w:spacing w:val="19"/>
          <w:sz w:val="30"/>
          <w:szCs w:val="30"/>
        </w:rPr>
        <w:t>情况提出项目转归申请，有关地级以上市医疗保障局汇</w:t>
      </w:r>
      <w:r>
        <w:rPr>
          <w:rFonts w:ascii="仿宋" w:hAnsi="仿宋" w:eastAsia="仿宋" w:cs="仿宋"/>
          <w:spacing w:val="18"/>
          <w:sz w:val="30"/>
          <w:szCs w:val="30"/>
        </w:rPr>
        <w:t>总本辖</w:t>
      </w:r>
    </w:p>
    <w:p>
      <w:pPr>
        <w:spacing w:line="218" w:lineRule="auto"/>
        <w:rPr>
          <w:rFonts w:ascii="仿宋" w:hAnsi="仿宋" w:eastAsia="仿宋" w:cs="仿宋"/>
          <w:sz w:val="30"/>
          <w:szCs w:val="30"/>
        </w:rPr>
        <w:sectPr>
          <w:footerReference r:id="rId12" w:type="default"/>
          <w:pgSz w:w="11840" w:h="16720"/>
          <w:pgMar w:top="1421" w:right="1599" w:bottom="1790" w:left="1500" w:header="0" w:footer="1492" w:gutter="0"/>
          <w:cols w:space="720" w:num="1"/>
        </w:sectPr>
      </w:pPr>
    </w:p>
    <w:p>
      <w:pPr>
        <w:pStyle w:val="2"/>
        <w:spacing w:line="330" w:lineRule="auto"/>
      </w:pPr>
    </w:p>
    <w:p>
      <w:pPr>
        <w:pStyle w:val="2"/>
        <w:spacing w:line="330" w:lineRule="auto"/>
      </w:pPr>
    </w:p>
    <w:p>
      <w:pPr>
        <w:spacing w:before="98" w:line="368" w:lineRule="auto"/>
        <w:ind w:left="4" w:right="134"/>
        <w:jc w:val="both"/>
        <w:rPr>
          <w:rFonts w:ascii="仿宋" w:hAnsi="仿宋" w:eastAsia="仿宋" w:cs="仿宋"/>
          <w:sz w:val="30"/>
          <w:szCs w:val="30"/>
        </w:rPr>
      </w:pPr>
      <w:r>
        <w:rPr>
          <w:rFonts w:ascii="仿宋" w:hAnsi="仿宋" w:eastAsia="仿宋" w:cs="仿宋"/>
          <w:b/>
          <w:bCs/>
          <w:spacing w:val="32"/>
          <w:sz w:val="30"/>
          <w:szCs w:val="30"/>
        </w:rPr>
        <w:t>区新增项目使用情况报省医疗保障局(见附件3)。属于绿色</w:t>
      </w:r>
      <w:r>
        <w:rPr>
          <w:rFonts w:ascii="仿宋" w:hAnsi="仿宋" w:eastAsia="仿宋" w:cs="仿宋"/>
          <w:spacing w:val="10"/>
          <w:sz w:val="30"/>
          <w:szCs w:val="30"/>
        </w:rPr>
        <w:t xml:space="preserve"> </w:t>
      </w:r>
      <w:r>
        <w:rPr>
          <w:rFonts w:ascii="仿宋" w:hAnsi="仿宋" w:eastAsia="仿宋" w:cs="仿宋"/>
          <w:b/>
          <w:bCs/>
          <w:spacing w:val="17"/>
          <w:sz w:val="30"/>
          <w:szCs w:val="30"/>
        </w:rPr>
        <w:t>通道通过的新增项目由原提交项目的医疗机构直接向省医疗保</w:t>
      </w:r>
    </w:p>
    <w:p>
      <w:pPr>
        <w:spacing w:before="1" w:line="218" w:lineRule="auto"/>
        <w:ind w:left="4"/>
        <w:rPr>
          <w:rFonts w:ascii="仿宋" w:hAnsi="仿宋" w:eastAsia="仿宋" w:cs="仿宋"/>
          <w:sz w:val="30"/>
          <w:szCs w:val="30"/>
        </w:rPr>
      </w:pPr>
      <w:r>
        <w:rPr>
          <w:rFonts w:ascii="仿宋" w:hAnsi="仿宋" w:eastAsia="仿宋" w:cs="仿宋"/>
          <w:b/>
          <w:bCs/>
          <w:spacing w:val="2"/>
          <w:sz w:val="30"/>
          <w:szCs w:val="30"/>
        </w:rPr>
        <w:t>障局提出转归申请。</w:t>
      </w:r>
    </w:p>
    <w:p>
      <w:pPr>
        <w:spacing w:before="267" w:line="369" w:lineRule="auto"/>
        <w:ind w:left="4" w:right="126" w:firstLine="650"/>
        <w:jc w:val="both"/>
        <w:rPr>
          <w:rFonts w:ascii="仿宋" w:hAnsi="仿宋" w:eastAsia="仿宋" w:cs="仿宋"/>
          <w:sz w:val="30"/>
          <w:szCs w:val="30"/>
        </w:rPr>
      </w:pPr>
      <w:r>
        <w:rPr>
          <w:rFonts w:ascii="仿宋" w:hAnsi="仿宋" w:eastAsia="仿宋" w:cs="仿宋"/>
          <w:b/>
          <w:bCs/>
          <w:spacing w:val="17"/>
          <w:sz w:val="30"/>
          <w:szCs w:val="30"/>
        </w:rPr>
        <w:t>经临床证明达到预期诊疗效果、符合基本医疗服务</w:t>
      </w:r>
      <w:r>
        <w:rPr>
          <w:rFonts w:ascii="仿宋" w:hAnsi="仿宋" w:eastAsia="仿宋" w:cs="仿宋"/>
          <w:b/>
          <w:bCs/>
          <w:spacing w:val="16"/>
          <w:sz w:val="30"/>
          <w:szCs w:val="30"/>
        </w:rPr>
        <w:t>诊疗范</w:t>
      </w:r>
      <w:r>
        <w:rPr>
          <w:rFonts w:ascii="仿宋" w:hAnsi="仿宋" w:eastAsia="仿宋" w:cs="仿宋"/>
          <w:sz w:val="30"/>
          <w:szCs w:val="30"/>
        </w:rPr>
        <w:t xml:space="preserve"> </w:t>
      </w:r>
      <w:r>
        <w:rPr>
          <w:rFonts w:ascii="仿宋" w:hAnsi="仿宋" w:eastAsia="仿宋" w:cs="仿宋"/>
          <w:b/>
          <w:bCs/>
          <w:spacing w:val="17"/>
          <w:sz w:val="30"/>
          <w:szCs w:val="30"/>
        </w:rPr>
        <w:t>围的项目，申请纳入基本医疗服务价格项目；对于疗效好且符</w:t>
      </w:r>
    </w:p>
    <w:p>
      <w:pPr>
        <w:spacing w:line="220" w:lineRule="auto"/>
        <w:ind w:left="4"/>
        <w:rPr>
          <w:rFonts w:ascii="仿宋" w:hAnsi="仿宋" w:eastAsia="仿宋" w:cs="仿宋"/>
          <w:sz w:val="30"/>
          <w:szCs w:val="30"/>
        </w:rPr>
      </w:pPr>
      <w:r>
        <w:rPr>
          <w:rFonts w:ascii="仿宋" w:hAnsi="仿宋" w:eastAsia="仿宋" w:cs="仿宋"/>
          <w:b/>
          <w:bCs/>
          <w:spacing w:val="17"/>
          <w:sz w:val="30"/>
          <w:szCs w:val="30"/>
        </w:rPr>
        <w:t>合市场调节价准入条件的项目，申请纳入市场调节价</w:t>
      </w:r>
      <w:r>
        <w:rPr>
          <w:rFonts w:ascii="仿宋" w:hAnsi="仿宋" w:eastAsia="仿宋" w:cs="仿宋"/>
          <w:b/>
          <w:bCs/>
          <w:spacing w:val="16"/>
          <w:sz w:val="30"/>
          <w:szCs w:val="30"/>
        </w:rPr>
        <w:t>项目。上</w:t>
      </w:r>
    </w:p>
    <w:p>
      <w:pPr>
        <w:spacing w:before="245" w:line="369" w:lineRule="auto"/>
        <w:ind w:right="94"/>
        <w:rPr>
          <w:rFonts w:ascii="仿宋" w:hAnsi="仿宋" w:eastAsia="仿宋" w:cs="仿宋"/>
          <w:sz w:val="30"/>
          <w:szCs w:val="30"/>
        </w:rPr>
      </w:pPr>
      <w:r>
        <w:rPr>
          <w:rFonts w:ascii="仿宋" w:hAnsi="仿宋" w:eastAsia="仿宋" w:cs="仿宋"/>
          <w:spacing w:val="18"/>
          <w:sz w:val="30"/>
          <w:szCs w:val="30"/>
        </w:rPr>
        <w:t>述条件均不符合的项目，不予转归。属于附条件新增立项的，</w:t>
      </w:r>
      <w:r>
        <w:rPr>
          <w:rFonts w:ascii="仿宋" w:hAnsi="仿宋" w:eastAsia="仿宋" w:cs="仿宋"/>
          <w:spacing w:val="12"/>
          <w:sz w:val="30"/>
          <w:szCs w:val="30"/>
        </w:rPr>
        <w:t xml:space="preserve"> </w:t>
      </w:r>
      <w:r>
        <w:rPr>
          <w:rFonts w:ascii="仿宋" w:hAnsi="仿宋" w:eastAsia="仿宋" w:cs="仿宋"/>
          <w:spacing w:val="20"/>
          <w:sz w:val="30"/>
          <w:szCs w:val="30"/>
        </w:rPr>
        <w:t>转归时还需提交收录在专业期刊的基于真实世界研究的评估报</w:t>
      </w:r>
      <w:r>
        <w:rPr>
          <w:rFonts w:ascii="仿宋" w:hAnsi="仿宋" w:eastAsia="仿宋" w:cs="仿宋"/>
          <w:spacing w:val="6"/>
          <w:sz w:val="30"/>
          <w:szCs w:val="30"/>
        </w:rPr>
        <w:t xml:space="preserve"> </w:t>
      </w:r>
      <w:r>
        <w:rPr>
          <w:rFonts w:ascii="仿宋" w:hAnsi="仿宋" w:eastAsia="仿宋" w:cs="仿宋"/>
          <w:spacing w:val="20"/>
          <w:sz w:val="30"/>
          <w:szCs w:val="30"/>
        </w:rPr>
        <w:t>告，验证达到承诺预期目标和验证事项的可转归。若验证结果</w:t>
      </w:r>
      <w:r>
        <w:rPr>
          <w:rFonts w:ascii="仿宋" w:hAnsi="仿宋" w:eastAsia="仿宋" w:cs="仿宋"/>
          <w:spacing w:val="11"/>
          <w:sz w:val="30"/>
          <w:szCs w:val="30"/>
        </w:rPr>
        <w:t xml:space="preserve"> </w:t>
      </w:r>
      <w:r>
        <w:rPr>
          <w:rFonts w:ascii="仿宋" w:hAnsi="仿宋" w:eastAsia="仿宋" w:cs="仿宋"/>
          <w:spacing w:val="26"/>
          <w:sz w:val="30"/>
          <w:szCs w:val="30"/>
        </w:rPr>
        <w:t>不理想(如总体上可减轻患者费用负担，但某些经济性指标尚</w:t>
      </w:r>
      <w:r>
        <w:rPr>
          <w:rFonts w:ascii="仿宋" w:hAnsi="仿宋" w:eastAsia="仿宋" w:cs="仿宋"/>
          <w:spacing w:val="16"/>
          <w:sz w:val="30"/>
          <w:szCs w:val="30"/>
        </w:rPr>
        <w:t xml:space="preserve"> </w:t>
      </w:r>
      <w:r>
        <w:rPr>
          <w:rFonts w:ascii="仿宋" w:hAnsi="仿宋" w:eastAsia="仿宋" w:cs="仿宋"/>
          <w:spacing w:val="33"/>
          <w:sz w:val="30"/>
          <w:szCs w:val="30"/>
        </w:rPr>
        <w:t>未达到预期等),不予通过转归或经专家论证大幅下</w:t>
      </w:r>
      <w:r>
        <w:rPr>
          <w:rFonts w:ascii="仿宋" w:hAnsi="仿宋" w:eastAsia="仿宋" w:cs="仿宋"/>
          <w:spacing w:val="32"/>
          <w:sz w:val="30"/>
          <w:szCs w:val="30"/>
        </w:rPr>
        <w:t>调其价格</w:t>
      </w:r>
    </w:p>
    <w:p>
      <w:pPr>
        <w:spacing w:before="1" w:line="218" w:lineRule="auto"/>
        <w:rPr>
          <w:rFonts w:ascii="仿宋" w:hAnsi="仿宋" w:eastAsia="仿宋" w:cs="仿宋"/>
          <w:sz w:val="30"/>
          <w:szCs w:val="30"/>
        </w:rPr>
      </w:pPr>
      <w:r>
        <w:rPr>
          <w:rFonts w:ascii="仿宋" w:hAnsi="仿宋" w:eastAsia="仿宋" w:cs="仿宋"/>
          <w:spacing w:val="11"/>
          <w:sz w:val="30"/>
          <w:szCs w:val="30"/>
        </w:rPr>
        <w:t>水平后方可转归。</w:t>
      </w:r>
    </w:p>
    <w:p>
      <w:pPr>
        <w:spacing w:before="286" w:line="369" w:lineRule="auto"/>
        <w:ind w:right="120" w:firstLine="654"/>
        <w:rPr>
          <w:rFonts w:ascii="仿宋" w:hAnsi="仿宋" w:eastAsia="仿宋" w:cs="仿宋"/>
          <w:sz w:val="30"/>
          <w:szCs w:val="30"/>
        </w:rPr>
      </w:pPr>
      <w:r>
        <w:rPr>
          <w:rFonts w:ascii="黑体" w:hAnsi="黑体" w:eastAsia="黑体" w:cs="黑体"/>
          <w:b/>
          <w:bCs/>
          <w:spacing w:val="24"/>
          <w:sz w:val="30"/>
          <w:szCs w:val="30"/>
        </w:rPr>
        <w:t>第十七条</w:t>
      </w:r>
      <w:r>
        <w:rPr>
          <w:rFonts w:ascii="黑体" w:hAnsi="黑体" w:eastAsia="黑体" w:cs="黑体"/>
          <w:spacing w:val="68"/>
          <w:sz w:val="30"/>
          <w:szCs w:val="30"/>
        </w:rPr>
        <w:t xml:space="preserve"> </w:t>
      </w:r>
      <w:r>
        <w:rPr>
          <w:rFonts w:ascii="仿宋" w:hAnsi="仿宋" w:eastAsia="仿宋" w:cs="仿宋"/>
          <w:spacing w:val="24"/>
          <w:sz w:val="30"/>
          <w:szCs w:val="30"/>
        </w:rPr>
        <w:t>省医疗保障局组织新增医疗服务价格项目转归</w:t>
      </w:r>
      <w:r>
        <w:rPr>
          <w:rFonts w:ascii="仿宋" w:hAnsi="仿宋" w:eastAsia="仿宋" w:cs="仿宋"/>
          <w:sz w:val="30"/>
          <w:szCs w:val="30"/>
        </w:rPr>
        <w:t xml:space="preserve"> </w:t>
      </w:r>
      <w:r>
        <w:rPr>
          <w:rFonts w:ascii="仿宋" w:hAnsi="仿宋" w:eastAsia="仿宋" w:cs="仿宋"/>
          <w:spacing w:val="20"/>
          <w:sz w:val="30"/>
          <w:szCs w:val="30"/>
        </w:rPr>
        <w:t>专家论证，论证时由专家独立出具“建议保留”或“不建议保</w:t>
      </w:r>
      <w:r>
        <w:rPr>
          <w:rFonts w:ascii="仿宋" w:hAnsi="仿宋" w:eastAsia="仿宋" w:cs="仿宋"/>
          <w:spacing w:val="12"/>
          <w:sz w:val="30"/>
          <w:szCs w:val="30"/>
        </w:rPr>
        <w:t xml:space="preserve"> </w:t>
      </w:r>
      <w:r>
        <w:rPr>
          <w:rFonts w:ascii="仿宋" w:hAnsi="仿宋" w:eastAsia="仿宋" w:cs="仿宋"/>
          <w:spacing w:val="19"/>
          <w:sz w:val="30"/>
          <w:szCs w:val="30"/>
        </w:rPr>
        <w:t>留”的论证意见并说明理由。凡三分之二及以上专家建议保留</w:t>
      </w:r>
    </w:p>
    <w:p>
      <w:pPr>
        <w:spacing w:before="1" w:line="218" w:lineRule="auto"/>
        <w:rPr>
          <w:rFonts w:ascii="仿宋" w:hAnsi="仿宋" w:eastAsia="仿宋" w:cs="仿宋"/>
          <w:sz w:val="30"/>
          <w:szCs w:val="30"/>
        </w:rPr>
      </w:pPr>
      <w:r>
        <w:rPr>
          <w:rFonts w:ascii="仿宋" w:hAnsi="仿宋" w:eastAsia="仿宋" w:cs="仿宋"/>
          <w:spacing w:val="11"/>
          <w:sz w:val="30"/>
          <w:szCs w:val="30"/>
        </w:rPr>
        <w:t>的项目视为通过转归论证。</w:t>
      </w:r>
    </w:p>
    <w:p>
      <w:pPr>
        <w:spacing w:before="255" w:line="613" w:lineRule="exact"/>
        <w:ind w:right="3"/>
        <w:jc w:val="right"/>
        <w:rPr>
          <w:rFonts w:ascii="仿宋" w:hAnsi="仿宋" w:eastAsia="仿宋" w:cs="仿宋"/>
          <w:sz w:val="30"/>
          <w:szCs w:val="30"/>
        </w:rPr>
      </w:pPr>
      <w:r>
        <w:rPr>
          <w:rFonts w:ascii="仿宋" w:hAnsi="仿宋" w:eastAsia="仿宋" w:cs="仿宋"/>
          <w:spacing w:val="12"/>
          <w:position w:val="23"/>
          <w:sz w:val="30"/>
          <w:szCs w:val="30"/>
        </w:rPr>
        <w:t>对通过转归论证的项目，专家组可对项目名称、项目内涵、</w:t>
      </w:r>
    </w:p>
    <w:p>
      <w:pPr>
        <w:spacing w:before="2" w:line="220" w:lineRule="auto"/>
        <w:rPr>
          <w:rFonts w:ascii="仿宋" w:hAnsi="仿宋" w:eastAsia="仿宋" w:cs="仿宋"/>
          <w:sz w:val="30"/>
          <w:szCs w:val="30"/>
        </w:rPr>
      </w:pPr>
      <w:r>
        <w:rPr>
          <w:rFonts w:ascii="仿宋" w:hAnsi="仿宋" w:eastAsia="仿宋" w:cs="仿宋"/>
          <w:spacing w:val="17"/>
          <w:sz w:val="30"/>
          <w:szCs w:val="30"/>
        </w:rPr>
        <w:t>计价单位、除外内容、说明和价格等要素提</w:t>
      </w:r>
      <w:r>
        <w:rPr>
          <w:rFonts w:ascii="仿宋" w:hAnsi="仿宋" w:eastAsia="仿宋" w:cs="仿宋"/>
          <w:spacing w:val="16"/>
          <w:sz w:val="30"/>
          <w:szCs w:val="30"/>
        </w:rPr>
        <w:t>出完善意见。</w:t>
      </w:r>
    </w:p>
    <w:p>
      <w:pPr>
        <w:spacing w:before="237" w:line="370" w:lineRule="auto"/>
        <w:ind w:firstLine="654"/>
        <w:rPr>
          <w:rFonts w:ascii="仿宋" w:hAnsi="仿宋" w:eastAsia="仿宋" w:cs="仿宋"/>
          <w:sz w:val="30"/>
          <w:szCs w:val="30"/>
        </w:rPr>
      </w:pPr>
      <w:r>
        <w:rPr>
          <w:rFonts w:ascii="黑体" w:hAnsi="黑体" w:eastAsia="黑体" w:cs="黑体"/>
          <w:b/>
          <w:bCs/>
          <w:spacing w:val="11"/>
          <w:sz w:val="30"/>
          <w:szCs w:val="30"/>
        </w:rPr>
        <w:t>第十八条</w:t>
      </w:r>
      <w:r>
        <w:rPr>
          <w:rFonts w:ascii="黑体" w:hAnsi="黑体" w:eastAsia="黑体" w:cs="黑体"/>
          <w:spacing w:val="55"/>
          <w:sz w:val="30"/>
          <w:szCs w:val="30"/>
        </w:rPr>
        <w:t xml:space="preserve"> </w:t>
      </w:r>
      <w:r>
        <w:rPr>
          <w:rFonts w:ascii="仿宋" w:hAnsi="仿宋" w:eastAsia="仿宋" w:cs="仿宋"/>
          <w:spacing w:val="11"/>
          <w:sz w:val="30"/>
          <w:szCs w:val="30"/>
        </w:rPr>
        <w:t>省医疗保障局参考专家论证意见，对</w:t>
      </w:r>
      <w:r>
        <w:rPr>
          <w:rFonts w:ascii="仿宋" w:hAnsi="仿宋" w:eastAsia="仿宋" w:cs="仿宋"/>
          <w:spacing w:val="10"/>
          <w:sz w:val="30"/>
          <w:szCs w:val="30"/>
        </w:rPr>
        <w:t xml:space="preserve">转归申请进 </w:t>
      </w:r>
      <w:r>
        <w:rPr>
          <w:rFonts w:ascii="仿宋" w:hAnsi="仿宋" w:eastAsia="仿宋" w:cs="仿宋"/>
          <w:spacing w:val="25"/>
          <w:sz w:val="30"/>
          <w:szCs w:val="30"/>
        </w:rPr>
        <w:t>行审核，将审核通过的项目区分为“基本医疗服务价格项目”</w:t>
      </w:r>
    </w:p>
    <w:p>
      <w:pPr>
        <w:spacing w:line="220" w:lineRule="auto"/>
        <w:rPr>
          <w:rFonts w:ascii="仿宋" w:hAnsi="仿宋" w:eastAsia="仿宋" w:cs="仿宋"/>
          <w:sz w:val="30"/>
          <w:szCs w:val="30"/>
        </w:rPr>
      </w:pPr>
      <w:r>
        <w:rPr>
          <w:rFonts w:ascii="仿宋" w:hAnsi="仿宋" w:eastAsia="仿宋" w:cs="仿宋"/>
          <w:spacing w:val="31"/>
          <w:sz w:val="30"/>
          <w:szCs w:val="30"/>
        </w:rPr>
        <w:t>和“市场调节价项目”,并将结果挂网公示7个工作日。公示</w:t>
      </w:r>
    </w:p>
    <w:p>
      <w:pPr>
        <w:spacing w:line="220" w:lineRule="auto"/>
        <w:rPr>
          <w:rFonts w:ascii="仿宋" w:hAnsi="仿宋" w:eastAsia="仿宋" w:cs="仿宋"/>
          <w:sz w:val="30"/>
          <w:szCs w:val="30"/>
        </w:rPr>
        <w:sectPr>
          <w:footerReference r:id="rId13" w:type="default"/>
          <w:pgSz w:w="11830" w:h="16720"/>
          <w:pgMar w:top="1421" w:right="1476" w:bottom="1782" w:left="1569" w:header="0" w:footer="1484" w:gutter="0"/>
          <w:cols w:space="720" w:num="1"/>
        </w:sectPr>
      </w:pPr>
    </w:p>
    <w:p>
      <w:pPr>
        <w:pStyle w:val="2"/>
      </w:pPr>
    </w:p>
    <w:p>
      <w:pPr>
        <w:pStyle w:val="2"/>
      </w:pPr>
    </w:p>
    <w:p>
      <w:pPr>
        <w:pStyle w:val="2"/>
        <w:spacing w:line="241" w:lineRule="auto"/>
      </w:pPr>
    </w:p>
    <w:p>
      <w:pPr>
        <w:spacing w:before="100" w:line="221" w:lineRule="auto"/>
        <w:ind w:left="20"/>
        <w:rPr>
          <w:rFonts w:ascii="仿宋" w:hAnsi="仿宋" w:eastAsia="仿宋" w:cs="仿宋"/>
          <w:sz w:val="31"/>
          <w:szCs w:val="31"/>
        </w:rPr>
      </w:pPr>
      <w:r>
        <w:rPr>
          <w:rFonts w:ascii="仿宋" w:hAnsi="仿宋" w:eastAsia="仿宋" w:cs="仿宋"/>
          <w:spacing w:val="6"/>
          <w:sz w:val="31"/>
          <w:szCs w:val="31"/>
        </w:rPr>
        <w:t>期间，医疗机构有异议的可向省医疗保障局提供书面意见。</w:t>
      </w:r>
    </w:p>
    <w:p>
      <w:pPr>
        <w:spacing w:before="227" w:line="357" w:lineRule="auto"/>
        <w:ind w:left="20" w:right="73" w:firstLine="644"/>
        <w:jc w:val="both"/>
        <w:rPr>
          <w:rFonts w:ascii="仿宋" w:hAnsi="仿宋" w:eastAsia="仿宋" w:cs="仿宋"/>
          <w:sz w:val="31"/>
          <w:szCs w:val="31"/>
        </w:rPr>
      </w:pPr>
      <w:r>
        <w:rPr>
          <w:rFonts w:ascii="黑体" w:hAnsi="黑体" w:eastAsia="黑体" w:cs="黑体"/>
          <w:b/>
          <w:bCs/>
          <w:spacing w:val="4"/>
          <w:sz w:val="31"/>
          <w:szCs w:val="31"/>
        </w:rPr>
        <w:t>第十九条</w:t>
      </w:r>
      <w:r>
        <w:rPr>
          <w:rFonts w:ascii="黑体" w:hAnsi="黑体" w:eastAsia="黑体" w:cs="黑体"/>
          <w:spacing w:val="4"/>
          <w:sz w:val="31"/>
          <w:szCs w:val="31"/>
        </w:rPr>
        <w:t xml:space="preserve"> </w:t>
      </w:r>
      <w:r>
        <w:rPr>
          <w:rFonts w:ascii="仿宋" w:hAnsi="仿宋" w:eastAsia="仿宋" w:cs="仿宋"/>
          <w:spacing w:val="4"/>
          <w:sz w:val="31"/>
          <w:szCs w:val="31"/>
        </w:rPr>
        <w:t xml:space="preserve">通过转归的基本医疗服务价格项目，按程序制定 </w:t>
      </w:r>
      <w:r>
        <w:rPr>
          <w:rFonts w:ascii="仿宋" w:hAnsi="仿宋" w:eastAsia="仿宋" w:cs="仿宋"/>
          <w:spacing w:val="11"/>
          <w:sz w:val="31"/>
          <w:szCs w:val="31"/>
        </w:rPr>
        <w:t>政府指导价，各医疗机构应配合开展定价有关工作。转归的基</w:t>
      </w:r>
      <w:r>
        <w:rPr>
          <w:rFonts w:ascii="仿宋" w:hAnsi="仿宋" w:eastAsia="仿宋" w:cs="仿宋"/>
          <w:spacing w:val="3"/>
          <w:sz w:val="31"/>
          <w:szCs w:val="31"/>
        </w:rPr>
        <w:t xml:space="preserve"> </w:t>
      </w:r>
      <w:r>
        <w:rPr>
          <w:rFonts w:ascii="仿宋" w:hAnsi="仿宋" w:eastAsia="仿宋" w:cs="仿宋"/>
          <w:spacing w:val="11"/>
          <w:sz w:val="31"/>
          <w:szCs w:val="31"/>
        </w:rPr>
        <w:t>本医疗服务价格项目在具体政府指导价公布实施前</w:t>
      </w:r>
      <w:r>
        <w:rPr>
          <w:rFonts w:ascii="仿宋" w:hAnsi="仿宋" w:eastAsia="仿宋" w:cs="仿宋"/>
          <w:spacing w:val="10"/>
          <w:sz w:val="31"/>
          <w:szCs w:val="31"/>
        </w:rPr>
        <w:t>，医疗机构</w:t>
      </w:r>
      <w:r>
        <w:rPr>
          <w:rFonts w:ascii="仿宋" w:hAnsi="仿宋" w:eastAsia="仿宋" w:cs="仿宋"/>
          <w:sz w:val="31"/>
          <w:szCs w:val="31"/>
        </w:rPr>
        <w:t xml:space="preserve"> </w:t>
      </w:r>
      <w:r>
        <w:rPr>
          <w:rFonts w:ascii="仿宋" w:hAnsi="仿宋" w:eastAsia="仿宋" w:cs="仿宋"/>
          <w:spacing w:val="11"/>
          <w:sz w:val="31"/>
          <w:szCs w:val="31"/>
        </w:rPr>
        <w:t>按价格管理有关要求备案后可按试行期价格政策收费。未申请</w:t>
      </w:r>
    </w:p>
    <w:p>
      <w:pPr>
        <w:spacing w:before="1" w:line="218" w:lineRule="auto"/>
        <w:ind w:left="20"/>
        <w:rPr>
          <w:rFonts w:ascii="仿宋" w:hAnsi="仿宋" w:eastAsia="仿宋" w:cs="仿宋"/>
          <w:sz w:val="31"/>
          <w:szCs w:val="31"/>
        </w:rPr>
      </w:pPr>
      <w:r>
        <w:rPr>
          <w:rFonts w:ascii="仿宋" w:hAnsi="仿宋" w:eastAsia="仿宋" w:cs="仿宋"/>
          <w:spacing w:val="6"/>
          <w:sz w:val="31"/>
          <w:szCs w:val="31"/>
        </w:rPr>
        <w:t>转归或未通过转归的项目，试行期满后自动废止。</w:t>
      </w:r>
    </w:p>
    <w:p>
      <w:pPr>
        <w:pStyle w:val="2"/>
        <w:spacing w:line="246" w:lineRule="auto"/>
      </w:pPr>
    </w:p>
    <w:p>
      <w:pPr>
        <w:pStyle w:val="2"/>
        <w:spacing w:line="246" w:lineRule="auto"/>
      </w:pPr>
    </w:p>
    <w:p>
      <w:pPr>
        <w:pStyle w:val="2"/>
        <w:spacing w:line="247" w:lineRule="auto"/>
      </w:pPr>
    </w:p>
    <w:p>
      <w:pPr>
        <w:spacing w:before="101" w:line="219" w:lineRule="auto"/>
        <w:ind w:left="3314"/>
        <w:rPr>
          <w:rFonts w:ascii="宋体" w:hAnsi="宋体" w:eastAsia="宋体" w:cs="宋体"/>
          <w:sz w:val="31"/>
          <w:szCs w:val="31"/>
        </w:rPr>
      </w:pPr>
      <w:r>
        <w:rPr>
          <w:rFonts w:ascii="宋体" w:hAnsi="宋体" w:eastAsia="宋体" w:cs="宋体"/>
          <w:b/>
          <w:bCs/>
          <w:spacing w:val="33"/>
          <w:sz w:val="31"/>
          <w:szCs w:val="31"/>
        </w:rPr>
        <w:t>第六章其</w:t>
      </w:r>
      <w:r>
        <w:rPr>
          <w:rFonts w:ascii="宋体" w:hAnsi="宋体" w:eastAsia="宋体" w:cs="宋体"/>
          <w:spacing w:val="152"/>
          <w:sz w:val="31"/>
          <w:szCs w:val="31"/>
        </w:rPr>
        <w:t xml:space="preserve"> </w:t>
      </w:r>
      <w:r>
        <w:rPr>
          <w:rFonts w:ascii="宋体" w:hAnsi="宋体" w:eastAsia="宋体" w:cs="宋体"/>
          <w:b/>
          <w:bCs/>
          <w:spacing w:val="33"/>
          <w:sz w:val="31"/>
          <w:szCs w:val="31"/>
        </w:rPr>
        <w:t>他</w:t>
      </w:r>
    </w:p>
    <w:p>
      <w:pPr>
        <w:pStyle w:val="2"/>
        <w:spacing w:line="307" w:lineRule="auto"/>
      </w:pPr>
    </w:p>
    <w:p>
      <w:pPr>
        <w:pStyle w:val="2"/>
        <w:spacing w:line="308" w:lineRule="auto"/>
      </w:pPr>
    </w:p>
    <w:p>
      <w:pPr>
        <w:spacing w:before="101" w:line="364" w:lineRule="auto"/>
        <w:ind w:left="20" w:right="72" w:firstLine="644"/>
        <w:rPr>
          <w:rFonts w:ascii="仿宋" w:hAnsi="仿宋" w:eastAsia="仿宋" w:cs="仿宋"/>
          <w:sz w:val="31"/>
          <w:szCs w:val="31"/>
        </w:rPr>
      </w:pPr>
      <w:r>
        <w:rPr>
          <w:rFonts w:ascii="黑体" w:hAnsi="黑体" w:eastAsia="黑体" w:cs="黑体"/>
          <w:b/>
          <w:bCs/>
          <w:spacing w:val="2"/>
          <w:sz w:val="31"/>
          <w:szCs w:val="31"/>
        </w:rPr>
        <w:t>第二十条</w:t>
      </w:r>
      <w:r>
        <w:rPr>
          <w:rFonts w:ascii="黑体" w:hAnsi="黑体" w:eastAsia="黑体" w:cs="黑体"/>
          <w:spacing w:val="63"/>
          <w:sz w:val="31"/>
          <w:szCs w:val="31"/>
        </w:rPr>
        <w:t xml:space="preserve"> </w:t>
      </w:r>
      <w:r>
        <w:rPr>
          <w:rFonts w:ascii="仿宋" w:hAnsi="仿宋" w:eastAsia="仿宋" w:cs="仿宋"/>
          <w:spacing w:val="2"/>
          <w:sz w:val="31"/>
          <w:szCs w:val="31"/>
        </w:rPr>
        <w:t>非营利性医疗机构依法合规开展医疗服</w:t>
      </w:r>
      <w:r>
        <w:rPr>
          <w:rFonts w:ascii="仿宋" w:hAnsi="仿宋" w:eastAsia="仿宋" w:cs="仿宋"/>
          <w:spacing w:val="1"/>
          <w:sz w:val="31"/>
          <w:szCs w:val="31"/>
        </w:rPr>
        <w:t>务，须在</w:t>
      </w:r>
      <w:r>
        <w:rPr>
          <w:rFonts w:ascii="仿宋" w:hAnsi="仿宋" w:eastAsia="仿宋" w:cs="仿宋"/>
          <w:sz w:val="31"/>
          <w:szCs w:val="31"/>
        </w:rPr>
        <w:t xml:space="preserve"> </w:t>
      </w:r>
      <w:r>
        <w:rPr>
          <w:rFonts w:ascii="仿宋" w:hAnsi="仿宋" w:eastAsia="仿宋" w:cs="仿宋"/>
          <w:spacing w:val="8"/>
          <w:sz w:val="31"/>
          <w:szCs w:val="31"/>
        </w:rPr>
        <w:t>政府部门公布实施的医疗服务价格项目范围内选定项目收费。</w:t>
      </w:r>
    </w:p>
    <w:p>
      <w:pPr>
        <w:spacing w:line="220" w:lineRule="auto"/>
        <w:ind w:left="20"/>
        <w:rPr>
          <w:rFonts w:ascii="仿宋" w:hAnsi="仿宋" w:eastAsia="仿宋" w:cs="仿宋"/>
          <w:sz w:val="31"/>
          <w:szCs w:val="31"/>
        </w:rPr>
      </w:pPr>
      <w:r>
        <w:rPr>
          <w:rFonts w:ascii="仿宋" w:hAnsi="仿宋" w:eastAsia="仿宋" w:cs="仿宋"/>
          <w:spacing w:val="7"/>
          <w:sz w:val="31"/>
          <w:szCs w:val="31"/>
        </w:rPr>
        <w:t>政府部门未公布实施的医疗服务价格项目，不得向</w:t>
      </w:r>
      <w:r>
        <w:rPr>
          <w:rFonts w:ascii="仿宋" w:hAnsi="仿宋" w:eastAsia="仿宋" w:cs="仿宋"/>
          <w:spacing w:val="6"/>
          <w:sz w:val="31"/>
          <w:szCs w:val="31"/>
        </w:rPr>
        <w:t>患者收费。</w:t>
      </w:r>
    </w:p>
    <w:p>
      <w:pPr>
        <w:spacing w:before="209" w:line="364" w:lineRule="auto"/>
        <w:ind w:left="20" w:firstLine="644"/>
        <w:rPr>
          <w:rFonts w:ascii="仿宋" w:hAnsi="仿宋" w:eastAsia="仿宋" w:cs="仿宋"/>
          <w:sz w:val="31"/>
          <w:szCs w:val="31"/>
        </w:rPr>
      </w:pPr>
      <w:r>
        <w:rPr>
          <w:rFonts w:ascii="黑体" w:hAnsi="黑体" w:eastAsia="黑体" w:cs="黑体"/>
          <w:b/>
          <w:bCs/>
          <w:spacing w:val="1"/>
          <w:sz w:val="31"/>
          <w:szCs w:val="31"/>
        </w:rPr>
        <w:t>第二十一条</w:t>
      </w:r>
      <w:r>
        <w:rPr>
          <w:rFonts w:ascii="黑体" w:hAnsi="黑体" w:eastAsia="黑体" w:cs="黑体"/>
          <w:spacing w:val="83"/>
          <w:sz w:val="31"/>
          <w:szCs w:val="31"/>
        </w:rPr>
        <w:t xml:space="preserve"> </w:t>
      </w:r>
      <w:r>
        <w:rPr>
          <w:rFonts w:ascii="仿宋" w:hAnsi="仿宋" w:eastAsia="仿宋" w:cs="仿宋"/>
          <w:spacing w:val="1"/>
          <w:sz w:val="31"/>
          <w:szCs w:val="31"/>
        </w:rPr>
        <w:t>省医疗保障局根据管理需要，对现行全省统一</w:t>
      </w:r>
      <w:r>
        <w:rPr>
          <w:rFonts w:ascii="仿宋" w:hAnsi="仿宋" w:eastAsia="仿宋" w:cs="仿宋"/>
          <w:sz w:val="31"/>
          <w:szCs w:val="31"/>
        </w:rPr>
        <w:t xml:space="preserve"> </w:t>
      </w:r>
      <w:r>
        <w:rPr>
          <w:rFonts w:ascii="仿宋" w:hAnsi="仿宋" w:eastAsia="仿宋" w:cs="仿宋"/>
          <w:spacing w:val="2"/>
          <w:sz w:val="31"/>
          <w:szCs w:val="31"/>
        </w:rPr>
        <w:t>医疗服务价格项目的名称、内涵、编码、除外内容、计价单位、</w:t>
      </w:r>
    </w:p>
    <w:p>
      <w:pPr>
        <w:spacing w:before="2" w:line="220" w:lineRule="auto"/>
        <w:ind w:left="20"/>
        <w:rPr>
          <w:rFonts w:ascii="仿宋" w:hAnsi="仿宋" w:eastAsia="仿宋" w:cs="仿宋"/>
          <w:sz w:val="31"/>
          <w:szCs w:val="31"/>
        </w:rPr>
      </w:pPr>
      <w:r>
        <w:rPr>
          <w:rFonts w:ascii="仿宋" w:hAnsi="仿宋" w:eastAsia="仿宋" w:cs="仿宋"/>
          <w:sz w:val="31"/>
          <w:szCs w:val="31"/>
        </w:rPr>
        <w:t>说明等要素进行修订。</w:t>
      </w:r>
    </w:p>
    <w:p>
      <w:pPr>
        <w:spacing w:before="214" w:line="358" w:lineRule="auto"/>
        <w:ind w:left="20" w:right="74" w:firstLine="640"/>
        <w:rPr>
          <w:rFonts w:ascii="仿宋" w:hAnsi="仿宋" w:eastAsia="仿宋" w:cs="仿宋"/>
          <w:sz w:val="31"/>
          <w:szCs w:val="31"/>
        </w:rPr>
      </w:pPr>
      <w:r>
        <w:rPr>
          <w:rFonts w:ascii="仿宋" w:hAnsi="仿宋" w:eastAsia="仿宋" w:cs="仿宋"/>
          <w:spacing w:val="7"/>
          <w:sz w:val="31"/>
          <w:szCs w:val="31"/>
        </w:rPr>
        <w:t>医疗机构可向所在地级以上市医疗保障局提出修订建议，</w:t>
      </w:r>
      <w:r>
        <w:rPr>
          <w:rFonts w:ascii="仿宋" w:hAnsi="仿宋" w:eastAsia="仿宋" w:cs="仿宋"/>
          <w:spacing w:val="8"/>
          <w:sz w:val="31"/>
          <w:szCs w:val="31"/>
        </w:rPr>
        <w:t xml:space="preserve"> </w:t>
      </w:r>
      <w:r>
        <w:rPr>
          <w:rFonts w:ascii="仿宋" w:hAnsi="仿宋" w:eastAsia="仿宋" w:cs="仿宋"/>
          <w:spacing w:val="28"/>
          <w:sz w:val="31"/>
          <w:szCs w:val="31"/>
        </w:rPr>
        <w:t>并按实际情况填报附件1中的《广东省新增(修订)医疗价格</w:t>
      </w:r>
      <w:r>
        <w:rPr>
          <w:rFonts w:ascii="仿宋" w:hAnsi="仿宋" w:eastAsia="仿宋" w:cs="仿宋"/>
          <w:spacing w:val="7"/>
          <w:sz w:val="31"/>
          <w:szCs w:val="31"/>
        </w:rPr>
        <w:t xml:space="preserve"> </w:t>
      </w:r>
      <w:r>
        <w:rPr>
          <w:rFonts w:ascii="仿宋" w:hAnsi="仿宋" w:eastAsia="仿宋" w:cs="仿宋"/>
          <w:spacing w:val="17"/>
          <w:sz w:val="31"/>
          <w:szCs w:val="31"/>
        </w:rPr>
        <w:t>项目信息资料》,附上可以充分说明修订必要性的</w:t>
      </w:r>
      <w:r>
        <w:rPr>
          <w:rFonts w:ascii="仿宋" w:hAnsi="仿宋" w:eastAsia="仿宋" w:cs="仿宋"/>
          <w:spacing w:val="16"/>
          <w:sz w:val="31"/>
          <w:szCs w:val="31"/>
        </w:rPr>
        <w:t>依据和佐证</w:t>
      </w:r>
    </w:p>
    <w:p>
      <w:pPr>
        <w:spacing w:line="220" w:lineRule="auto"/>
        <w:ind w:left="20"/>
        <w:rPr>
          <w:rFonts w:ascii="仿宋" w:hAnsi="仿宋" w:eastAsia="仿宋" w:cs="仿宋"/>
          <w:sz w:val="31"/>
          <w:szCs w:val="31"/>
        </w:rPr>
      </w:pPr>
      <w:r>
        <w:rPr>
          <w:rFonts w:ascii="仿宋" w:hAnsi="仿宋" w:eastAsia="仿宋" w:cs="仿宋"/>
          <w:spacing w:val="7"/>
          <w:sz w:val="31"/>
          <w:szCs w:val="31"/>
        </w:rPr>
        <w:t>材料，由地级以上市医疗保障局审核汇总后报省医疗保障局。</w:t>
      </w:r>
    </w:p>
    <w:p>
      <w:pPr>
        <w:spacing w:before="241" w:line="590" w:lineRule="exact"/>
        <w:ind w:right="41"/>
        <w:jc w:val="right"/>
        <w:rPr>
          <w:rFonts w:ascii="仿宋" w:hAnsi="仿宋" w:eastAsia="仿宋" w:cs="仿宋"/>
          <w:sz w:val="31"/>
          <w:szCs w:val="31"/>
        </w:rPr>
      </w:pPr>
      <w:r>
        <w:rPr>
          <w:rFonts w:ascii="黑体" w:hAnsi="黑体" w:eastAsia="黑体" w:cs="黑体"/>
          <w:b/>
          <w:bCs/>
          <w:spacing w:val="15"/>
          <w:position w:val="20"/>
          <w:sz w:val="31"/>
          <w:szCs w:val="31"/>
        </w:rPr>
        <w:t>第二十二条</w:t>
      </w:r>
      <w:r>
        <w:rPr>
          <w:rFonts w:ascii="黑体" w:hAnsi="黑体" w:eastAsia="黑体" w:cs="黑体"/>
          <w:spacing w:val="87"/>
          <w:position w:val="20"/>
          <w:sz w:val="31"/>
          <w:szCs w:val="31"/>
        </w:rPr>
        <w:t xml:space="preserve"> </w:t>
      </w:r>
      <w:r>
        <w:rPr>
          <w:rFonts w:ascii="仿宋" w:hAnsi="仿宋" w:eastAsia="仿宋" w:cs="仿宋"/>
          <w:spacing w:val="15"/>
          <w:position w:val="20"/>
          <w:sz w:val="31"/>
          <w:szCs w:val="31"/>
        </w:rPr>
        <w:t>省医疗保障局新增医疗服务价格项目专家论</w:t>
      </w:r>
    </w:p>
    <w:p>
      <w:pPr>
        <w:spacing w:line="220" w:lineRule="auto"/>
        <w:ind w:left="20"/>
        <w:rPr>
          <w:rFonts w:ascii="仿宋" w:hAnsi="仿宋" w:eastAsia="仿宋" w:cs="仿宋"/>
          <w:sz w:val="31"/>
          <w:szCs w:val="31"/>
        </w:rPr>
      </w:pPr>
      <w:r>
        <w:rPr>
          <w:rFonts w:ascii="仿宋" w:hAnsi="仿宋" w:eastAsia="仿宋" w:cs="仿宋"/>
          <w:sz w:val="31"/>
          <w:szCs w:val="31"/>
        </w:rPr>
        <w:t>证工作规程另行制定。</w:t>
      </w:r>
    </w:p>
    <w:p>
      <w:pPr>
        <w:spacing w:line="220" w:lineRule="auto"/>
        <w:rPr>
          <w:rFonts w:ascii="仿宋" w:hAnsi="仿宋" w:eastAsia="仿宋" w:cs="仿宋"/>
          <w:sz w:val="31"/>
          <w:szCs w:val="31"/>
        </w:rPr>
        <w:sectPr>
          <w:footerReference r:id="rId14" w:type="default"/>
          <w:pgSz w:w="11840" w:h="16720"/>
          <w:pgMar w:top="1421" w:right="1584" w:bottom="1715" w:left="1489" w:header="0" w:footer="1496" w:gutter="0"/>
          <w:cols w:space="720" w:num="1"/>
        </w:sectPr>
      </w:pPr>
    </w:p>
    <w:p>
      <w:pPr>
        <w:pStyle w:val="2"/>
        <w:spacing w:line="359" w:lineRule="auto"/>
      </w:pPr>
    </w:p>
    <w:p>
      <w:pPr>
        <w:pStyle w:val="2"/>
        <w:spacing w:line="359" w:lineRule="auto"/>
      </w:pPr>
    </w:p>
    <w:p>
      <w:pPr>
        <w:spacing w:before="100" w:line="601" w:lineRule="exact"/>
        <w:ind w:left="654"/>
        <w:rPr>
          <w:rFonts w:ascii="仿宋" w:hAnsi="仿宋" w:eastAsia="仿宋" w:cs="仿宋"/>
          <w:sz w:val="31"/>
          <w:szCs w:val="31"/>
        </w:rPr>
      </w:pPr>
      <w:r>
        <w:rPr>
          <w:rFonts w:ascii="黑体" w:hAnsi="黑体" w:eastAsia="黑体" w:cs="黑体"/>
          <w:b/>
          <w:bCs/>
          <w:spacing w:val="2"/>
          <w:position w:val="21"/>
          <w:sz w:val="31"/>
          <w:szCs w:val="31"/>
        </w:rPr>
        <w:t>第二十三条</w:t>
      </w:r>
      <w:r>
        <w:rPr>
          <w:rFonts w:ascii="黑体" w:hAnsi="黑体" w:eastAsia="黑体" w:cs="黑体"/>
          <w:spacing w:val="43"/>
          <w:position w:val="21"/>
          <w:sz w:val="31"/>
          <w:szCs w:val="31"/>
        </w:rPr>
        <w:t xml:space="preserve"> </w:t>
      </w:r>
      <w:r>
        <w:rPr>
          <w:rFonts w:ascii="仿宋" w:hAnsi="仿宋" w:eastAsia="仿宋" w:cs="仿宋"/>
          <w:spacing w:val="2"/>
          <w:position w:val="21"/>
          <w:sz w:val="31"/>
          <w:szCs w:val="31"/>
        </w:rPr>
        <w:t>本办法由省医疗保障局负责解释</w:t>
      </w:r>
      <w:r>
        <w:rPr>
          <w:rFonts w:ascii="仿宋" w:hAnsi="仿宋" w:eastAsia="仿宋" w:cs="仿宋"/>
          <w:spacing w:val="1"/>
          <w:position w:val="21"/>
          <w:sz w:val="31"/>
          <w:szCs w:val="31"/>
        </w:rPr>
        <w:t>，国家医疗保</w:t>
      </w:r>
    </w:p>
    <w:p>
      <w:pPr>
        <w:spacing w:before="1" w:line="220" w:lineRule="auto"/>
        <w:ind w:left="20"/>
        <w:rPr>
          <w:rFonts w:ascii="仿宋" w:hAnsi="仿宋" w:eastAsia="仿宋" w:cs="仿宋"/>
          <w:sz w:val="31"/>
          <w:szCs w:val="31"/>
        </w:rPr>
      </w:pPr>
      <w:r>
        <w:rPr>
          <w:rFonts w:ascii="仿宋" w:hAnsi="仿宋" w:eastAsia="仿宋" w:cs="仿宋"/>
          <w:spacing w:val="5"/>
          <w:sz w:val="31"/>
          <w:szCs w:val="31"/>
        </w:rPr>
        <w:t>障局如有新规定的，按其规定执行。</w:t>
      </w:r>
    </w:p>
    <w:p>
      <w:pPr>
        <w:spacing w:before="236" w:line="358" w:lineRule="auto"/>
        <w:ind w:firstLine="654"/>
        <w:rPr>
          <w:rFonts w:ascii="仿宋" w:hAnsi="仿宋" w:eastAsia="仿宋" w:cs="仿宋"/>
          <w:sz w:val="31"/>
          <w:szCs w:val="31"/>
        </w:rPr>
      </w:pPr>
      <w:r>
        <w:rPr>
          <w:rFonts w:ascii="黑体" w:hAnsi="黑体" w:eastAsia="黑体" w:cs="黑体"/>
          <w:b/>
          <w:bCs/>
          <w:spacing w:val="29"/>
          <w:sz w:val="31"/>
          <w:szCs w:val="31"/>
        </w:rPr>
        <w:t>第二十四条</w:t>
      </w:r>
      <w:r>
        <w:rPr>
          <w:rFonts w:ascii="黑体" w:hAnsi="黑体" w:eastAsia="黑体" w:cs="黑体"/>
          <w:spacing w:val="29"/>
          <w:sz w:val="31"/>
          <w:szCs w:val="31"/>
        </w:rPr>
        <w:t xml:space="preserve"> </w:t>
      </w:r>
      <w:r>
        <w:rPr>
          <w:rFonts w:ascii="宋体" w:hAnsi="宋体" w:eastAsia="宋体" w:cs="宋体"/>
          <w:spacing w:val="29"/>
          <w:sz w:val="31"/>
          <w:szCs w:val="31"/>
        </w:rPr>
        <w:t>本办法自2024年5月1</w:t>
      </w:r>
      <w:r>
        <w:rPr>
          <w:rFonts w:ascii="仿宋" w:hAnsi="仿宋" w:eastAsia="仿宋" w:cs="仿宋"/>
          <w:spacing w:val="29"/>
          <w:sz w:val="31"/>
          <w:szCs w:val="31"/>
        </w:rPr>
        <w:t>日起施行，有效期</w:t>
      </w:r>
      <w:r>
        <w:rPr>
          <w:rFonts w:ascii="仿宋" w:hAnsi="仿宋" w:eastAsia="仿宋" w:cs="仿宋"/>
          <w:spacing w:val="-40"/>
          <w:sz w:val="31"/>
          <w:szCs w:val="31"/>
        </w:rPr>
        <w:t xml:space="preserve"> </w:t>
      </w:r>
      <w:r>
        <w:rPr>
          <w:rFonts w:ascii="黑体" w:hAnsi="黑体" w:eastAsia="黑体" w:cs="黑体"/>
          <w:spacing w:val="29"/>
          <w:sz w:val="31"/>
          <w:szCs w:val="31"/>
        </w:rPr>
        <w:t>5</w:t>
      </w:r>
      <w:r>
        <w:rPr>
          <w:rFonts w:ascii="黑体" w:hAnsi="黑体" w:eastAsia="黑体" w:cs="黑体"/>
          <w:sz w:val="31"/>
          <w:szCs w:val="31"/>
        </w:rPr>
        <w:t xml:space="preserve">  </w:t>
      </w:r>
      <w:r>
        <w:rPr>
          <w:rFonts w:ascii="仿宋" w:hAnsi="仿宋" w:eastAsia="仿宋" w:cs="仿宋"/>
          <w:spacing w:val="6"/>
          <w:sz w:val="31"/>
          <w:szCs w:val="31"/>
        </w:rPr>
        <w:t>年，《广东省医疗保障局新增医疗服务价格项目管理暂行办法》</w:t>
      </w:r>
    </w:p>
    <w:p>
      <w:pPr>
        <w:spacing w:before="1" w:line="220" w:lineRule="auto"/>
        <w:ind w:left="130"/>
        <w:rPr>
          <w:rFonts w:ascii="仿宋" w:hAnsi="仿宋" w:eastAsia="仿宋" w:cs="仿宋"/>
          <w:sz w:val="31"/>
          <w:szCs w:val="31"/>
        </w:rPr>
      </w:pPr>
      <w:r>
        <w:rPr>
          <w:rFonts w:ascii="仿宋" w:hAnsi="仿宋" w:eastAsia="仿宋" w:cs="仿宋"/>
          <w:spacing w:val="21"/>
          <w:sz w:val="31"/>
          <w:szCs w:val="31"/>
        </w:rPr>
        <w:t>(粤医保规〔2020〕5号)废止。</w:t>
      </w:r>
    </w:p>
    <w:p>
      <w:pPr>
        <w:pStyle w:val="2"/>
        <w:spacing w:line="254" w:lineRule="auto"/>
      </w:pPr>
    </w:p>
    <w:p>
      <w:pPr>
        <w:pStyle w:val="2"/>
        <w:spacing w:line="254" w:lineRule="auto"/>
      </w:pPr>
    </w:p>
    <w:p>
      <w:pPr>
        <w:pStyle w:val="2"/>
        <w:spacing w:line="254" w:lineRule="auto"/>
      </w:pPr>
    </w:p>
    <w:p>
      <w:pPr>
        <w:spacing w:before="101" w:line="220" w:lineRule="auto"/>
        <w:ind w:left="650"/>
        <w:rPr>
          <w:rFonts w:ascii="仿宋" w:hAnsi="仿宋" w:eastAsia="仿宋" w:cs="仿宋"/>
          <w:sz w:val="31"/>
          <w:szCs w:val="31"/>
        </w:rPr>
      </w:pPr>
      <w:r>
        <w:rPr>
          <w:rFonts w:ascii="仿宋" w:hAnsi="仿宋" w:eastAsia="仿宋" w:cs="仿宋"/>
          <w:spacing w:val="6"/>
          <w:sz w:val="31"/>
          <w:szCs w:val="31"/>
        </w:rPr>
        <w:t>附件：1.广东省新增医疗服务价格项目信息材料</w:t>
      </w:r>
    </w:p>
    <w:p>
      <w:pPr>
        <w:spacing w:before="236" w:line="220" w:lineRule="auto"/>
        <w:ind w:left="1584"/>
        <w:outlineLvl w:val="0"/>
        <w:rPr>
          <w:rFonts w:ascii="仿宋" w:hAnsi="仿宋" w:eastAsia="仿宋" w:cs="仿宋"/>
          <w:sz w:val="31"/>
          <w:szCs w:val="31"/>
        </w:rPr>
      </w:pPr>
      <w:r>
        <w:rPr>
          <w:rFonts w:ascii="仿宋" w:hAnsi="仿宋" w:eastAsia="仿宋" w:cs="仿宋"/>
          <w:b/>
          <w:bCs/>
          <w:spacing w:val="3"/>
          <w:sz w:val="31"/>
          <w:szCs w:val="31"/>
        </w:rPr>
        <w:t>2.广东省医疗机构新增医疗服务价格项目价值评估</w:t>
      </w:r>
    </w:p>
    <w:p>
      <w:pPr>
        <w:spacing w:before="239" w:line="222" w:lineRule="auto"/>
        <w:ind w:left="1899"/>
        <w:rPr>
          <w:rFonts w:ascii="仿宋" w:hAnsi="仿宋" w:eastAsia="仿宋" w:cs="仿宋"/>
          <w:sz w:val="31"/>
          <w:szCs w:val="31"/>
        </w:rPr>
      </w:pPr>
      <w:r>
        <w:rPr>
          <w:rFonts w:ascii="仿宋" w:hAnsi="仿宋" w:eastAsia="仿宋" w:cs="仿宋"/>
          <w:spacing w:val="9"/>
          <w:sz w:val="31"/>
          <w:szCs w:val="31"/>
        </w:rPr>
        <w:t>指标</w:t>
      </w:r>
    </w:p>
    <w:p>
      <w:pPr>
        <w:spacing w:before="236" w:line="219" w:lineRule="auto"/>
        <w:ind w:left="1574"/>
        <w:outlineLvl w:val="0"/>
        <w:rPr>
          <w:rFonts w:ascii="仿宋" w:hAnsi="仿宋" w:eastAsia="仿宋" w:cs="仿宋"/>
          <w:sz w:val="31"/>
          <w:szCs w:val="31"/>
        </w:rPr>
      </w:pPr>
      <w:r>
        <w:rPr>
          <w:rFonts w:ascii="仿宋" w:hAnsi="仿宋" w:eastAsia="仿宋" w:cs="仿宋"/>
          <w:b/>
          <w:bCs/>
          <w:spacing w:val="3"/>
          <w:sz w:val="31"/>
          <w:szCs w:val="31"/>
        </w:rPr>
        <w:t>3.广东省新增医疗服务价格项目转归申请表</w:t>
      </w:r>
    </w:p>
    <w:p>
      <w:pPr>
        <w:spacing w:line="219" w:lineRule="auto"/>
        <w:rPr>
          <w:rFonts w:ascii="仿宋" w:hAnsi="仿宋" w:eastAsia="仿宋" w:cs="仿宋"/>
          <w:sz w:val="31"/>
          <w:szCs w:val="31"/>
        </w:rPr>
        <w:sectPr>
          <w:footerReference r:id="rId15" w:type="default"/>
          <w:pgSz w:w="11840" w:h="16750"/>
          <w:pgMar w:top="1423" w:right="1325" w:bottom="1678" w:left="1650" w:header="0" w:footer="1369" w:gutter="0"/>
          <w:cols w:space="720" w:num="1"/>
        </w:sectPr>
      </w:pPr>
    </w:p>
    <w:p>
      <w:pPr>
        <w:spacing w:before="200" w:line="224" w:lineRule="auto"/>
        <w:rPr>
          <w:rFonts w:ascii="黑体" w:hAnsi="黑体" w:eastAsia="黑体" w:cs="黑体"/>
          <w:sz w:val="31"/>
          <w:szCs w:val="31"/>
        </w:rPr>
      </w:pPr>
      <w:r>
        <w:rPr>
          <w:rFonts w:ascii="黑体" w:hAnsi="黑体" w:eastAsia="黑体" w:cs="黑体"/>
          <w:b/>
          <w:bCs/>
          <w:spacing w:val="-17"/>
          <w:sz w:val="31"/>
          <w:szCs w:val="31"/>
        </w:rPr>
        <w:t>附</w:t>
      </w:r>
      <w:r>
        <w:rPr>
          <w:rFonts w:ascii="黑体" w:hAnsi="黑体" w:eastAsia="黑体" w:cs="黑体"/>
          <w:spacing w:val="-60"/>
          <w:sz w:val="31"/>
          <w:szCs w:val="31"/>
        </w:rPr>
        <w:t xml:space="preserve"> </w:t>
      </w:r>
      <w:r>
        <w:rPr>
          <w:rFonts w:ascii="黑体" w:hAnsi="黑体" w:eastAsia="黑体" w:cs="黑体"/>
          <w:b/>
          <w:bCs/>
          <w:spacing w:val="-17"/>
          <w:sz w:val="31"/>
          <w:szCs w:val="31"/>
        </w:rPr>
        <w:t>件</w:t>
      </w:r>
      <w:r>
        <w:rPr>
          <w:rFonts w:ascii="黑体" w:hAnsi="黑体" w:eastAsia="黑体" w:cs="黑体"/>
          <w:spacing w:val="-43"/>
          <w:sz w:val="31"/>
          <w:szCs w:val="31"/>
        </w:rPr>
        <w:t xml:space="preserve"> </w:t>
      </w:r>
      <w:r>
        <w:rPr>
          <w:rFonts w:ascii="黑体" w:hAnsi="黑体" w:eastAsia="黑体" w:cs="黑体"/>
          <w:b/>
          <w:bCs/>
          <w:spacing w:val="-17"/>
          <w:sz w:val="31"/>
          <w:szCs w:val="31"/>
        </w:rPr>
        <w:t>1</w:t>
      </w: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spacing w:before="163" w:line="1464" w:lineRule="exact"/>
        <w:ind w:left="995"/>
        <w:rPr>
          <w:rFonts w:ascii="黑体" w:hAnsi="黑体" w:eastAsia="黑体" w:cs="黑体"/>
          <w:sz w:val="50"/>
          <w:szCs w:val="50"/>
        </w:rPr>
      </w:pPr>
      <w:r>
        <w:drawing>
          <wp:anchor distT="0" distB="0" distL="0" distR="0" simplePos="0" relativeHeight="251660288" behindDoc="0" locked="0" layoutInCell="1" allowOverlap="1">
            <wp:simplePos x="0" y="0"/>
            <wp:positionH relativeFrom="column">
              <wp:posOffset>644525</wp:posOffset>
            </wp:positionH>
            <wp:positionV relativeFrom="paragraph">
              <wp:posOffset>163195</wp:posOffset>
            </wp:positionV>
            <wp:extent cx="27305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3"/>
                    <a:stretch>
                      <a:fillRect/>
                    </a:stretch>
                  </pic:blipFill>
                  <pic:spPr>
                    <a:xfrm>
                      <a:off x="0" y="0"/>
                      <a:ext cx="273067" cy="6374"/>
                    </a:xfrm>
                    <a:prstGeom prst="rect">
                      <a:avLst/>
                    </a:prstGeom>
                  </pic:spPr>
                </pic:pic>
              </a:graphicData>
            </a:graphic>
          </wp:anchor>
        </w:drawing>
      </w:r>
      <w:r>
        <w:rPr>
          <w:rFonts w:ascii="黑体" w:hAnsi="黑体" w:eastAsia="黑体" w:cs="黑体"/>
          <w:spacing w:val="22"/>
          <w:position w:val="74"/>
          <w:sz w:val="50"/>
          <w:szCs w:val="50"/>
        </w:rPr>
        <w:t>广东省新增医疗服务价格项目</w:t>
      </w:r>
    </w:p>
    <w:p>
      <w:pPr>
        <w:spacing w:line="222" w:lineRule="auto"/>
        <w:ind w:left="3375"/>
        <w:rPr>
          <w:rFonts w:ascii="黑体" w:hAnsi="黑体" w:eastAsia="黑体" w:cs="黑体"/>
          <w:sz w:val="50"/>
          <w:szCs w:val="50"/>
        </w:rPr>
      </w:pPr>
      <w:r>
        <w:rPr>
          <w:rFonts w:ascii="黑体" w:hAnsi="黑体" w:eastAsia="黑体" w:cs="黑体"/>
          <w:spacing w:val="22"/>
          <w:sz w:val="50"/>
          <w:szCs w:val="50"/>
        </w:rPr>
        <w:t>信息材料</w:t>
      </w: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6" w:lineRule="auto"/>
      </w:pPr>
    </w:p>
    <w:p>
      <w:pPr>
        <w:pStyle w:val="2"/>
        <w:spacing w:line="246" w:lineRule="auto"/>
      </w:pPr>
    </w:p>
    <w:p>
      <w:pPr>
        <w:pStyle w:val="2"/>
        <w:spacing w:line="246" w:lineRule="auto"/>
      </w:pPr>
    </w:p>
    <w:p>
      <w:pPr>
        <w:pStyle w:val="2"/>
        <w:spacing w:line="246" w:lineRule="auto"/>
      </w:pPr>
    </w:p>
    <w:p>
      <w:pPr>
        <w:spacing w:before="114" w:line="222" w:lineRule="auto"/>
        <w:ind w:left="1120"/>
        <w:rPr>
          <w:rFonts w:ascii="黑体" w:hAnsi="黑体" w:eastAsia="黑体" w:cs="黑体"/>
          <w:sz w:val="35"/>
          <w:szCs w:val="35"/>
        </w:rPr>
      </w:pPr>
      <w:r>
        <w:rPr>
          <w:rFonts w:ascii="黑体" w:hAnsi="黑体" w:eastAsia="黑体" w:cs="黑体"/>
          <w:b/>
          <w:bCs/>
          <w:spacing w:val="34"/>
          <w:sz w:val="35"/>
          <w:szCs w:val="35"/>
        </w:rPr>
        <w:t>医疗机构(盖章):</w:t>
      </w:r>
      <w:r>
        <w:rPr>
          <w:rFonts w:ascii="黑体" w:hAnsi="黑体" w:eastAsia="黑体" w:cs="黑体"/>
          <w:spacing w:val="34"/>
          <w:sz w:val="35"/>
          <w:szCs w:val="35"/>
        </w:rPr>
        <w:t xml:space="preserve"> </w:t>
      </w:r>
      <w:r>
        <w:rPr>
          <w:rFonts w:ascii="黑体" w:hAnsi="黑体" w:eastAsia="黑体" w:cs="黑体"/>
          <w:spacing w:val="34"/>
          <w:sz w:val="35"/>
          <w:szCs w:val="35"/>
          <w:u w:val="single" w:color="auto"/>
        </w:rPr>
        <w:t xml:space="preserve">                   </w:t>
      </w:r>
    </w:p>
    <w:p>
      <w:pPr>
        <w:pStyle w:val="2"/>
        <w:spacing w:line="251" w:lineRule="auto"/>
      </w:pPr>
    </w:p>
    <w:p>
      <w:pPr>
        <w:pStyle w:val="2"/>
        <w:spacing w:line="252" w:lineRule="auto"/>
      </w:pPr>
    </w:p>
    <w:p>
      <w:pPr>
        <w:spacing w:before="113" w:line="532" w:lineRule="auto"/>
        <w:ind w:left="1120"/>
        <w:rPr>
          <w:rFonts w:ascii="黑体" w:hAnsi="黑体" w:eastAsia="黑体" w:cs="黑体"/>
          <w:sz w:val="35"/>
          <w:szCs w:val="35"/>
        </w:rPr>
      </w:pPr>
      <w:r>
        <w:rPr>
          <w:rFonts w:ascii="黑体" w:hAnsi="黑体" w:eastAsia="黑体" w:cs="黑体"/>
          <w:b/>
          <w:bCs/>
          <w:spacing w:val="-44"/>
          <w:sz w:val="35"/>
          <w:szCs w:val="35"/>
        </w:rPr>
        <w:t>项目名称：</w:t>
      </w:r>
      <w:r>
        <w:rPr>
          <w:rFonts w:ascii="黑体" w:hAnsi="黑体" w:eastAsia="黑体" w:cs="黑体"/>
          <w:spacing w:val="90"/>
          <w:sz w:val="35"/>
          <w:szCs w:val="35"/>
        </w:rPr>
        <w:t xml:space="preserve"> </w:t>
      </w:r>
      <w:r>
        <w:rPr>
          <w:rFonts w:ascii="黑体" w:hAnsi="黑体" w:eastAsia="黑体" w:cs="黑体"/>
          <w:sz w:val="35"/>
          <w:szCs w:val="35"/>
          <w:u w:val="single" w:color="auto"/>
        </w:rPr>
        <w:t xml:space="preserve">                               </w:t>
      </w:r>
    </w:p>
    <w:p>
      <w:pPr>
        <w:spacing w:before="2" w:line="220" w:lineRule="auto"/>
        <w:ind w:left="1120"/>
        <w:rPr>
          <w:rFonts w:ascii="黑体" w:hAnsi="黑体" w:eastAsia="黑体" w:cs="黑体"/>
          <w:sz w:val="35"/>
          <w:szCs w:val="35"/>
        </w:rPr>
      </w:pPr>
      <w:r>
        <w:rPr>
          <w:rFonts w:ascii="黑体" w:hAnsi="黑体" w:eastAsia="黑体" w:cs="黑体"/>
          <w:b/>
          <w:bCs/>
          <w:spacing w:val="-48"/>
          <w:sz w:val="35"/>
          <w:szCs w:val="35"/>
        </w:rPr>
        <w:t>项目编号：</w:t>
      </w:r>
      <w:r>
        <w:rPr>
          <w:rFonts w:ascii="黑体" w:hAnsi="黑体" w:eastAsia="黑体" w:cs="黑体"/>
          <w:spacing w:val="110"/>
          <w:sz w:val="35"/>
          <w:szCs w:val="35"/>
        </w:rPr>
        <w:t xml:space="preserve"> </w:t>
      </w:r>
      <w:r>
        <w:rPr>
          <w:rFonts w:ascii="黑体" w:hAnsi="黑体" w:eastAsia="黑体" w:cs="黑体"/>
          <w:sz w:val="35"/>
          <w:szCs w:val="35"/>
          <w:u w:val="single" w:color="auto"/>
        </w:rPr>
        <w:t xml:space="preserve">                               </w:t>
      </w:r>
    </w:p>
    <w:p>
      <w:pPr>
        <w:spacing w:line="220" w:lineRule="auto"/>
        <w:rPr>
          <w:rFonts w:ascii="黑体" w:hAnsi="黑体" w:eastAsia="黑体" w:cs="黑体"/>
          <w:sz w:val="35"/>
          <w:szCs w:val="35"/>
        </w:rPr>
        <w:sectPr>
          <w:footerReference r:id="rId16" w:type="default"/>
          <w:pgSz w:w="11840" w:h="16730"/>
          <w:pgMar w:top="1422" w:right="1776" w:bottom="605" w:left="1534" w:header="0" w:footer="456" w:gutter="0"/>
          <w:cols w:space="720" w:num="1"/>
        </w:sectPr>
      </w:pPr>
    </w:p>
    <w:p>
      <w:pPr>
        <w:pStyle w:val="2"/>
        <w:spacing w:line="268" w:lineRule="auto"/>
      </w:pPr>
    </w:p>
    <w:p>
      <w:pPr>
        <w:spacing w:before="133" w:line="218" w:lineRule="auto"/>
        <w:ind w:left="650"/>
        <w:rPr>
          <w:rFonts w:ascii="宋体" w:hAnsi="宋体" w:eastAsia="宋体" w:cs="宋体"/>
          <w:sz w:val="41"/>
          <w:szCs w:val="41"/>
        </w:rPr>
      </w:pPr>
      <w:r>
        <w:rPr>
          <w:rFonts w:ascii="宋体" w:hAnsi="宋体" w:eastAsia="宋体" w:cs="宋体"/>
          <w:b/>
          <w:bCs/>
          <w:spacing w:val="5"/>
          <w:sz w:val="41"/>
          <w:szCs w:val="41"/>
        </w:rPr>
        <w:t>新增(修订)医疗服务价格项目信息材料清单</w:t>
      </w:r>
    </w:p>
    <w:p>
      <w:pPr>
        <w:spacing w:before="105"/>
      </w:pPr>
    </w:p>
    <w:p>
      <w:pPr>
        <w:spacing w:before="105"/>
      </w:pPr>
    </w:p>
    <w:tbl>
      <w:tblPr>
        <w:tblStyle w:val="5"/>
        <w:tblW w:w="92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3506"/>
        <w:gridCol w:w="1649"/>
        <w:gridCol w:w="719"/>
        <w:gridCol w:w="699"/>
        <w:gridCol w:w="1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904" w:type="dxa"/>
            <w:vMerge w:val="restart"/>
            <w:tcBorders>
              <w:bottom w:val="nil"/>
            </w:tcBorders>
            <w:vAlign w:val="top"/>
          </w:tcPr>
          <w:p>
            <w:pPr>
              <w:pStyle w:val="6"/>
              <w:spacing w:before="291" w:line="289" w:lineRule="exact"/>
              <w:ind w:left="247"/>
            </w:pPr>
            <w:r>
              <w:rPr>
                <w:b/>
                <w:bCs/>
                <w:spacing w:val="-5"/>
                <w:position w:val="6"/>
              </w:rPr>
              <w:t>装订</w:t>
            </w:r>
          </w:p>
          <w:p>
            <w:pPr>
              <w:pStyle w:val="6"/>
              <w:spacing w:line="220" w:lineRule="auto"/>
              <w:ind w:left="247"/>
            </w:pPr>
            <w:r>
              <w:rPr>
                <w:b/>
                <w:bCs/>
                <w:spacing w:val="-5"/>
              </w:rPr>
              <w:t>顺序</w:t>
            </w:r>
          </w:p>
        </w:tc>
        <w:tc>
          <w:tcPr>
            <w:tcW w:w="3506" w:type="dxa"/>
            <w:vMerge w:val="restart"/>
            <w:tcBorders>
              <w:bottom w:val="nil"/>
            </w:tcBorders>
            <w:vAlign w:val="top"/>
          </w:tcPr>
          <w:p>
            <w:pPr>
              <w:spacing w:line="391" w:lineRule="auto"/>
              <w:rPr>
                <w:rFonts w:ascii="Arial"/>
                <w:sz w:val="21"/>
              </w:rPr>
            </w:pPr>
          </w:p>
          <w:p>
            <w:pPr>
              <w:pStyle w:val="6"/>
              <w:spacing w:before="65" w:line="219" w:lineRule="auto"/>
              <w:ind w:left="1293"/>
            </w:pPr>
            <w:r>
              <w:rPr>
                <w:b/>
                <w:bCs/>
                <w:spacing w:val="40"/>
              </w:rPr>
              <w:t>材料名称</w:t>
            </w:r>
          </w:p>
        </w:tc>
        <w:tc>
          <w:tcPr>
            <w:tcW w:w="1649" w:type="dxa"/>
            <w:vMerge w:val="restart"/>
            <w:tcBorders>
              <w:bottom w:val="nil"/>
            </w:tcBorders>
            <w:vAlign w:val="top"/>
          </w:tcPr>
          <w:p>
            <w:pPr>
              <w:spacing w:line="391" w:lineRule="auto"/>
              <w:rPr>
                <w:rFonts w:ascii="Arial"/>
                <w:sz w:val="21"/>
              </w:rPr>
            </w:pPr>
          </w:p>
          <w:p>
            <w:pPr>
              <w:pStyle w:val="6"/>
              <w:spacing w:before="65" w:line="219" w:lineRule="auto"/>
              <w:ind w:left="337"/>
            </w:pPr>
            <w:r>
              <w:rPr>
                <w:b/>
                <w:bCs/>
                <w:spacing w:val="41"/>
              </w:rPr>
              <w:t>材料要求</w:t>
            </w:r>
          </w:p>
        </w:tc>
        <w:tc>
          <w:tcPr>
            <w:tcW w:w="1418" w:type="dxa"/>
            <w:gridSpan w:val="2"/>
            <w:vAlign w:val="top"/>
          </w:tcPr>
          <w:p>
            <w:pPr>
              <w:pStyle w:val="6"/>
              <w:spacing w:before="99" w:line="219" w:lineRule="auto"/>
              <w:ind w:left="238"/>
            </w:pPr>
            <w:r>
              <w:rPr>
                <w:b/>
                <w:bCs/>
                <w:spacing w:val="40"/>
              </w:rPr>
              <w:t>材料种类</w:t>
            </w:r>
          </w:p>
        </w:tc>
        <w:tc>
          <w:tcPr>
            <w:tcW w:w="1793" w:type="dxa"/>
            <w:vAlign w:val="top"/>
          </w:tcPr>
          <w:p>
            <w:pPr>
              <w:pStyle w:val="6"/>
              <w:spacing w:before="99" w:line="219" w:lineRule="auto"/>
              <w:ind w:left="430"/>
            </w:pPr>
            <w:r>
              <w:rPr>
                <w:b/>
                <w:bCs/>
                <w:spacing w:val="40"/>
              </w:rPr>
              <w:t>是否提供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04" w:type="dxa"/>
            <w:vMerge w:val="continue"/>
            <w:tcBorders>
              <w:top w:val="nil"/>
            </w:tcBorders>
            <w:vAlign w:val="top"/>
          </w:tcPr>
          <w:p>
            <w:pPr>
              <w:rPr>
                <w:rFonts w:ascii="Arial"/>
                <w:sz w:val="21"/>
              </w:rPr>
            </w:pPr>
          </w:p>
        </w:tc>
        <w:tc>
          <w:tcPr>
            <w:tcW w:w="3506" w:type="dxa"/>
            <w:vMerge w:val="continue"/>
            <w:tcBorders>
              <w:top w:val="nil"/>
            </w:tcBorders>
            <w:vAlign w:val="top"/>
          </w:tcPr>
          <w:p>
            <w:pPr>
              <w:rPr>
                <w:rFonts w:ascii="Arial"/>
                <w:sz w:val="21"/>
              </w:rPr>
            </w:pPr>
          </w:p>
        </w:tc>
        <w:tc>
          <w:tcPr>
            <w:tcW w:w="1649" w:type="dxa"/>
            <w:vMerge w:val="continue"/>
            <w:tcBorders>
              <w:top w:val="nil"/>
            </w:tcBorders>
            <w:vAlign w:val="top"/>
          </w:tcPr>
          <w:p>
            <w:pPr>
              <w:rPr>
                <w:rFonts w:ascii="Arial"/>
                <w:sz w:val="21"/>
              </w:rPr>
            </w:pPr>
          </w:p>
        </w:tc>
        <w:tc>
          <w:tcPr>
            <w:tcW w:w="719" w:type="dxa"/>
            <w:vAlign w:val="top"/>
          </w:tcPr>
          <w:p>
            <w:pPr>
              <w:pStyle w:val="6"/>
              <w:spacing w:before="76" w:line="288" w:lineRule="exact"/>
              <w:ind w:left="158"/>
            </w:pPr>
            <w:r>
              <w:rPr>
                <w:b/>
                <w:bCs/>
                <w:spacing w:val="-5"/>
                <w:position w:val="6"/>
              </w:rPr>
              <w:t>必须</w:t>
            </w:r>
          </w:p>
          <w:p>
            <w:pPr>
              <w:pStyle w:val="6"/>
              <w:spacing w:line="218" w:lineRule="auto"/>
              <w:ind w:left="158"/>
            </w:pPr>
            <w:r>
              <w:rPr>
                <w:b/>
                <w:bCs/>
                <w:spacing w:val="-5"/>
              </w:rPr>
              <w:t>提供</w:t>
            </w:r>
          </w:p>
        </w:tc>
        <w:tc>
          <w:tcPr>
            <w:tcW w:w="699" w:type="dxa"/>
            <w:vAlign w:val="top"/>
          </w:tcPr>
          <w:p>
            <w:pPr>
              <w:pStyle w:val="6"/>
              <w:spacing w:before="55" w:line="319" w:lineRule="exact"/>
              <w:ind w:left="149"/>
            </w:pPr>
            <w:r>
              <w:rPr>
                <w:b/>
                <w:bCs/>
                <w:spacing w:val="-4"/>
                <w:position w:val="8"/>
              </w:rPr>
              <w:t>据实</w:t>
            </w:r>
          </w:p>
          <w:p>
            <w:pPr>
              <w:pStyle w:val="6"/>
              <w:spacing w:line="218" w:lineRule="auto"/>
              <w:ind w:left="149"/>
            </w:pPr>
            <w:r>
              <w:rPr>
                <w:b/>
                <w:bCs/>
                <w:spacing w:val="-5"/>
              </w:rPr>
              <w:t>提供</w:t>
            </w:r>
          </w:p>
        </w:tc>
        <w:tc>
          <w:tcPr>
            <w:tcW w:w="1793" w:type="dxa"/>
            <w:vAlign w:val="top"/>
          </w:tcPr>
          <w:p>
            <w:pPr>
              <w:pStyle w:val="6"/>
              <w:spacing w:before="246" w:line="219" w:lineRule="auto"/>
              <w:jc w:val="right"/>
            </w:pPr>
            <w:r>
              <w:rPr>
                <w:spacing w:val="-13"/>
              </w:rPr>
              <w:t>(若提供，打“</w:t>
            </w:r>
            <w:r>
              <w:rPr>
                <w:spacing w:val="-38"/>
              </w:rPr>
              <w:t xml:space="preserve"> </w:t>
            </w:r>
            <w:r>
              <w:rPr>
                <w:spacing w:val="-13"/>
              </w:rPr>
              <w:t>√</w:t>
            </w:r>
            <w:r>
              <w:rPr>
                <w:spacing w:val="-69"/>
              </w:rPr>
              <w:t xml:space="preserve"> </w:t>
            </w:r>
            <w:r>
              <w:rPr>
                <w:spacing w:val="-1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4" w:type="dxa"/>
            <w:vAlign w:val="top"/>
          </w:tcPr>
          <w:p>
            <w:pPr>
              <w:pStyle w:val="6"/>
              <w:spacing w:before="298" w:line="184" w:lineRule="auto"/>
              <w:ind w:left="395"/>
            </w:pPr>
            <w:r>
              <w:t>1</w:t>
            </w:r>
          </w:p>
        </w:tc>
        <w:tc>
          <w:tcPr>
            <w:tcW w:w="3506" w:type="dxa"/>
            <w:vAlign w:val="top"/>
          </w:tcPr>
          <w:p>
            <w:pPr>
              <w:pStyle w:val="6"/>
              <w:spacing w:before="246" w:line="218" w:lineRule="auto"/>
              <w:ind w:left="141"/>
            </w:pPr>
            <w:r>
              <w:rPr>
                <w:spacing w:val="-1"/>
              </w:rPr>
              <w:t>广东省新增医疗服务价格项目表</w:t>
            </w:r>
          </w:p>
        </w:tc>
        <w:tc>
          <w:tcPr>
            <w:tcW w:w="1649" w:type="dxa"/>
            <w:vAlign w:val="top"/>
          </w:tcPr>
          <w:p>
            <w:pPr>
              <w:pStyle w:val="6"/>
              <w:spacing w:before="248" w:line="219" w:lineRule="auto"/>
              <w:ind w:left="614"/>
            </w:pPr>
            <w:r>
              <w:rPr>
                <w:spacing w:val="4"/>
              </w:rPr>
              <w:t>原件</w:t>
            </w:r>
          </w:p>
        </w:tc>
        <w:tc>
          <w:tcPr>
            <w:tcW w:w="719" w:type="dxa"/>
            <w:vAlign w:val="top"/>
          </w:tcPr>
          <w:p>
            <w:pPr>
              <w:pStyle w:val="6"/>
              <w:spacing w:before="268" w:line="238" w:lineRule="auto"/>
              <w:ind w:left="256"/>
            </w:pPr>
            <w:r>
              <w:t>√</w:t>
            </w:r>
          </w:p>
        </w:tc>
        <w:tc>
          <w:tcPr>
            <w:tcW w:w="699" w:type="dxa"/>
            <w:vAlign w:val="top"/>
          </w:tcPr>
          <w:p>
            <w:pPr>
              <w:rPr>
                <w:rFonts w:ascii="Arial"/>
                <w:sz w:val="21"/>
              </w:rPr>
            </w:pPr>
          </w:p>
        </w:tc>
        <w:tc>
          <w:tcPr>
            <w:tcW w:w="17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04" w:type="dxa"/>
            <w:vAlign w:val="top"/>
          </w:tcPr>
          <w:p>
            <w:pPr>
              <w:pStyle w:val="6"/>
              <w:spacing w:before="300" w:line="183" w:lineRule="auto"/>
              <w:ind w:left="395"/>
            </w:pPr>
            <w:r>
              <w:t>2</w:t>
            </w:r>
          </w:p>
        </w:tc>
        <w:tc>
          <w:tcPr>
            <w:tcW w:w="3506" w:type="dxa"/>
            <w:vAlign w:val="top"/>
          </w:tcPr>
          <w:p>
            <w:pPr>
              <w:pStyle w:val="6"/>
              <w:spacing w:before="106" w:line="250" w:lineRule="auto"/>
              <w:ind w:left="141" w:right="341"/>
            </w:pPr>
            <w:r>
              <w:t>广东省新增(修订)医疗价格项目信</w:t>
            </w:r>
            <w:r>
              <w:rPr>
                <w:spacing w:val="12"/>
              </w:rPr>
              <w:t xml:space="preserve"> </w:t>
            </w:r>
            <w:r>
              <w:rPr>
                <w:spacing w:val="2"/>
              </w:rPr>
              <w:t>息资料</w:t>
            </w:r>
          </w:p>
        </w:tc>
        <w:tc>
          <w:tcPr>
            <w:tcW w:w="1649" w:type="dxa"/>
            <w:vAlign w:val="top"/>
          </w:tcPr>
          <w:p>
            <w:pPr>
              <w:pStyle w:val="6"/>
              <w:spacing w:before="249" w:line="219" w:lineRule="auto"/>
              <w:ind w:left="614"/>
            </w:pPr>
            <w:r>
              <w:rPr>
                <w:spacing w:val="4"/>
              </w:rPr>
              <w:t>原件</w:t>
            </w:r>
          </w:p>
        </w:tc>
        <w:tc>
          <w:tcPr>
            <w:tcW w:w="719" w:type="dxa"/>
            <w:vAlign w:val="top"/>
          </w:tcPr>
          <w:p>
            <w:pPr>
              <w:pStyle w:val="6"/>
              <w:spacing w:before="269" w:line="238" w:lineRule="auto"/>
              <w:ind w:left="256"/>
            </w:pPr>
            <w:r>
              <w:t>√</w:t>
            </w:r>
          </w:p>
        </w:tc>
        <w:tc>
          <w:tcPr>
            <w:tcW w:w="699" w:type="dxa"/>
            <w:vAlign w:val="top"/>
          </w:tcPr>
          <w:p>
            <w:pPr>
              <w:rPr>
                <w:rFonts w:ascii="Arial"/>
                <w:sz w:val="21"/>
              </w:rPr>
            </w:pPr>
          </w:p>
        </w:tc>
        <w:tc>
          <w:tcPr>
            <w:tcW w:w="17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04" w:type="dxa"/>
            <w:vAlign w:val="top"/>
          </w:tcPr>
          <w:p>
            <w:pPr>
              <w:spacing w:line="245" w:lineRule="auto"/>
              <w:rPr>
                <w:rFonts w:ascii="Arial"/>
                <w:sz w:val="21"/>
              </w:rPr>
            </w:pPr>
          </w:p>
          <w:p>
            <w:pPr>
              <w:pStyle w:val="6"/>
              <w:spacing w:before="65" w:line="183" w:lineRule="auto"/>
              <w:ind w:left="395"/>
            </w:pPr>
            <w:r>
              <w:t>3</w:t>
            </w:r>
          </w:p>
        </w:tc>
        <w:tc>
          <w:tcPr>
            <w:tcW w:w="3506" w:type="dxa"/>
            <w:vAlign w:val="top"/>
          </w:tcPr>
          <w:p>
            <w:pPr>
              <w:pStyle w:val="6"/>
              <w:spacing w:before="109" w:line="253" w:lineRule="auto"/>
              <w:ind w:left="141" w:right="372" w:hanging="10"/>
            </w:pPr>
            <w:r>
              <w:rPr>
                <w:spacing w:val="-1"/>
              </w:rPr>
              <w:t>广东省新增医疗服务价格项目成本</w:t>
            </w:r>
            <w:r>
              <w:rPr>
                <w:spacing w:val="6"/>
              </w:rPr>
              <w:t xml:space="preserve"> </w:t>
            </w:r>
            <w:r>
              <w:rPr>
                <w:spacing w:val="-2"/>
              </w:rPr>
              <w:t>测算表</w:t>
            </w:r>
          </w:p>
        </w:tc>
        <w:tc>
          <w:tcPr>
            <w:tcW w:w="1649" w:type="dxa"/>
            <w:vAlign w:val="top"/>
          </w:tcPr>
          <w:p>
            <w:pPr>
              <w:pStyle w:val="6"/>
              <w:spacing w:before="260" w:line="219" w:lineRule="auto"/>
              <w:ind w:left="614"/>
            </w:pPr>
            <w:r>
              <w:rPr>
                <w:spacing w:val="4"/>
              </w:rPr>
              <w:t>原件</w:t>
            </w:r>
          </w:p>
        </w:tc>
        <w:tc>
          <w:tcPr>
            <w:tcW w:w="719" w:type="dxa"/>
            <w:vAlign w:val="top"/>
          </w:tcPr>
          <w:p>
            <w:pPr>
              <w:pStyle w:val="6"/>
              <w:spacing w:before="280" w:line="238" w:lineRule="auto"/>
              <w:ind w:left="256"/>
            </w:pPr>
            <w:r>
              <w:t>√</w:t>
            </w:r>
          </w:p>
        </w:tc>
        <w:tc>
          <w:tcPr>
            <w:tcW w:w="699" w:type="dxa"/>
            <w:vAlign w:val="top"/>
          </w:tcPr>
          <w:p>
            <w:pPr>
              <w:rPr>
                <w:rFonts w:ascii="Arial"/>
                <w:sz w:val="21"/>
              </w:rPr>
            </w:pPr>
          </w:p>
        </w:tc>
        <w:tc>
          <w:tcPr>
            <w:tcW w:w="17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904" w:type="dxa"/>
            <w:vAlign w:val="top"/>
          </w:tcPr>
          <w:p>
            <w:pPr>
              <w:spacing w:line="355" w:lineRule="auto"/>
              <w:rPr>
                <w:rFonts w:ascii="Arial"/>
                <w:sz w:val="21"/>
              </w:rPr>
            </w:pPr>
          </w:p>
          <w:p>
            <w:pPr>
              <w:pStyle w:val="6"/>
              <w:spacing w:before="65" w:line="183" w:lineRule="auto"/>
              <w:ind w:left="395"/>
            </w:pPr>
            <w:r>
              <w:t>4</w:t>
            </w:r>
          </w:p>
        </w:tc>
        <w:tc>
          <w:tcPr>
            <w:tcW w:w="3506" w:type="dxa"/>
            <w:vAlign w:val="top"/>
          </w:tcPr>
          <w:p>
            <w:pPr>
              <w:pStyle w:val="6"/>
              <w:spacing w:before="59" w:line="264" w:lineRule="auto"/>
              <w:ind w:left="141" w:right="237"/>
              <w:jc w:val="both"/>
            </w:pPr>
            <w:r>
              <w:rPr>
                <w:spacing w:val="1"/>
              </w:rPr>
              <w:t>卫生技术规范确认材料(其中属限制</w:t>
            </w:r>
            <w:r>
              <w:t xml:space="preserve"> </w:t>
            </w:r>
            <w:r>
              <w:rPr>
                <w:spacing w:val="2"/>
              </w:rPr>
              <w:t xml:space="preserve">类医疗技术的须提供卫生健康部门 </w:t>
            </w:r>
            <w:r>
              <w:rPr>
                <w:spacing w:val="5"/>
              </w:rPr>
              <w:t>同意备案的材料)</w:t>
            </w:r>
          </w:p>
        </w:tc>
        <w:tc>
          <w:tcPr>
            <w:tcW w:w="1649" w:type="dxa"/>
            <w:vAlign w:val="top"/>
          </w:tcPr>
          <w:p>
            <w:pPr>
              <w:spacing w:line="304" w:lineRule="auto"/>
              <w:rPr>
                <w:rFonts w:ascii="Arial"/>
                <w:sz w:val="21"/>
              </w:rPr>
            </w:pPr>
          </w:p>
          <w:p>
            <w:pPr>
              <w:pStyle w:val="6"/>
              <w:spacing w:before="65" w:line="219" w:lineRule="auto"/>
              <w:ind w:left="515"/>
            </w:pPr>
            <w:r>
              <w:rPr>
                <w:spacing w:val="2"/>
              </w:rPr>
              <w:t>复印件</w:t>
            </w:r>
          </w:p>
        </w:tc>
        <w:tc>
          <w:tcPr>
            <w:tcW w:w="719" w:type="dxa"/>
            <w:vAlign w:val="top"/>
          </w:tcPr>
          <w:p>
            <w:pPr>
              <w:rPr>
                <w:rFonts w:ascii="Arial"/>
                <w:sz w:val="21"/>
              </w:rPr>
            </w:pPr>
          </w:p>
        </w:tc>
        <w:tc>
          <w:tcPr>
            <w:tcW w:w="699" w:type="dxa"/>
            <w:vAlign w:val="top"/>
          </w:tcPr>
          <w:p>
            <w:pPr>
              <w:spacing w:line="324" w:lineRule="auto"/>
              <w:rPr>
                <w:rFonts w:ascii="Arial"/>
                <w:sz w:val="21"/>
              </w:rPr>
            </w:pPr>
          </w:p>
          <w:p>
            <w:pPr>
              <w:pStyle w:val="6"/>
              <w:spacing w:before="65" w:line="238" w:lineRule="auto"/>
              <w:ind w:left="246"/>
            </w:pPr>
            <w:r>
              <w:t>√</w:t>
            </w:r>
          </w:p>
        </w:tc>
        <w:tc>
          <w:tcPr>
            <w:tcW w:w="17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04" w:type="dxa"/>
            <w:vAlign w:val="top"/>
          </w:tcPr>
          <w:p>
            <w:pPr>
              <w:spacing w:line="248" w:lineRule="auto"/>
              <w:rPr>
                <w:rFonts w:ascii="Arial"/>
                <w:sz w:val="21"/>
              </w:rPr>
            </w:pPr>
          </w:p>
          <w:p>
            <w:pPr>
              <w:pStyle w:val="6"/>
              <w:spacing w:before="65" w:line="182" w:lineRule="auto"/>
              <w:ind w:left="395"/>
            </w:pPr>
            <w:r>
              <w:t>5</w:t>
            </w:r>
          </w:p>
        </w:tc>
        <w:tc>
          <w:tcPr>
            <w:tcW w:w="3506" w:type="dxa"/>
            <w:vAlign w:val="top"/>
          </w:tcPr>
          <w:p>
            <w:pPr>
              <w:pStyle w:val="6"/>
              <w:spacing w:before="260" w:line="219" w:lineRule="auto"/>
              <w:ind w:left="141"/>
            </w:pPr>
            <w:r>
              <w:t>医疗机构审核论证同意新增的材料</w:t>
            </w:r>
          </w:p>
        </w:tc>
        <w:tc>
          <w:tcPr>
            <w:tcW w:w="1649" w:type="dxa"/>
            <w:vAlign w:val="top"/>
          </w:tcPr>
          <w:p>
            <w:pPr>
              <w:pStyle w:val="6"/>
              <w:spacing w:before="262" w:line="219" w:lineRule="auto"/>
              <w:ind w:left="614"/>
            </w:pPr>
            <w:r>
              <w:rPr>
                <w:spacing w:val="4"/>
              </w:rPr>
              <w:t>原件</w:t>
            </w:r>
          </w:p>
        </w:tc>
        <w:tc>
          <w:tcPr>
            <w:tcW w:w="719" w:type="dxa"/>
            <w:vAlign w:val="top"/>
          </w:tcPr>
          <w:p>
            <w:pPr>
              <w:pStyle w:val="6"/>
              <w:spacing w:before="282" w:line="238" w:lineRule="auto"/>
              <w:ind w:left="256"/>
            </w:pPr>
            <w:r>
              <w:t>√</w:t>
            </w:r>
          </w:p>
        </w:tc>
        <w:tc>
          <w:tcPr>
            <w:tcW w:w="699" w:type="dxa"/>
            <w:vAlign w:val="top"/>
          </w:tcPr>
          <w:p>
            <w:pPr>
              <w:rPr>
                <w:rFonts w:ascii="Arial"/>
                <w:sz w:val="21"/>
              </w:rPr>
            </w:pPr>
          </w:p>
        </w:tc>
        <w:tc>
          <w:tcPr>
            <w:tcW w:w="17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04" w:type="dxa"/>
            <w:vAlign w:val="top"/>
          </w:tcPr>
          <w:p>
            <w:pPr>
              <w:pStyle w:val="6"/>
              <w:spacing w:before="304" w:line="183" w:lineRule="auto"/>
              <w:ind w:left="395"/>
            </w:pPr>
            <w:r>
              <w:t>6</w:t>
            </w:r>
          </w:p>
        </w:tc>
        <w:tc>
          <w:tcPr>
            <w:tcW w:w="3506" w:type="dxa"/>
            <w:vAlign w:val="top"/>
          </w:tcPr>
          <w:p>
            <w:pPr>
              <w:pStyle w:val="6"/>
              <w:spacing w:before="253" w:line="219" w:lineRule="auto"/>
              <w:ind w:left="141"/>
            </w:pPr>
            <w:r>
              <w:rPr>
                <w:spacing w:val="1"/>
              </w:rPr>
              <w:t>项目伦理审查结论</w:t>
            </w:r>
          </w:p>
        </w:tc>
        <w:tc>
          <w:tcPr>
            <w:tcW w:w="1649" w:type="dxa"/>
            <w:vAlign w:val="top"/>
          </w:tcPr>
          <w:p>
            <w:pPr>
              <w:pStyle w:val="6"/>
              <w:spacing w:before="253" w:line="219" w:lineRule="auto"/>
              <w:ind w:left="515"/>
            </w:pPr>
            <w:r>
              <w:rPr>
                <w:spacing w:val="2"/>
              </w:rPr>
              <w:t>复印件</w:t>
            </w:r>
          </w:p>
        </w:tc>
        <w:tc>
          <w:tcPr>
            <w:tcW w:w="719" w:type="dxa"/>
            <w:vAlign w:val="top"/>
          </w:tcPr>
          <w:p>
            <w:pPr>
              <w:rPr>
                <w:rFonts w:ascii="Arial"/>
                <w:sz w:val="21"/>
              </w:rPr>
            </w:pPr>
          </w:p>
        </w:tc>
        <w:tc>
          <w:tcPr>
            <w:tcW w:w="699" w:type="dxa"/>
            <w:vAlign w:val="top"/>
          </w:tcPr>
          <w:p>
            <w:pPr>
              <w:pStyle w:val="6"/>
              <w:spacing w:before="273" w:line="238" w:lineRule="auto"/>
              <w:ind w:left="246"/>
            </w:pPr>
            <w:r>
              <w:t>√</w:t>
            </w:r>
          </w:p>
        </w:tc>
        <w:tc>
          <w:tcPr>
            <w:tcW w:w="17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04" w:type="dxa"/>
            <w:vAlign w:val="top"/>
          </w:tcPr>
          <w:p>
            <w:pPr>
              <w:rPr>
                <w:rFonts w:ascii="Arial"/>
                <w:sz w:val="21"/>
              </w:rPr>
            </w:pPr>
          </w:p>
          <w:p>
            <w:pPr>
              <w:pStyle w:val="6"/>
              <w:spacing w:before="65" w:line="182" w:lineRule="auto"/>
              <w:ind w:left="395"/>
            </w:pPr>
            <w:r>
              <w:t>7</w:t>
            </w:r>
          </w:p>
        </w:tc>
        <w:tc>
          <w:tcPr>
            <w:tcW w:w="3506" w:type="dxa"/>
            <w:vAlign w:val="top"/>
          </w:tcPr>
          <w:p>
            <w:pPr>
              <w:pStyle w:val="6"/>
              <w:spacing w:before="252" w:line="218" w:lineRule="auto"/>
              <w:ind w:left="141"/>
            </w:pPr>
            <w:r>
              <w:rPr>
                <w:spacing w:val="1"/>
              </w:rPr>
              <w:t>新增项目价值评估报告</w:t>
            </w:r>
          </w:p>
        </w:tc>
        <w:tc>
          <w:tcPr>
            <w:tcW w:w="1649" w:type="dxa"/>
            <w:vAlign w:val="top"/>
          </w:tcPr>
          <w:p>
            <w:pPr>
              <w:pStyle w:val="6"/>
              <w:spacing w:before="104" w:line="252" w:lineRule="auto"/>
              <w:ind w:left="315" w:right="213" w:hanging="100"/>
            </w:pPr>
            <w:r>
              <w:rPr>
                <w:spacing w:val="1"/>
              </w:rPr>
              <w:t>详见名词解释</w:t>
            </w:r>
            <w:r>
              <w:rPr>
                <w:spacing w:val="3"/>
              </w:rPr>
              <w:t xml:space="preserve"> </w:t>
            </w:r>
            <w:r>
              <w:rPr>
                <w:spacing w:val="-2"/>
              </w:rPr>
              <w:t>及材料要求</w:t>
            </w:r>
          </w:p>
        </w:tc>
        <w:tc>
          <w:tcPr>
            <w:tcW w:w="719" w:type="dxa"/>
            <w:vAlign w:val="top"/>
          </w:tcPr>
          <w:p>
            <w:pPr>
              <w:pStyle w:val="6"/>
              <w:spacing w:before="274" w:line="238" w:lineRule="auto"/>
              <w:ind w:left="256"/>
            </w:pPr>
            <w:r>
              <w:t>√</w:t>
            </w:r>
          </w:p>
        </w:tc>
        <w:tc>
          <w:tcPr>
            <w:tcW w:w="699" w:type="dxa"/>
            <w:vAlign w:val="top"/>
          </w:tcPr>
          <w:p>
            <w:pPr>
              <w:rPr>
                <w:rFonts w:ascii="Arial"/>
                <w:sz w:val="21"/>
              </w:rPr>
            </w:pPr>
          </w:p>
        </w:tc>
        <w:tc>
          <w:tcPr>
            <w:tcW w:w="17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04" w:type="dxa"/>
            <w:vAlign w:val="top"/>
          </w:tcPr>
          <w:p>
            <w:pPr>
              <w:rPr>
                <w:rFonts w:ascii="Arial"/>
                <w:sz w:val="21"/>
              </w:rPr>
            </w:pPr>
          </w:p>
          <w:p>
            <w:pPr>
              <w:pStyle w:val="6"/>
              <w:spacing w:before="65" w:line="183" w:lineRule="auto"/>
              <w:ind w:left="395"/>
            </w:pPr>
            <w:r>
              <w:t>8</w:t>
            </w:r>
          </w:p>
        </w:tc>
        <w:tc>
          <w:tcPr>
            <w:tcW w:w="3506" w:type="dxa"/>
            <w:vAlign w:val="top"/>
          </w:tcPr>
          <w:p>
            <w:pPr>
              <w:pStyle w:val="6"/>
              <w:spacing w:before="255" w:line="220" w:lineRule="auto"/>
              <w:ind w:left="141"/>
            </w:pPr>
            <w:r>
              <w:rPr>
                <w:spacing w:val="-1"/>
              </w:rPr>
              <w:t>大型医用设备配置许可证</w:t>
            </w:r>
          </w:p>
        </w:tc>
        <w:tc>
          <w:tcPr>
            <w:tcW w:w="1649" w:type="dxa"/>
            <w:vAlign w:val="top"/>
          </w:tcPr>
          <w:p>
            <w:pPr>
              <w:pStyle w:val="6"/>
              <w:spacing w:before="255" w:line="219" w:lineRule="auto"/>
              <w:ind w:left="515"/>
            </w:pPr>
            <w:r>
              <w:rPr>
                <w:spacing w:val="2"/>
              </w:rPr>
              <w:t>复印件</w:t>
            </w:r>
          </w:p>
        </w:tc>
        <w:tc>
          <w:tcPr>
            <w:tcW w:w="719" w:type="dxa"/>
            <w:vAlign w:val="top"/>
          </w:tcPr>
          <w:p>
            <w:pPr>
              <w:rPr>
                <w:rFonts w:ascii="Arial"/>
                <w:sz w:val="21"/>
              </w:rPr>
            </w:pPr>
          </w:p>
        </w:tc>
        <w:tc>
          <w:tcPr>
            <w:tcW w:w="699" w:type="dxa"/>
            <w:vAlign w:val="top"/>
          </w:tcPr>
          <w:p>
            <w:pPr>
              <w:pStyle w:val="6"/>
              <w:spacing w:before="275" w:line="238" w:lineRule="auto"/>
              <w:ind w:left="246"/>
            </w:pPr>
            <w:r>
              <w:t>√</w:t>
            </w:r>
          </w:p>
        </w:tc>
        <w:tc>
          <w:tcPr>
            <w:tcW w:w="17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904" w:type="dxa"/>
            <w:vAlign w:val="top"/>
          </w:tcPr>
          <w:p>
            <w:pPr>
              <w:spacing w:line="241" w:lineRule="auto"/>
              <w:rPr>
                <w:rFonts w:ascii="Arial"/>
                <w:sz w:val="21"/>
              </w:rPr>
            </w:pPr>
          </w:p>
          <w:p>
            <w:pPr>
              <w:pStyle w:val="6"/>
              <w:spacing w:before="65" w:line="183" w:lineRule="auto"/>
              <w:ind w:left="395"/>
            </w:pPr>
            <w:r>
              <w:t>9</w:t>
            </w:r>
          </w:p>
        </w:tc>
        <w:tc>
          <w:tcPr>
            <w:tcW w:w="3506" w:type="dxa"/>
            <w:vAlign w:val="top"/>
          </w:tcPr>
          <w:p>
            <w:pPr>
              <w:pStyle w:val="6"/>
              <w:spacing w:before="255" w:line="219" w:lineRule="auto"/>
              <w:ind w:left="141"/>
            </w:pPr>
            <w:r>
              <w:rPr>
                <w:spacing w:val="1"/>
              </w:rPr>
              <w:t>医用耗材的详细信息</w:t>
            </w:r>
          </w:p>
        </w:tc>
        <w:tc>
          <w:tcPr>
            <w:tcW w:w="1649" w:type="dxa"/>
            <w:vAlign w:val="top"/>
          </w:tcPr>
          <w:p>
            <w:pPr>
              <w:pStyle w:val="6"/>
              <w:spacing w:before="115" w:line="257" w:lineRule="auto"/>
              <w:ind w:left="315" w:right="213" w:hanging="100"/>
            </w:pPr>
            <w:r>
              <w:rPr>
                <w:spacing w:val="1"/>
              </w:rPr>
              <w:t>详见名词解释</w:t>
            </w:r>
            <w:r>
              <w:rPr>
                <w:spacing w:val="3"/>
              </w:rPr>
              <w:t xml:space="preserve"> </w:t>
            </w:r>
            <w:r>
              <w:rPr>
                <w:spacing w:val="-2"/>
              </w:rPr>
              <w:t>及材料要求</w:t>
            </w:r>
          </w:p>
        </w:tc>
        <w:tc>
          <w:tcPr>
            <w:tcW w:w="719" w:type="dxa"/>
            <w:vAlign w:val="top"/>
          </w:tcPr>
          <w:p>
            <w:pPr>
              <w:rPr>
                <w:rFonts w:ascii="Arial"/>
                <w:sz w:val="21"/>
              </w:rPr>
            </w:pPr>
          </w:p>
        </w:tc>
        <w:tc>
          <w:tcPr>
            <w:tcW w:w="699" w:type="dxa"/>
            <w:vAlign w:val="top"/>
          </w:tcPr>
          <w:p>
            <w:pPr>
              <w:pStyle w:val="6"/>
              <w:spacing w:before="276" w:line="238" w:lineRule="auto"/>
              <w:ind w:left="246"/>
            </w:pPr>
            <w:r>
              <w:t>√</w:t>
            </w:r>
          </w:p>
        </w:tc>
        <w:tc>
          <w:tcPr>
            <w:tcW w:w="17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904" w:type="dxa"/>
            <w:vAlign w:val="top"/>
          </w:tcPr>
          <w:p>
            <w:pPr>
              <w:spacing w:line="254" w:lineRule="auto"/>
              <w:rPr>
                <w:rFonts w:ascii="Arial"/>
                <w:sz w:val="21"/>
              </w:rPr>
            </w:pPr>
          </w:p>
          <w:p>
            <w:pPr>
              <w:spacing w:line="254" w:lineRule="auto"/>
              <w:rPr>
                <w:rFonts w:ascii="Arial"/>
                <w:sz w:val="21"/>
              </w:rPr>
            </w:pPr>
          </w:p>
          <w:p>
            <w:pPr>
              <w:pStyle w:val="6"/>
              <w:spacing w:before="65" w:line="184" w:lineRule="auto"/>
              <w:ind w:left="344"/>
            </w:pPr>
            <w:r>
              <w:rPr>
                <w:spacing w:val="-6"/>
              </w:rPr>
              <w:t>10</w:t>
            </w:r>
          </w:p>
        </w:tc>
        <w:tc>
          <w:tcPr>
            <w:tcW w:w="3506" w:type="dxa"/>
            <w:vAlign w:val="top"/>
          </w:tcPr>
          <w:p>
            <w:pPr>
              <w:spacing w:line="319" w:lineRule="auto"/>
              <w:rPr>
                <w:rFonts w:ascii="Arial"/>
                <w:sz w:val="21"/>
              </w:rPr>
            </w:pPr>
          </w:p>
          <w:p>
            <w:pPr>
              <w:pStyle w:val="6"/>
              <w:spacing w:before="65" w:line="256" w:lineRule="auto"/>
              <w:ind w:left="141" w:right="242"/>
            </w:pPr>
            <w:r>
              <w:t>需医疗机构作出的特别说明(仅对项</w:t>
            </w:r>
            <w:r>
              <w:rPr>
                <w:spacing w:val="11"/>
              </w:rPr>
              <w:t xml:space="preserve"> </w:t>
            </w:r>
            <w:r>
              <w:rPr>
                <w:spacing w:val="3"/>
              </w:rPr>
              <w:t>目预期价格较高的情形)</w:t>
            </w:r>
          </w:p>
        </w:tc>
        <w:tc>
          <w:tcPr>
            <w:tcW w:w="1649" w:type="dxa"/>
            <w:vAlign w:val="top"/>
          </w:tcPr>
          <w:p>
            <w:pPr>
              <w:spacing w:line="318" w:lineRule="auto"/>
              <w:rPr>
                <w:rFonts w:ascii="Arial"/>
                <w:sz w:val="21"/>
              </w:rPr>
            </w:pPr>
          </w:p>
          <w:p>
            <w:pPr>
              <w:pStyle w:val="6"/>
              <w:spacing w:before="65" w:line="248" w:lineRule="auto"/>
              <w:ind w:left="414" w:right="213" w:hanging="199"/>
            </w:pPr>
            <w:r>
              <w:rPr>
                <w:spacing w:val="1"/>
              </w:rPr>
              <w:t>详见名词解释</w:t>
            </w:r>
            <w:r>
              <w:rPr>
                <w:spacing w:val="3"/>
              </w:rPr>
              <w:t xml:space="preserve"> </w:t>
            </w:r>
            <w:r>
              <w:rPr>
                <w:spacing w:val="-2"/>
              </w:rPr>
              <w:t>提供原件</w:t>
            </w:r>
          </w:p>
        </w:tc>
        <w:tc>
          <w:tcPr>
            <w:tcW w:w="719" w:type="dxa"/>
            <w:vAlign w:val="top"/>
          </w:tcPr>
          <w:p>
            <w:pPr>
              <w:rPr>
                <w:rFonts w:ascii="Arial"/>
                <w:sz w:val="21"/>
              </w:rPr>
            </w:pPr>
          </w:p>
        </w:tc>
        <w:tc>
          <w:tcPr>
            <w:tcW w:w="699" w:type="dxa"/>
            <w:vAlign w:val="top"/>
          </w:tcPr>
          <w:p>
            <w:pPr>
              <w:spacing w:line="478" w:lineRule="auto"/>
              <w:rPr>
                <w:rFonts w:ascii="Arial"/>
                <w:sz w:val="21"/>
              </w:rPr>
            </w:pPr>
          </w:p>
          <w:p>
            <w:pPr>
              <w:pStyle w:val="6"/>
              <w:spacing w:before="65" w:line="238" w:lineRule="auto"/>
              <w:ind w:left="246"/>
            </w:pPr>
            <w:r>
              <w:t>√</w:t>
            </w:r>
          </w:p>
        </w:tc>
        <w:tc>
          <w:tcPr>
            <w:tcW w:w="17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904" w:type="dxa"/>
            <w:vAlign w:val="top"/>
          </w:tcPr>
          <w:p>
            <w:pPr>
              <w:spacing w:line="254" w:lineRule="auto"/>
              <w:rPr>
                <w:rFonts w:ascii="Arial"/>
                <w:sz w:val="21"/>
              </w:rPr>
            </w:pPr>
          </w:p>
          <w:p>
            <w:pPr>
              <w:spacing w:line="255" w:lineRule="auto"/>
              <w:rPr>
                <w:rFonts w:ascii="Arial"/>
                <w:sz w:val="21"/>
              </w:rPr>
            </w:pPr>
          </w:p>
          <w:p>
            <w:pPr>
              <w:pStyle w:val="6"/>
              <w:spacing w:before="65" w:line="184" w:lineRule="auto"/>
              <w:ind w:left="344"/>
            </w:pPr>
            <w:r>
              <w:rPr>
                <w:spacing w:val="-6"/>
              </w:rPr>
              <w:t>11</w:t>
            </w:r>
          </w:p>
        </w:tc>
        <w:tc>
          <w:tcPr>
            <w:tcW w:w="3506" w:type="dxa"/>
            <w:vAlign w:val="top"/>
          </w:tcPr>
          <w:p>
            <w:pPr>
              <w:spacing w:line="310" w:lineRule="auto"/>
              <w:rPr>
                <w:rFonts w:ascii="Arial"/>
                <w:sz w:val="21"/>
              </w:rPr>
            </w:pPr>
          </w:p>
          <w:p>
            <w:pPr>
              <w:pStyle w:val="6"/>
              <w:spacing w:before="65" w:line="261" w:lineRule="auto"/>
              <w:ind w:left="141" w:right="245"/>
            </w:pPr>
            <w:r>
              <w:t>需生产企业出具的特别说明(仅对设</w:t>
            </w:r>
            <w:r>
              <w:rPr>
                <w:spacing w:val="8"/>
              </w:rPr>
              <w:t xml:space="preserve"> </w:t>
            </w:r>
            <w:r>
              <w:rPr>
                <w:spacing w:val="3"/>
              </w:rPr>
              <w:t>备耗材费用占比较高的情形)</w:t>
            </w:r>
          </w:p>
        </w:tc>
        <w:tc>
          <w:tcPr>
            <w:tcW w:w="1649" w:type="dxa"/>
            <w:vAlign w:val="top"/>
          </w:tcPr>
          <w:p>
            <w:pPr>
              <w:spacing w:line="310" w:lineRule="auto"/>
              <w:rPr>
                <w:rFonts w:ascii="Arial"/>
                <w:sz w:val="21"/>
              </w:rPr>
            </w:pPr>
          </w:p>
          <w:p>
            <w:pPr>
              <w:pStyle w:val="6"/>
              <w:spacing w:before="65" w:line="238" w:lineRule="auto"/>
              <w:ind w:left="414" w:right="213" w:hanging="199"/>
            </w:pPr>
            <w:r>
              <w:rPr>
                <w:spacing w:val="1"/>
              </w:rPr>
              <w:t>详见名词解释</w:t>
            </w:r>
            <w:r>
              <w:rPr>
                <w:spacing w:val="3"/>
              </w:rPr>
              <w:t xml:space="preserve"> </w:t>
            </w:r>
            <w:r>
              <w:rPr>
                <w:spacing w:val="-2"/>
              </w:rPr>
              <w:t>提供原件</w:t>
            </w:r>
          </w:p>
        </w:tc>
        <w:tc>
          <w:tcPr>
            <w:tcW w:w="719" w:type="dxa"/>
            <w:vAlign w:val="top"/>
          </w:tcPr>
          <w:p>
            <w:pPr>
              <w:rPr>
                <w:rFonts w:ascii="Arial"/>
                <w:sz w:val="21"/>
              </w:rPr>
            </w:pPr>
          </w:p>
        </w:tc>
        <w:tc>
          <w:tcPr>
            <w:tcW w:w="699" w:type="dxa"/>
            <w:vAlign w:val="top"/>
          </w:tcPr>
          <w:p>
            <w:pPr>
              <w:spacing w:line="479" w:lineRule="auto"/>
              <w:rPr>
                <w:rFonts w:ascii="Arial"/>
                <w:sz w:val="21"/>
              </w:rPr>
            </w:pPr>
          </w:p>
          <w:p>
            <w:pPr>
              <w:pStyle w:val="6"/>
              <w:spacing w:before="65" w:line="238" w:lineRule="auto"/>
              <w:ind w:left="246"/>
            </w:pPr>
            <w:r>
              <w:t>√</w:t>
            </w:r>
          </w:p>
        </w:tc>
        <w:tc>
          <w:tcPr>
            <w:tcW w:w="17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904" w:type="dxa"/>
            <w:vAlign w:val="top"/>
          </w:tcPr>
          <w:p>
            <w:pPr>
              <w:spacing w:line="242" w:lineRule="auto"/>
              <w:rPr>
                <w:rFonts w:ascii="Arial"/>
                <w:sz w:val="21"/>
              </w:rPr>
            </w:pPr>
          </w:p>
          <w:p>
            <w:pPr>
              <w:pStyle w:val="6"/>
              <w:spacing w:before="65" w:line="184" w:lineRule="auto"/>
              <w:ind w:left="344"/>
            </w:pPr>
            <w:r>
              <w:rPr>
                <w:spacing w:val="-6"/>
              </w:rPr>
              <w:t>12</w:t>
            </w:r>
          </w:p>
        </w:tc>
        <w:tc>
          <w:tcPr>
            <w:tcW w:w="3506" w:type="dxa"/>
            <w:vAlign w:val="top"/>
          </w:tcPr>
          <w:p>
            <w:pPr>
              <w:pStyle w:val="6"/>
              <w:spacing w:before="256" w:line="219" w:lineRule="auto"/>
              <w:ind w:left="141"/>
            </w:pPr>
            <w:r>
              <w:rPr>
                <w:spacing w:val="-2"/>
              </w:rPr>
              <w:t>相关佐证材料</w:t>
            </w:r>
          </w:p>
        </w:tc>
        <w:tc>
          <w:tcPr>
            <w:tcW w:w="1649" w:type="dxa"/>
            <w:vAlign w:val="top"/>
          </w:tcPr>
          <w:p>
            <w:pPr>
              <w:pStyle w:val="6"/>
              <w:spacing w:before="118" w:line="252" w:lineRule="auto"/>
              <w:ind w:left="315" w:right="213" w:hanging="100"/>
            </w:pPr>
            <w:r>
              <w:rPr>
                <w:spacing w:val="1"/>
              </w:rPr>
              <w:t>详见名词解释</w:t>
            </w:r>
            <w:r>
              <w:rPr>
                <w:spacing w:val="3"/>
              </w:rPr>
              <w:t xml:space="preserve"> </w:t>
            </w:r>
            <w:r>
              <w:rPr>
                <w:spacing w:val="-2"/>
              </w:rPr>
              <w:t>及材料要求</w:t>
            </w:r>
          </w:p>
        </w:tc>
        <w:tc>
          <w:tcPr>
            <w:tcW w:w="719" w:type="dxa"/>
            <w:vAlign w:val="top"/>
          </w:tcPr>
          <w:p>
            <w:pPr>
              <w:rPr>
                <w:rFonts w:ascii="Arial"/>
                <w:sz w:val="21"/>
              </w:rPr>
            </w:pPr>
          </w:p>
        </w:tc>
        <w:tc>
          <w:tcPr>
            <w:tcW w:w="699" w:type="dxa"/>
            <w:vAlign w:val="top"/>
          </w:tcPr>
          <w:p>
            <w:pPr>
              <w:pStyle w:val="6"/>
              <w:spacing w:before="278" w:line="238" w:lineRule="auto"/>
              <w:ind w:left="246"/>
            </w:pPr>
            <w:r>
              <w:t>√</w:t>
            </w:r>
          </w:p>
        </w:tc>
        <w:tc>
          <w:tcPr>
            <w:tcW w:w="1793" w:type="dxa"/>
            <w:vAlign w:val="top"/>
          </w:tcPr>
          <w:p>
            <w:pPr>
              <w:rPr>
                <w:rFonts w:ascii="Arial"/>
                <w:sz w:val="21"/>
              </w:rPr>
            </w:pPr>
          </w:p>
        </w:tc>
      </w:tr>
    </w:tbl>
    <w:p>
      <w:pPr>
        <w:pStyle w:val="2"/>
      </w:pPr>
    </w:p>
    <w:p>
      <w:pPr>
        <w:sectPr>
          <w:footerReference r:id="rId17" w:type="default"/>
          <w:pgSz w:w="11840" w:h="16750"/>
          <w:pgMar w:top="1423" w:right="1275" w:bottom="1078" w:left="1284" w:header="0" w:footer="939" w:gutter="0"/>
          <w:cols w:space="720" w:num="1"/>
        </w:sectPr>
      </w:pPr>
    </w:p>
    <w:p>
      <w:pPr>
        <w:spacing w:before="79" w:line="218" w:lineRule="auto"/>
        <w:ind w:left="1720"/>
        <w:rPr>
          <w:rFonts w:ascii="宋体" w:hAnsi="宋体" w:eastAsia="宋体" w:cs="宋体"/>
          <w:sz w:val="40"/>
          <w:szCs w:val="40"/>
        </w:rPr>
      </w:pPr>
      <w:r>
        <w:rPr>
          <w:rFonts w:ascii="宋体" w:hAnsi="宋体" w:eastAsia="宋体" w:cs="宋体"/>
          <w:b/>
          <w:bCs/>
          <w:spacing w:val="-6"/>
          <w:sz w:val="40"/>
          <w:szCs w:val="40"/>
        </w:rPr>
        <w:t>广东省新增医疗服务价格项目表</w:t>
      </w:r>
    </w:p>
    <w:p>
      <w:pPr>
        <w:spacing w:before="126"/>
      </w:pPr>
    </w:p>
    <w:p>
      <w:pPr>
        <w:sectPr>
          <w:footerReference r:id="rId18" w:type="default"/>
          <w:pgSz w:w="11850" w:h="16730"/>
          <w:pgMar w:top="1257" w:right="1585" w:bottom="1055" w:left="1414" w:header="0" w:footer="906" w:gutter="0"/>
          <w:cols w:equalWidth="0" w:num="1">
            <w:col w:w="8850"/>
          </w:cols>
        </w:sectPr>
      </w:pPr>
    </w:p>
    <w:p>
      <w:pPr>
        <w:spacing w:before="59" w:line="192" w:lineRule="auto"/>
        <w:ind w:left="114"/>
        <w:rPr>
          <w:rFonts w:ascii="楷体" w:hAnsi="楷体" w:eastAsia="楷体" w:cs="楷体"/>
          <w:sz w:val="23"/>
          <w:szCs w:val="23"/>
        </w:rPr>
      </w:pPr>
      <w:r>
        <w:rPr>
          <w:rFonts w:ascii="楷体" w:hAnsi="楷体" w:eastAsia="楷体" w:cs="楷体"/>
          <w:spacing w:val="-8"/>
          <w:sz w:val="23"/>
          <w:szCs w:val="23"/>
        </w:rPr>
        <w:t>提交单位：</w:t>
      </w:r>
    </w:p>
    <w:p>
      <w:pPr>
        <w:pStyle w:val="2"/>
        <w:spacing w:line="14" w:lineRule="auto"/>
        <w:rPr>
          <w:sz w:val="2"/>
        </w:rPr>
      </w:pPr>
      <w:r>
        <w:rPr>
          <w:sz w:val="2"/>
          <w:szCs w:val="2"/>
        </w:rPr>
        <w:br w:type="column"/>
      </w:r>
    </w:p>
    <w:p>
      <w:pPr>
        <w:spacing w:before="46" w:line="201" w:lineRule="auto"/>
        <w:rPr>
          <w:rFonts w:ascii="楷体" w:hAnsi="楷体" w:eastAsia="楷体" w:cs="楷体"/>
          <w:sz w:val="23"/>
          <w:szCs w:val="23"/>
        </w:rPr>
      </w:pPr>
      <w:r>
        <w:rPr>
          <w:rFonts w:ascii="楷体" w:hAnsi="楷体" w:eastAsia="楷体" w:cs="楷体"/>
          <w:spacing w:val="-4"/>
          <w:sz w:val="23"/>
          <w:szCs w:val="23"/>
        </w:rPr>
        <w:t>提交日期：</w:t>
      </w:r>
    </w:p>
    <w:p>
      <w:pPr>
        <w:spacing w:line="201" w:lineRule="auto"/>
        <w:rPr>
          <w:rFonts w:ascii="楷体" w:hAnsi="楷体" w:eastAsia="楷体" w:cs="楷体"/>
          <w:sz w:val="23"/>
          <w:szCs w:val="23"/>
        </w:rPr>
        <w:sectPr>
          <w:type w:val="continuous"/>
          <w:pgSz w:w="11850" w:h="16730"/>
          <w:pgMar w:top="1257" w:right="1585" w:bottom="1055" w:left="1414" w:header="0" w:footer="906" w:gutter="0"/>
          <w:cols w:equalWidth="0" w:num="2">
            <w:col w:w="7125" w:space="100"/>
            <w:col w:w="1626"/>
          </w:cols>
        </w:sectPr>
      </w:pPr>
    </w:p>
    <w:p>
      <w:pPr>
        <w:spacing w:before="27"/>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3"/>
        <w:gridCol w:w="2846"/>
        <w:gridCol w:w="1808"/>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803" w:type="dxa"/>
            <w:vAlign w:val="top"/>
          </w:tcPr>
          <w:p>
            <w:pPr>
              <w:pStyle w:val="6"/>
              <w:spacing w:before="233" w:line="219" w:lineRule="auto"/>
              <w:ind w:left="495"/>
            </w:pPr>
            <w:r>
              <w:rPr>
                <w:spacing w:val="4"/>
              </w:rPr>
              <w:t>项目类别</w:t>
            </w:r>
          </w:p>
        </w:tc>
        <w:tc>
          <w:tcPr>
            <w:tcW w:w="2846" w:type="dxa"/>
            <w:tcBorders>
              <w:right w:val="nil"/>
            </w:tcBorders>
            <w:vAlign w:val="top"/>
          </w:tcPr>
          <w:p>
            <w:pPr>
              <w:pStyle w:val="6"/>
              <w:spacing w:before="83" w:line="219" w:lineRule="auto"/>
              <w:ind w:left="461"/>
            </w:pPr>
            <w:r>
              <w:rPr>
                <w:spacing w:val="1"/>
              </w:rPr>
              <w:t>□综合医疗服务类</w:t>
            </w:r>
          </w:p>
          <w:p>
            <w:pPr>
              <w:pStyle w:val="6"/>
              <w:spacing w:before="82" w:line="219" w:lineRule="auto"/>
              <w:ind w:left="452"/>
            </w:pPr>
            <w:r>
              <w:rPr>
                <w:spacing w:val="1"/>
              </w:rPr>
              <w:t>□临床诊疗类</w:t>
            </w:r>
          </w:p>
        </w:tc>
        <w:tc>
          <w:tcPr>
            <w:tcW w:w="4190" w:type="dxa"/>
            <w:gridSpan w:val="2"/>
            <w:tcBorders>
              <w:left w:val="nil"/>
            </w:tcBorders>
            <w:vAlign w:val="top"/>
          </w:tcPr>
          <w:p>
            <w:pPr>
              <w:pStyle w:val="6"/>
              <w:spacing w:before="83" w:line="219" w:lineRule="auto"/>
              <w:ind w:left="70"/>
            </w:pPr>
            <w:r>
              <w:rPr>
                <w:spacing w:val="1"/>
              </w:rPr>
              <w:t>□医技诊疗类</w:t>
            </w:r>
          </w:p>
          <w:p>
            <w:pPr>
              <w:pStyle w:val="6"/>
              <w:spacing w:before="82" w:line="219" w:lineRule="auto"/>
              <w:ind w:left="141"/>
            </w:pPr>
            <w:r>
              <w:t>□中医及民族医诊疗类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803" w:type="dxa"/>
            <w:vAlign w:val="top"/>
          </w:tcPr>
          <w:p>
            <w:pPr>
              <w:pStyle w:val="6"/>
              <w:spacing w:before="229" w:line="219" w:lineRule="auto"/>
              <w:ind w:left="495"/>
            </w:pPr>
            <w:r>
              <w:rPr>
                <w:spacing w:val="2"/>
              </w:rPr>
              <w:t>项目编码</w:t>
            </w:r>
          </w:p>
        </w:tc>
        <w:tc>
          <w:tcPr>
            <w:tcW w:w="2846" w:type="dxa"/>
            <w:vAlign w:val="top"/>
          </w:tcPr>
          <w:p>
            <w:pPr>
              <w:rPr>
                <w:rFonts w:ascii="Arial"/>
                <w:sz w:val="21"/>
              </w:rPr>
            </w:pPr>
          </w:p>
        </w:tc>
        <w:tc>
          <w:tcPr>
            <w:tcW w:w="1808" w:type="dxa"/>
            <w:vAlign w:val="top"/>
          </w:tcPr>
          <w:p>
            <w:pPr>
              <w:pStyle w:val="6"/>
              <w:spacing w:before="229" w:line="220" w:lineRule="auto"/>
              <w:ind w:left="496"/>
            </w:pPr>
            <w:r>
              <w:rPr>
                <w:spacing w:val="2"/>
              </w:rPr>
              <w:t>项目名称</w:t>
            </w:r>
          </w:p>
        </w:tc>
        <w:tc>
          <w:tcPr>
            <w:tcW w:w="23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1803" w:type="dxa"/>
            <w:vAlign w:val="top"/>
          </w:tcPr>
          <w:p>
            <w:pPr>
              <w:spacing w:line="353" w:lineRule="auto"/>
              <w:rPr>
                <w:rFonts w:ascii="Arial"/>
                <w:sz w:val="21"/>
              </w:rPr>
            </w:pPr>
          </w:p>
          <w:p>
            <w:pPr>
              <w:pStyle w:val="6"/>
              <w:spacing w:before="65" w:line="219" w:lineRule="auto"/>
              <w:ind w:left="495"/>
            </w:pPr>
            <w:r>
              <w:rPr>
                <w:spacing w:val="3"/>
              </w:rPr>
              <w:t>项目内涵</w:t>
            </w:r>
          </w:p>
        </w:tc>
        <w:tc>
          <w:tcPr>
            <w:tcW w:w="7036"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803" w:type="dxa"/>
            <w:vAlign w:val="top"/>
          </w:tcPr>
          <w:p>
            <w:pPr>
              <w:pStyle w:val="6"/>
              <w:spacing w:before="231" w:line="219" w:lineRule="auto"/>
              <w:ind w:left="495"/>
            </w:pPr>
            <w:r>
              <w:rPr>
                <w:spacing w:val="2"/>
              </w:rPr>
              <w:t>除外内容</w:t>
            </w:r>
          </w:p>
        </w:tc>
        <w:tc>
          <w:tcPr>
            <w:tcW w:w="7036" w:type="dxa"/>
            <w:gridSpan w:val="3"/>
            <w:vAlign w:val="top"/>
          </w:tcPr>
          <w:p>
            <w:pPr>
              <w:pStyle w:val="6"/>
              <w:spacing w:before="229" w:line="219" w:lineRule="auto"/>
              <w:ind w:left="511"/>
            </w:pPr>
            <w:r>
              <w:rPr>
                <w:spacing w:val="1"/>
              </w:rPr>
              <w:t>(可除外收费的耗材需填报国家医保耗材编码，没有编码的暂不受理)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803" w:type="dxa"/>
            <w:vAlign w:val="top"/>
          </w:tcPr>
          <w:p>
            <w:pPr>
              <w:spacing w:line="283" w:lineRule="auto"/>
              <w:rPr>
                <w:rFonts w:ascii="Arial"/>
                <w:sz w:val="21"/>
              </w:rPr>
            </w:pPr>
          </w:p>
          <w:p>
            <w:pPr>
              <w:pStyle w:val="6"/>
              <w:spacing w:before="65" w:line="218" w:lineRule="auto"/>
              <w:ind w:left="495"/>
            </w:pPr>
            <w:r>
              <w:rPr>
                <w:spacing w:val="5"/>
              </w:rPr>
              <w:t>计价说明</w:t>
            </w:r>
          </w:p>
        </w:tc>
        <w:tc>
          <w:tcPr>
            <w:tcW w:w="2846" w:type="dxa"/>
            <w:vAlign w:val="top"/>
          </w:tcPr>
          <w:p>
            <w:pPr>
              <w:rPr>
                <w:rFonts w:ascii="Arial"/>
                <w:sz w:val="21"/>
              </w:rPr>
            </w:pPr>
          </w:p>
        </w:tc>
        <w:tc>
          <w:tcPr>
            <w:tcW w:w="1808" w:type="dxa"/>
            <w:vAlign w:val="top"/>
          </w:tcPr>
          <w:p>
            <w:pPr>
              <w:spacing w:line="283" w:lineRule="auto"/>
              <w:rPr>
                <w:rFonts w:ascii="Arial"/>
                <w:sz w:val="21"/>
              </w:rPr>
            </w:pPr>
          </w:p>
          <w:p>
            <w:pPr>
              <w:pStyle w:val="6"/>
              <w:spacing w:before="65" w:line="218" w:lineRule="auto"/>
              <w:ind w:left="496"/>
            </w:pPr>
            <w:r>
              <w:rPr>
                <w:spacing w:val="-2"/>
              </w:rPr>
              <w:t>计价单位</w:t>
            </w:r>
          </w:p>
        </w:tc>
        <w:tc>
          <w:tcPr>
            <w:tcW w:w="23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803" w:type="dxa"/>
            <w:vAlign w:val="top"/>
          </w:tcPr>
          <w:p>
            <w:pPr>
              <w:spacing w:line="306" w:lineRule="auto"/>
              <w:rPr>
                <w:rFonts w:ascii="Arial"/>
                <w:sz w:val="21"/>
              </w:rPr>
            </w:pPr>
          </w:p>
          <w:p>
            <w:pPr>
              <w:pStyle w:val="6"/>
              <w:spacing w:before="65" w:line="219" w:lineRule="auto"/>
              <w:ind w:left="495"/>
            </w:pPr>
            <w:r>
              <w:rPr>
                <w:spacing w:val="-2"/>
              </w:rPr>
              <w:t>财务分类</w:t>
            </w:r>
          </w:p>
        </w:tc>
        <w:tc>
          <w:tcPr>
            <w:tcW w:w="2846" w:type="dxa"/>
            <w:vAlign w:val="top"/>
          </w:tcPr>
          <w:p>
            <w:pPr>
              <w:rPr>
                <w:rFonts w:ascii="Arial"/>
                <w:sz w:val="21"/>
              </w:rPr>
            </w:pPr>
          </w:p>
        </w:tc>
        <w:tc>
          <w:tcPr>
            <w:tcW w:w="1808" w:type="dxa"/>
            <w:vAlign w:val="top"/>
          </w:tcPr>
          <w:p>
            <w:pPr>
              <w:spacing w:line="304" w:lineRule="auto"/>
              <w:rPr>
                <w:rFonts w:ascii="Arial"/>
                <w:sz w:val="21"/>
              </w:rPr>
            </w:pPr>
          </w:p>
          <w:p>
            <w:pPr>
              <w:pStyle w:val="6"/>
              <w:spacing w:before="65" w:line="218" w:lineRule="auto"/>
              <w:ind w:left="496"/>
            </w:pPr>
            <w:r>
              <w:rPr>
                <w:spacing w:val="-2"/>
              </w:rPr>
              <w:t>拟定价格</w:t>
            </w:r>
          </w:p>
        </w:tc>
        <w:tc>
          <w:tcPr>
            <w:tcW w:w="23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1803" w:type="dxa"/>
            <w:vAlign w:val="top"/>
          </w:tcPr>
          <w:p>
            <w:pPr>
              <w:spacing w:line="297" w:lineRule="auto"/>
              <w:rPr>
                <w:rFonts w:ascii="Arial"/>
                <w:sz w:val="21"/>
              </w:rPr>
            </w:pPr>
          </w:p>
          <w:p>
            <w:pPr>
              <w:pStyle w:val="6"/>
              <w:spacing w:before="65" w:line="219" w:lineRule="auto"/>
              <w:ind w:left="395"/>
            </w:pPr>
            <w:r>
              <w:rPr>
                <w:spacing w:val="-2"/>
              </w:rPr>
              <w:t>预期服务量</w:t>
            </w:r>
          </w:p>
        </w:tc>
        <w:tc>
          <w:tcPr>
            <w:tcW w:w="2846" w:type="dxa"/>
            <w:vAlign w:val="top"/>
          </w:tcPr>
          <w:p>
            <w:pPr>
              <w:rPr>
                <w:rFonts w:ascii="Arial"/>
                <w:sz w:val="21"/>
              </w:rPr>
            </w:pPr>
          </w:p>
        </w:tc>
        <w:tc>
          <w:tcPr>
            <w:tcW w:w="1808" w:type="dxa"/>
            <w:vAlign w:val="top"/>
          </w:tcPr>
          <w:p>
            <w:pPr>
              <w:spacing w:line="295" w:lineRule="auto"/>
              <w:rPr>
                <w:rFonts w:ascii="Arial"/>
                <w:sz w:val="21"/>
              </w:rPr>
            </w:pPr>
          </w:p>
          <w:p>
            <w:pPr>
              <w:pStyle w:val="6"/>
              <w:spacing w:before="65" w:line="218" w:lineRule="auto"/>
              <w:ind w:left="295"/>
            </w:pPr>
            <w:r>
              <w:rPr>
                <w:spacing w:val="-2"/>
              </w:rPr>
              <w:t>其他省市价格</w:t>
            </w:r>
          </w:p>
        </w:tc>
        <w:tc>
          <w:tcPr>
            <w:tcW w:w="23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1803" w:type="dxa"/>
            <w:vAlign w:val="top"/>
          </w:tcPr>
          <w:p>
            <w:pPr>
              <w:spacing w:line="293" w:lineRule="auto"/>
              <w:rPr>
                <w:rFonts w:ascii="Arial"/>
                <w:sz w:val="21"/>
              </w:rPr>
            </w:pPr>
          </w:p>
          <w:p>
            <w:pPr>
              <w:spacing w:line="293" w:lineRule="auto"/>
              <w:rPr>
                <w:rFonts w:ascii="Arial"/>
                <w:sz w:val="21"/>
              </w:rPr>
            </w:pPr>
          </w:p>
          <w:p>
            <w:pPr>
              <w:pStyle w:val="6"/>
              <w:spacing w:before="65" w:line="219" w:lineRule="auto"/>
              <w:ind w:left="495"/>
            </w:pPr>
            <w:r>
              <w:rPr>
                <w:spacing w:val="2"/>
              </w:rPr>
              <w:t>临床意义</w:t>
            </w:r>
          </w:p>
        </w:tc>
        <w:tc>
          <w:tcPr>
            <w:tcW w:w="7036"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803" w:type="dxa"/>
            <w:vAlign w:val="top"/>
          </w:tcPr>
          <w:p>
            <w:pPr>
              <w:spacing w:line="289" w:lineRule="auto"/>
              <w:rPr>
                <w:rFonts w:ascii="Arial"/>
                <w:sz w:val="21"/>
              </w:rPr>
            </w:pPr>
          </w:p>
          <w:p>
            <w:pPr>
              <w:pStyle w:val="6"/>
              <w:spacing w:before="65" w:line="220" w:lineRule="auto"/>
              <w:ind w:left="495"/>
            </w:pPr>
            <w:r>
              <w:rPr>
                <w:spacing w:val="-2"/>
              </w:rPr>
              <w:t>质量标准</w:t>
            </w:r>
          </w:p>
        </w:tc>
        <w:tc>
          <w:tcPr>
            <w:tcW w:w="7036" w:type="dxa"/>
            <w:gridSpan w:val="3"/>
            <w:vAlign w:val="top"/>
          </w:tcPr>
          <w:p>
            <w:pPr>
              <w:pStyle w:val="6"/>
              <w:spacing w:before="226" w:line="219" w:lineRule="auto"/>
              <w:ind w:left="1562"/>
            </w:pPr>
            <w:r>
              <w:rPr>
                <w:spacing w:val="4"/>
              </w:rPr>
              <w:t>(涉及使用医用设备的应写明产品标准编号；</w:t>
            </w:r>
          </w:p>
          <w:p>
            <w:pPr>
              <w:pStyle w:val="6"/>
              <w:spacing w:before="71" w:line="219" w:lineRule="auto"/>
              <w:ind w:left="662"/>
            </w:pPr>
            <w:r>
              <w:rPr>
                <w:spacing w:val="1"/>
              </w:rPr>
              <w:t>涉及使用医用耗材的应写明注册证编号、国家医保医用耗材编码)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8839" w:type="dxa"/>
            <w:gridSpan w:val="4"/>
            <w:vAlign w:val="top"/>
          </w:tcPr>
          <w:p>
            <w:pPr>
              <w:pStyle w:val="6"/>
              <w:spacing w:before="105" w:line="219" w:lineRule="auto"/>
              <w:ind w:left="145"/>
            </w:pPr>
            <w:r>
              <w:t>□是否经医疗机构审核   口是否有卫生技术规范确认材料</w:t>
            </w:r>
          </w:p>
          <w:p>
            <w:pPr>
              <w:pStyle w:val="6"/>
              <w:spacing w:before="54" w:line="227" w:lineRule="auto"/>
              <w:ind w:left="145"/>
            </w:pPr>
            <w:r>
              <w:t>□是否涉及大型医用设备检查治疗   口是否涉及医疗设备</w:t>
            </w:r>
            <w:r>
              <w:rPr>
                <w:spacing w:val="11"/>
              </w:rPr>
              <w:t xml:space="preserve">     </w:t>
            </w:r>
            <w:r>
              <w:rPr>
                <w:position w:val="-1"/>
              </w:rPr>
              <w:t>□是否涉及使用医用耗材</w:t>
            </w:r>
          </w:p>
          <w:p>
            <w:pPr>
              <w:pStyle w:val="6"/>
              <w:spacing w:before="54" w:line="219" w:lineRule="auto"/>
              <w:ind w:left="145"/>
            </w:pPr>
            <w:r>
              <w:rPr>
                <w:spacing w:val="-2"/>
              </w:rPr>
              <w:t>□是否属于限制类医疗技术</w:t>
            </w:r>
            <w:r>
              <w:rPr>
                <w:spacing w:val="18"/>
              </w:rPr>
              <w:t xml:space="preserve">   </w:t>
            </w:r>
            <w:r>
              <w:rPr>
                <w:spacing w:val="-2"/>
              </w:rPr>
              <w:t>口是否涉及医疗新技术</w:t>
            </w:r>
          </w:p>
          <w:p>
            <w:pPr>
              <w:pStyle w:val="6"/>
              <w:spacing w:before="80" w:line="218" w:lineRule="auto"/>
              <w:ind w:left="145"/>
            </w:pPr>
            <w:r>
              <w:rPr>
                <w:spacing w:val="1"/>
              </w:rPr>
              <w:t xml:space="preserve">□是否对项目预期价格合理性等作特别说明   </w:t>
            </w:r>
            <w:r>
              <w:t>口是否需要对设备或耗材的价格作特别说明</w:t>
            </w:r>
          </w:p>
          <w:p>
            <w:pPr>
              <w:pStyle w:val="6"/>
              <w:spacing w:before="109" w:line="201" w:lineRule="auto"/>
              <w:ind w:left="1897"/>
            </w:pPr>
            <w:r>
              <w:rPr>
                <w:b/>
                <w:bCs/>
                <w:spacing w:val="-4"/>
              </w:rPr>
              <w:t>(请根据实际情况在“口”内画“</w:t>
            </w:r>
            <w:r>
              <w:rPr>
                <w:spacing w:val="-38"/>
              </w:rPr>
              <w:t xml:space="preserve"> </w:t>
            </w:r>
            <w:r>
              <w:rPr>
                <w:b/>
                <w:bCs/>
                <w:spacing w:val="-4"/>
              </w:rPr>
              <w:t>√</w:t>
            </w:r>
            <w:r>
              <w:rPr>
                <w:spacing w:val="-70"/>
              </w:rPr>
              <w:t xml:space="preserve"> </w:t>
            </w:r>
            <w:r>
              <w:rPr>
                <w:b/>
                <w:bCs/>
                <w:spacing w:val="-4"/>
              </w:rPr>
              <w:t>”或者画“×”,不得空置)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803" w:type="dxa"/>
            <w:vAlign w:val="top"/>
          </w:tcPr>
          <w:p>
            <w:pPr>
              <w:pStyle w:val="6"/>
              <w:spacing w:before="216" w:line="219" w:lineRule="auto"/>
              <w:ind w:left="145"/>
            </w:pPr>
            <w:r>
              <w:rPr>
                <w:spacing w:val="-1"/>
              </w:rPr>
              <w:t>科室负责人签字：</w:t>
            </w:r>
          </w:p>
        </w:tc>
        <w:tc>
          <w:tcPr>
            <w:tcW w:w="2846" w:type="dxa"/>
            <w:vAlign w:val="top"/>
          </w:tcPr>
          <w:p>
            <w:pPr>
              <w:rPr>
                <w:rFonts w:ascii="Arial"/>
                <w:sz w:val="21"/>
              </w:rPr>
            </w:pPr>
          </w:p>
        </w:tc>
        <w:tc>
          <w:tcPr>
            <w:tcW w:w="1808" w:type="dxa"/>
            <w:vAlign w:val="top"/>
          </w:tcPr>
          <w:p>
            <w:pPr>
              <w:pStyle w:val="6"/>
              <w:spacing w:before="76" w:line="218" w:lineRule="auto"/>
              <w:ind w:left="195"/>
            </w:pPr>
            <w:r>
              <w:rPr>
                <w:spacing w:val="2"/>
              </w:rPr>
              <w:t>价格管理部门负</w:t>
            </w:r>
          </w:p>
          <w:p>
            <w:pPr>
              <w:pStyle w:val="6"/>
              <w:spacing w:before="85" w:line="196" w:lineRule="auto"/>
              <w:ind w:left="446"/>
            </w:pPr>
            <w:r>
              <w:t>责人签字：</w:t>
            </w:r>
          </w:p>
        </w:tc>
        <w:tc>
          <w:tcPr>
            <w:tcW w:w="238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8839" w:type="dxa"/>
            <w:gridSpan w:val="4"/>
            <w:vAlign w:val="top"/>
          </w:tcPr>
          <w:p>
            <w:pPr>
              <w:pStyle w:val="6"/>
              <w:spacing w:before="86" w:line="219" w:lineRule="auto"/>
              <w:ind w:left="145"/>
            </w:pPr>
            <w:r>
              <w:rPr>
                <w:spacing w:val="-1"/>
              </w:rPr>
              <w:t>医疗机构法定代表人签字：</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5" w:line="238" w:lineRule="auto"/>
              <w:ind w:left="7494" w:right="97" w:firstLine="100"/>
            </w:pPr>
            <w:r>
              <w:rPr>
                <w:spacing w:val="7"/>
              </w:rPr>
              <w:t>(单位公章)</w:t>
            </w:r>
            <w:r>
              <w:t xml:space="preserve">  </w:t>
            </w:r>
            <w:r>
              <w:rPr>
                <w:spacing w:val="-15"/>
              </w:rPr>
              <w:t>年</w:t>
            </w:r>
            <w:r>
              <w:rPr>
                <w:spacing w:val="13"/>
              </w:rPr>
              <w:t xml:space="preserve">   </w:t>
            </w:r>
            <w:r>
              <w:rPr>
                <w:spacing w:val="-15"/>
              </w:rPr>
              <w:t>月    日</w:t>
            </w:r>
          </w:p>
        </w:tc>
      </w:tr>
    </w:tbl>
    <w:p>
      <w:pPr>
        <w:pStyle w:val="2"/>
        <w:spacing w:line="14" w:lineRule="auto"/>
        <w:rPr>
          <w:sz w:val="2"/>
        </w:rPr>
      </w:pPr>
    </w:p>
    <w:p>
      <w:pPr>
        <w:spacing w:line="14" w:lineRule="auto"/>
        <w:rPr>
          <w:sz w:val="2"/>
          <w:szCs w:val="2"/>
        </w:rPr>
        <w:sectPr>
          <w:type w:val="continuous"/>
          <w:pgSz w:w="11850" w:h="16730"/>
          <w:pgMar w:top="1257" w:right="1585" w:bottom="1055" w:left="1414" w:header="0" w:footer="906" w:gutter="0"/>
          <w:cols w:equalWidth="0" w:num="1">
            <w:col w:w="8850"/>
          </w:cols>
        </w:sectPr>
      </w:pPr>
    </w:p>
    <w:p>
      <w:pPr>
        <w:spacing w:before="365" w:line="227" w:lineRule="auto"/>
        <w:ind w:left="3597"/>
        <w:rPr>
          <w:rFonts w:ascii="楷体" w:hAnsi="楷体" w:eastAsia="楷体" w:cs="楷体"/>
          <w:sz w:val="41"/>
          <w:szCs w:val="41"/>
        </w:rPr>
      </w:pPr>
      <w:r>
        <w:rPr>
          <w:rFonts w:ascii="楷体" w:hAnsi="楷体" w:eastAsia="楷体" w:cs="楷体"/>
          <w:b/>
          <w:bCs/>
          <w:spacing w:val="11"/>
          <w:sz w:val="41"/>
          <w:szCs w:val="41"/>
        </w:rPr>
        <w:t>填表说明</w:t>
      </w:r>
    </w:p>
    <w:p>
      <w:pPr>
        <w:pStyle w:val="2"/>
        <w:spacing w:line="315" w:lineRule="auto"/>
      </w:pPr>
    </w:p>
    <w:p>
      <w:pPr>
        <w:pStyle w:val="2"/>
        <w:spacing w:line="316" w:lineRule="auto"/>
      </w:pPr>
    </w:p>
    <w:p>
      <w:pPr>
        <w:spacing w:before="87" w:line="520" w:lineRule="exact"/>
        <w:ind w:right="77"/>
        <w:jc w:val="right"/>
        <w:rPr>
          <w:rFonts w:ascii="仿宋" w:hAnsi="仿宋" w:eastAsia="仿宋" w:cs="仿宋"/>
          <w:sz w:val="27"/>
          <w:szCs w:val="27"/>
        </w:rPr>
      </w:pPr>
      <w:r>
        <w:rPr>
          <w:rFonts w:ascii="仿宋" w:hAnsi="仿宋" w:eastAsia="仿宋" w:cs="仿宋"/>
          <w:b/>
          <w:bCs/>
          <w:spacing w:val="-1"/>
          <w:position w:val="18"/>
          <w:sz w:val="27"/>
          <w:szCs w:val="27"/>
        </w:rPr>
        <w:t>一</w:t>
      </w:r>
      <w:r>
        <w:rPr>
          <w:rFonts w:ascii="仿宋" w:hAnsi="仿宋" w:eastAsia="仿宋" w:cs="仿宋"/>
          <w:spacing w:val="-73"/>
          <w:position w:val="18"/>
          <w:sz w:val="27"/>
          <w:szCs w:val="27"/>
        </w:rPr>
        <w:t xml:space="preserve"> </w:t>
      </w:r>
      <w:r>
        <w:rPr>
          <w:rFonts w:ascii="仿宋" w:hAnsi="仿宋" w:eastAsia="仿宋" w:cs="仿宋"/>
          <w:b/>
          <w:bCs/>
          <w:spacing w:val="-1"/>
          <w:position w:val="18"/>
          <w:sz w:val="27"/>
          <w:szCs w:val="27"/>
        </w:rPr>
        <w:t>、每一项新增医疗服务价格项目，均填写一张“</w:t>
      </w:r>
      <w:r>
        <w:rPr>
          <w:rFonts w:ascii="仿宋" w:hAnsi="仿宋" w:eastAsia="仿宋" w:cs="仿宋"/>
          <w:b/>
          <w:bCs/>
          <w:spacing w:val="-2"/>
          <w:position w:val="18"/>
          <w:sz w:val="27"/>
          <w:szCs w:val="27"/>
        </w:rPr>
        <w:t>新增医疗服务价</w:t>
      </w:r>
    </w:p>
    <w:p>
      <w:pPr>
        <w:spacing w:line="222" w:lineRule="auto"/>
        <w:ind w:left="134"/>
        <w:rPr>
          <w:rFonts w:ascii="仿宋" w:hAnsi="仿宋" w:eastAsia="仿宋" w:cs="仿宋"/>
          <w:sz w:val="27"/>
          <w:szCs w:val="27"/>
        </w:rPr>
      </w:pPr>
      <w:r>
        <w:rPr>
          <w:rFonts w:ascii="仿宋" w:hAnsi="仿宋" w:eastAsia="仿宋" w:cs="仿宋"/>
          <w:b/>
          <w:bCs/>
          <w:spacing w:val="-29"/>
          <w:sz w:val="27"/>
          <w:szCs w:val="27"/>
        </w:rPr>
        <w:t>格项目表”。</w:t>
      </w:r>
    </w:p>
    <w:p>
      <w:pPr>
        <w:spacing w:before="181" w:line="219" w:lineRule="auto"/>
        <w:ind w:left="795"/>
        <w:rPr>
          <w:rFonts w:ascii="仿宋" w:hAnsi="仿宋" w:eastAsia="仿宋" w:cs="仿宋"/>
          <w:sz w:val="27"/>
          <w:szCs w:val="27"/>
        </w:rPr>
      </w:pPr>
      <w:r>
        <w:rPr>
          <w:rFonts w:ascii="仿宋" w:hAnsi="仿宋" w:eastAsia="仿宋" w:cs="仿宋"/>
          <w:b/>
          <w:bCs/>
          <w:spacing w:val="-28"/>
          <w:sz w:val="27"/>
          <w:szCs w:val="27"/>
        </w:rPr>
        <w:t>二、</w:t>
      </w:r>
      <w:r>
        <w:rPr>
          <w:rFonts w:ascii="仿宋" w:hAnsi="仿宋" w:eastAsia="仿宋" w:cs="仿宋"/>
          <w:spacing w:val="-47"/>
          <w:sz w:val="27"/>
          <w:szCs w:val="27"/>
        </w:rPr>
        <w:t xml:space="preserve"> </w:t>
      </w:r>
      <w:r>
        <w:rPr>
          <w:rFonts w:ascii="仿宋" w:hAnsi="仿宋" w:eastAsia="仿宋" w:cs="仿宋"/>
          <w:b/>
          <w:bCs/>
          <w:spacing w:val="-28"/>
          <w:sz w:val="27"/>
          <w:szCs w:val="27"/>
        </w:rPr>
        <w:t>项目类别：在相应的类别前划“</w:t>
      </w:r>
      <w:r>
        <w:rPr>
          <w:rFonts w:ascii="仿宋" w:hAnsi="仿宋" w:eastAsia="仿宋" w:cs="仿宋"/>
          <w:spacing w:val="-62"/>
          <w:sz w:val="27"/>
          <w:szCs w:val="27"/>
        </w:rPr>
        <w:t xml:space="preserve"> </w:t>
      </w:r>
      <w:r>
        <w:rPr>
          <w:rFonts w:ascii="仿宋" w:hAnsi="仿宋" w:eastAsia="仿宋" w:cs="仿宋"/>
          <w:b/>
          <w:bCs/>
          <w:spacing w:val="-28"/>
          <w:sz w:val="27"/>
          <w:szCs w:val="27"/>
        </w:rPr>
        <w:t>√”。</w:t>
      </w:r>
    </w:p>
    <w:p>
      <w:pPr>
        <w:spacing w:before="171" w:line="347" w:lineRule="auto"/>
        <w:ind w:left="131" w:right="68" w:firstLine="663"/>
        <w:rPr>
          <w:rFonts w:ascii="仿宋" w:hAnsi="仿宋" w:eastAsia="仿宋" w:cs="仿宋"/>
          <w:sz w:val="27"/>
          <w:szCs w:val="27"/>
        </w:rPr>
      </w:pPr>
      <w:r>
        <w:rPr>
          <w:rFonts w:ascii="仿宋" w:hAnsi="仿宋" w:eastAsia="仿宋" w:cs="仿宋"/>
          <w:b/>
          <w:bCs/>
          <w:spacing w:val="7"/>
          <w:sz w:val="27"/>
          <w:szCs w:val="27"/>
        </w:rPr>
        <w:t>三</w:t>
      </w:r>
      <w:r>
        <w:rPr>
          <w:rFonts w:ascii="仿宋" w:hAnsi="仿宋" w:eastAsia="仿宋" w:cs="仿宋"/>
          <w:spacing w:val="-69"/>
          <w:sz w:val="27"/>
          <w:szCs w:val="27"/>
        </w:rPr>
        <w:t xml:space="preserve"> </w:t>
      </w:r>
      <w:r>
        <w:rPr>
          <w:rFonts w:ascii="仿宋" w:hAnsi="仿宋" w:eastAsia="仿宋" w:cs="仿宋"/>
          <w:b/>
          <w:bCs/>
          <w:spacing w:val="7"/>
          <w:sz w:val="27"/>
          <w:szCs w:val="27"/>
        </w:rPr>
        <w:t>、项目编码：指新项目的顺序号。按照粤医保发〔</w:t>
      </w:r>
      <w:r>
        <w:rPr>
          <w:rFonts w:ascii="仿宋" w:hAnsi="仿宋" w:eastAsia="仿宋" w:cs="仿宋"/>
          <w:b/>
          <w:bCs/>
          <w:spacing w:val="6"/>
          <w:sz w:val="27"/>
          <w:szCs w:val="27"/>
        </w:rPr>
        <w:t>2021〕20号</w:t>
      </w:r>
      <w:r>
        <w:rPr>
          <w:rFonts w:ascii="仿宋" w:hAnsi="仿宋" w:eastAsia="仿宋" w:cs="仿宋"/>
          <w:sz w:val="27"/>
          <w:szCs w:val="27"/>
        </w:rPr>
        <w:t xml:space="preserve"> </w:t>
      </w:r>
      <w:r>
        <w:rPr>
          <w:rFonts w:ascii="仿宋" w:hAnsi="仿宋" w:eastAsia="仿宋" w:cs="仿宋"/>
          <w:b/>
          <w:bCs/>
          <w:spacing w:val="-2"/>
          <w:sz w:val="27"/>
          <w:szCs w:val="27"/>
        </w:rPr>
        <w:t>文附件1“医疗服务价格项目使用说明”的要求提出建议编码，顺序码共</w:t>
      </w:r>
      <w:r>
        <w:rPr>
          <w:rFonts w:ascii="仿宋" w:hAnsi="仿宋" w:eastAsia="仿宋" w:cs="仿宋"/>
          <w:spacing w:val="5"/>
          <w:sz w:val="27"/>
          <w:szCs w:val="27"/>
        </w:rPr>
        <w:t xml:space="preserve">  </w:t>
      </w:r>
      <w:r>
        <w:rPr>
          <w:rFonts w:ascii="仿宋" w:hAnsi="仿宋" w:eastAsia="仿宋" w:cs="仿宋"/>
          <w:spacing w:val="-1"/>
          <w:sz w:val="27"/>
          <w:szCs w:val="27"/>
        </w:rPr>
        <w:t>9</w:t>
      </w:r>
      <w:r>
        <w:rPr>
          <w:rFonts w:ascii="仿宋" w:hAnsi="仿宋" w:eastAsia="仿宋" w:cs="仿宋"/>
          <w:b/>
          <w:bCs/>
          <w:spacing w:val="-1"/>
          <w:sz w:val="27"/>
          <w:szCs w:val="27"/>
        </w:rPr>
        <w:t>位阿拉伯数字，填到前六位为止，最后三位用</w:t>
      </w:r>
      <w:r>
        <w:rPr>
          <w:rFonts w:ascii="Times New Roman" w:hAnsi="Times New Roman" w:eastAsia="Times New Roman" w:cs="Times New Roman"/>
          <w:b/>
          <w:bCs/>
          <w:spacing w:val="-1"/>
          <w:sz w:val="27"/>
          <w:szCs w:val="27"/>
        </w:rPr>
        <w:t>“XXX”</w:t>
      </w:r>
      <w:r>
        <w:rPr>
          <w:rFonts w:ascii="仿宋" w:hAnsi="仿宋" w:eastAsia="仿宋" w:cs="仿宋"/>
          <w:b/>
          <w:bCs/>
          <w:spacing w:val="-1"/>
          <w:sz w:val="27"/>
          <w:szCs w:val="27"/>
        </w:rPr>
        <w:t>代替。如拟在“医</w:t>
      </w:r>
      <w:r>
        <w:rPr>
          <w:rFonts w:ascii="仿宋" w:hAnsi="仿宋" w:eastAsia="仿宋" w:cs="仿宋"/>
          <w:spacing w:val="16"/>
          <w:sz w:val="27"/>
          <w:szCs w:val="27"/>
        </w:rPr>
        <w:t xml:space="preserve"> </w:t>
      </w:r>
      <w:r>
        <w:rPr>
          <w:rFonts w:ascii="仿宋" w:hAnsi="仿宋" w:eastAsia="仿宋" w:cs="仿宋"/>
          <w:b/>
          <w:bCs/>
          <w:spacing w:val="5"/>
          <w:sz w:val="27"/>
          <w:szCs w:val="27"/>
        </w:rPr>
        <w:t>技诊疗类”的“肝病试验诊断”中增加一个新项目，</w:t>
      </w:r>
      <w:r>
        <w:rPr>
          <w:rFonts w:ascii="仿宋" w:hAnsi="仿宋" w:eastAsia="仿宋" w:cs="仿宋"/>
          <w:b/>
          <w:bCs/>
          <w:spacing w:val="4"/>
          <w:sz w:val="27"/>
          <w:szCs w:val="27"/>
        </w:rPr>
        <w:t>则其“编码”填为</w:t>
      </w:r>
    </w:p>
    <w:p>
      <w:pPr>
        <w:spacing w:before="1" w:line="237" w:lineRule="auto"/>
        <w:rPr>
          <w:rFonts w:ascii="宋体" w:hAnsi="宋体" w:eastAsia="宋体" w:cs="宋体"/>
          <w:sz w:val="27"/>
          <w:szCs w:val="27"/>
        </w:rPr>
      </w:pPr>
      <w:r>
        <w:rPr>
          <w:rFonts w:ascii="宋体" w:hAnsi="宋体" w:eastAsia="宋体" w:cs="宋体"/>
          <w:b/>
          <w:bCs/>
          <w:spacing w:val="-6"/>
          <w:sz w:val="27"/>
          <w:szCs w:val="27"/>
        </w:rPr>
        <w:t>“250305XXX”。</w:t>
      </w:r>
    </w:p>
    <w:p>
      <w:pPr>
        <w:spacing w:before="143" w:line="487" w:lineRule="exact"/>
        <w:ind w:left="795"/>
        <w:rPr>
          <w:rFonts w:ascii="仿宋" w:hAnsi="仿宋" w:eastAsia="仿宋" w:cs="仿宋"/>
          <w:sz w:val="27"/>
          <w:szCs w:val="27"/>
        </w:rPr>
      </w:pPr>
      <w:r>
        <w:rPr>
          <w:rFonts w:ascii="仿宋" w:hAnsi="仿宋" w:eastAsia="仿宋" w:cs="仿宋"/>
          <w:b/>
          <w:bCs/>
          <w:spacing w:val="7"/>
          <w:position w:val="16"/>
          <w:sz w:val="27"/>
          <w:szCs w:val="27"/>
        </w:rPr>
        <w:t>四</w:t>
      </w:r>
      <w:r>
        <w:rPr>
          <w:rFonts w:ascii="仿宋" w:hAnsi="仿宋" w:eastAsia="仿宋" w:cs="仿宋"/>
          <w:spacing w:val="-31"/>
          <w:position w:val="16"/>
          <w:sz w:val="27"/>
          <w:szCs w:val="27"/>
        </w:rPr>
        <w:t xml:space="preserve"> </w:t>
      </w:r>
      <w:r>
        <w:rPr>
          <w:rFonts w:ascii="仿宋" w:hAnsi="仿宋" w:eastAsia="仿宋" w:cs="仿宋"/>
          <w:b/>
          <w:bCs/>
          <w:spacing w:val="7"/>
          <w:position w:val="16"/>
          <w:sz w:val="27"/>
          <w:szCs w:val="27"/>
        </w:rPr>
        <w:t>、项目内涵：按照主要环节的服务产出描述，以及应涵盖的各</w:t>
      </w:r>
    </w:p>
    <w:p>
      <w:pPr>
        <w:spacing w:line="219" w:lineRule="auto"/>
        <w:jc w:val="right"/>
        <w:rPr>
          <w:rFonts w:ascii="仿宋" w:hAnsi="仿宋" w:eastAsia="仿宋" w:cs="仿宋"/>
          <w:sz w:val="27"/>
          <w:szCs w:val="27"/>
        </w:rPr>
      </w:pPr>
      <w:r>
        <w:rPr>
          <w:rFonts w:ascii="仿宋" w:hAnsi="仿宋" w:eastAsia="仿宋" w:cs="仿宋"/>
          <w:b/>
          <w:bCs/>
          <w:spacing w:val="-2"/>
          <w:sz w:val="27"/>
          <w:szCs w:val="27"/>
        </w:rPr>
        <w:t>类资源消耗，不是手术实际操作方式、路径、步骤、程序的强制性要求。</w:t>
      </w:r>
    </w:p>
    <w:p>
      <w:pPr>
        <w:spacing w:before="180" w:line="342" w:lineRule="auto"/>
        <w:ind w:left="134" w:right="78" w:firstLine="659"/>
        <w:rPr>
          <w:rFonts w:ascii="仿宋" w:hAnsi="仿宋" w:eastAsia="仿宋" w:cs="仿宋"/>
          <w:sz w:val="27"/>
          <w:szCs w:val="27"/>
        </w:rPr>
      </w:pPr>
      <w:r>
        <w:rPr>
          <w:rFonts w:ascii="仿宋" w:hAnsi="仿宋" w:eastAsia="仿宋" w:cs="仿宋"/>
          <w:b/>
          <w:bCs/>
          <w:spacing w:val="-32"/>
          <w:sz w:val="27"/>
          <w:szCs w:val="27"/>
        </w:rPr>
        <w:t>五、“财务分类”、“项目名称”、“项目内涵”和</w:t>
      </w:r>
      <w:r>
        <w:rPr>
          <w:rFonts w:ascii="仿宋" w:hAnsi="仿宋" w:eastAsia="仿宋" w:cs="仿宋"/>
          <w:b/>
          <w:bCs/>
          <w:spacing w:val="-33"/>
          <w:sz w:val="27"/>
          <w:szCs w:val="27"/>
        </w:rPr>
        <w:t>“除外内容”、“计价</w:t>
      </w:r>
      <w:r>
        <w:rPr>
          <w:rFonts w:ascii="仿宋" w:hAnsi="仿宋" w:eastAsia="仿宋" w:cs="仿宋"/>
          <w:sz w:val="27"/>
          <w:szCs w:val="27"/>
        </w:rPr>
        <w:t xml:space="preserve"> </w:t>
      </w:r>
      <w:r>
        <w:rPr>
          <w:rFonts w:ascii="仿宋" w:hAnsi="仿宋" w:eastAsia="仿宋" w:cs="仿宋"/>
          <w:b/>
          <w:bCs/>
          <w:spacing w:val="-8"/>
          <w:sz w:val="27"/>
          <w:szCs w:val="27"/>
        </w:rPr>
        <w:t>单位”、“计价说明”等按粤医保发〔2021〕20号文附件1“医疗服务价格</w:t>
      </w:r>
      <w:r>
        <w:rPr>
          <w:rFonts w:ascii="仿宋" w:hAnsi="仿宋" w:eastAsia="仿宋" w:cs="仿宋"/>
          <w:spacing w:val="8"/>
          <w:sz w:val="27"/>
          <w:szCs w:val="27"/>
        </w:rPr>
        <w:t xml:space="preserve"> </w:t>
      </w:r>
      <w:r>
        <w:rPr>
          <w:rFonts w:ascii="仿宋" w:hAnsi="仿宋" w:eastAsia="仿宋" w:cs="仿宋"/>
          <w:b/>
          <w:bCs/>
          <w:spacing w:val="-4"/>
          <w:sz w:val="27"/>
          <w:szCs w:val="27"/>
        </w:rPr>
        <w:t>项目使用说明”的要求填写。“除外内容”中标注可除外收费</w:t>
      </w:r>
      <w:r>
        <w:rPr>
          <w:rFonts w:ascii="仿宋" w:hAnsi="仿宋" w:eastAsia="仿宋" w:cs="仿宋"/>
          <w:b/>
          <w:bCs/>
          <w:spacing w:val="-5"/>
          <w:sz w:val="27"/>
          <w:szCs w:val="27"/>
        </w:rPr>
        <w:t>的耗材需填</w:t>
      </w:r>
      <w:r>
        <w:rPr>
          <w:rFonts w:ascii="仿宋" w:hAnsi="仿宋" w:eastAsia="仿宋" w:cs="仿宋"/>
          <w:sz w:val="27"/>
          <w:szCs w:val="27"/>
        </w:rPr>
        <w:t xml:space="preserve"> </w:t>
      </w:r>
      <w:r>
        <w:rPr>
          <w:rFonts w:ascii="仿宋" w:hAnsi="仿宋" w:eastAsia="仿宋" w:cs="仿宋"/>
          <w:b/>
          <w:bCs/>
          <w:spacing w:val="4"/>
          <w:sz w:val="27"/>
          <w:szCs w:val="27"/>
        </w:rPr>
        <w:t>报国家医保耗材编码，没有编码的暂不受理。项目名称以诊疗目的或结</w:t>
      </w:r>
    </w:p>
    <w:p>
      <w:pPr>
        <w:spacing w:line="220" w:lineRule="auto"/>
        <w:ind w:left="134"/>
        <w:rPr>
          <w:rFonts w:ascii="仿宋" w:hAnsi="仿宋" w:eastAsia="仿宋" w:cs="仿宋"/>
          <w:sz w:val="27"/>
          <w:szCs w:val="27"/>
        </w:rPr>
      </w:pPr>
      <w:r>
        <w:rPr>
          <w:rFonts w:ascii="仿宋" w:hAnsi="仿宋" w:eastAsia="仿宋" w:cs="仿宋"/>
          <w:b/>
          <w:bCs/>
          <w:spacing w:val="14"/>
          <w:sz w:val="27"/>
          <w:szCs w:val="27"/>
        </w:rPr>
        <w:t>果(服务产出)命名，不得以设备、仪器、试剂的称谓命名。</w:t>
      </w:r>
    </w:p>
    <w:p>
      <w:pPr>
        <w:spacing w:before="198" w:line="520" w:lineRule="exact"/>
        <w:ind w:right="75"/>
        <w:jc w:val="right"/>
        <w:rPr>
          <w:rFonts w:ascii="仿宋" w:hAnsi="仿宋" w:eastAsia="仿宋" w:cs="仿宋"/>
          <w:sz w:val="27"/>
          <w:szCs w:val="27"/>
        </w:rPr>
      </w:pPr>
      <w:r>
        <w:rPr>
          <w:rFonts w:ascii="仿宋" w:hAnsi="仿宋" w:eastAsia="仿宋" w:cs="仿宋"/>
          <w:b/>
          <w:bCs/>
          <w:spacing w:val="11"/>
          <w:position w:val="18"/>
          <w:sz w:val="27"/>
          <w:szCs w:val="27"/>
        </w:rPr>
        <w:t>六、临床意义：简要说明工作原理和临床意义</w:t>
      </w:r>
      <w:r>
        <w:rPr>
          <w:rFonts w:ascii="仿宋" w:hAnsi="仿宋" w:eastAsia="仿宋" w:cs="仿宋"/>
          <w:b/>
          <w:bCs/>
          <w:spacing w:val="10"/>
          <w:position w:val="18"/>
          <w:sz w:val="27"/>
          <w:szCs w:val="27"/>
        </w:rPr>
        <w:t>，并提供相关的佐</w:t>
      </w:r>
    </w:p>
    <w:p>
      <w:pPr>
        <w:spacing w:line="220" w:lineRule="auto"/>
        <w:ind w:left="135"/>
        <w:rPr>
          <w:rFonts w:ascii="仿宋" w:hAnsi="仿宋" w:eastAsia="仿宋" w:cs="仿宋"/>
          <w:sz w:val="27"/>
          <w:szCs w:val="27"/>
        </w:rPr>
      </w:pPr>
      <w:r>
        <w:rPr>
          <w:rFonts w:ascii="仿宋" w:hAnsi="仿宋" w:eastAsia="仿宋" w:cs="仿宋"/>
          <w:b/>
          <w:bCs/>
          <w:spacing w:val="-13"/>
          <w:sz w:val="27"/>
          <w:szCs w:val="27"/>
        </w:rPr>
        <w:t>证材料。</w:t>
      </w:r>
    </w:p>
    <w:p>
      <w:pPr>
        <w:spacing w:line="220" w:lineRule="auto"/>
        <w:rPr>
          <w:rFonts w:ascii="仿宋" w:hAnsi="仿宋" w:eastAsia="仿宋" w:cs="仿宋"/>
          <w:sz w:val="27"/>
          <w:szCs w:val="27"/>
        </w:rPr>
        <w:sectPr>
          <w:footerReference r:id="rId19" w:type="default"/>
          <w:pgSz w:w="11830" w:h="16740"/>
          <w:pgMar w:top="1422" w:right="1538" w:bottom="1078" w:left="1478" w:header="0" w:footer="939" w:gutter="0"/>
          <w:cols w:space="720" w:num="1"/>
        </w:sectPr>
      </w:pPr>
    </w:p>
    <w:p>
      <w:pPr>
        <w:spacing w:before="81" w:line="218" w:lineRule="auto"/>
        <w:ind w:left="650"/>
        <w:rPr>
          <w:rFonts w:ascii="宋体" w:hAnsi="宋体" w:eastAsia="宋体" w:cs="宋体"/>
          <w:sz w:val="41"/>
          <w:szCs w:val="41"/>
        </w:rPr>
      </w:pPr>
      <w:r>
        <w:pict>
          <v:rect id="_x0000_s1027" o:spid="_x0000_s1027" o:spt="1" style="position:absolute;left:0pt;margin-left:292.95pt;margin-top:540.75pt;height:0.75pt;width:271.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rPr>
          <w:rFonts w:ascii="宋体" w:hAnsi="宋体" w:eastAsia="宋体" w:cs="宋体"/>
          <w:b/>
          <w:bCs/>
          <w:spacing w:val="6"/>
          <w:sz w:val="41"/>
          <w:szCs w:val="41"/>
        </w:rPr>
        <w:t>广东省新增(修订)医疗价格项目信息资料</w:t>
      </w:r>
    </w:p>
    <w:p>
      <w:pPr>
        <w:spacing w:before="289" w:line="216" w:lineRule="auto"/>
        <w:ind w:left="3845"/>
        <w:rPr>
          <w:rFonts w:ascii="宋体" w:hAnsi="宋体" w:eastAsia="宋体" w:cs="宋体"/>
          <w:sz w:val="26"/>
          <w:szCs w:val="26"/>
        </w:rPr>
      </w:pPr>
      <w:r>
        <w:rPr>
          <w:rFonts w:ascii="宋体" w:hAnsi="宋体" w:eastAsia="宋体" w:cs="宋体"/>
          <w:spacing w:val="9"/>
          <w:sz w:val="26"/>
          <w:szCs w:val="26"/>
        </w:rPr>
        <w:t>(项目名称)</w:t>
      </w:r>
    </w:p>
    <w:tbl>
      <w:tblPr>
        <w:tblStyle w:val="5"/>
        <w:tblW w:w="867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67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450" w:hRule="atLeast"/>
        </w:trPr>
        <w:tc>
          <w:tcPr>
            <w:tcW w:w="8674" w:type="dxa"/>
            <w:vAlign w:val="top"/>
          </w:tcPr>
          <w:p>
            <w:pPr>
              <w:pStyle w:val="6"/>
              <w:spacing w:before="222" w:line="219" w:lineRule="auto"/>
              <w:ind w:left="149"/>
              <w:rPr>
                <w:sz w:val="28"/>
                <w:szCs w:val="28"/>
              </w:rPr>
            </w:pPr>
            <w:r>
              <w:rPr>
                <w:b/>
                <w:bCs/>
                <w:spacing w:val="-5"/>
                <w:sz w:val="28"/>
                <w:szCs w:val="28"/>
              </w:rPr>
              <w:t>申报医院：</w:t>
            </w:r>
          </w:p>
          <w:p>
            <w:pPr>
              <w:pStyle w:val="6"/>
              <w:spacing w:before="302" w:line="220" w:lineRule="auto"/>
              <w:ind w:left="834"/>
              <w:rPr>
                <w:sz w:val="28"/>
                <w:szCs w:val="28"/>
              </w:rPr>
            </w:pPr>
            <w:r>
              <w:rPr>
                <w:spacing w:val="-2"/>
                <w:sz w:val="28"/>
                <w:szCs w:val="28"/>
              </w:rPr>
              <w:t>□三级医院    口二级医院</w:t>
            </w:r>
            <w:r>
              <w:rPr>
                <w:spacing w:val="41"/>
                <w:sz w:val="28"/>
                <w:szCs w:val="28"/>
              </w:rPr>
              <w:t xml:space="preserve">  </w:t>
            </w:r>
            <w:r>
              <w:rPr>
                <w:spacing w:val="-2"/>
                <w:sz w:val="28"/>
                <w:szCs w:val="28"/>
              </w:rPr>
              <w:t>口一级医院</w:t>
            </w:r>
          </w:p>
          <w:p>
            <w:pPr>
              <w:pStyle w:val="6"/>
              <w:spacing w:before="285" w:line="227" w:lineRule="auto"/>
              <w:ind w:left="834"/>
              <w:rPr>
                <w:sz w:val="28"/>
                <w:szCs w:val="28"/>
              </w:rPr>
            </w:pPr>
            <w:r>
              <w:rPr>
                <w:spacing w:val="2"/>
                <w:sz w:val="28"/>
                <w:szCs w:val="28"/>
              </w:rPr>
              <w:t>□国家医学中心</w:t>
            </w:r>
            <w:r>
              <w:rPr>
                <w:spacing w:val="26"/>
                <w:sz w:val="28"/>
                <w:szCs w:val="28"/>
              </w:rPr>
              <w:t xml:space="preserve">    </w:t>
            </w:r>
            <w:r>
              <w:rPr>
                <w:spacing w:val="2"/>
                <w:sz w:val="28"/>
                <w:szCs w:val="28"/>
              </w:rPr>
              <w:t>□国家区域医疗中心</w:t>
            </w:r>
          </w:p>
          <w:p>
            <w:pPr>
              <w:pStyle w:val="6"/>
              <w:spacing w:before="271" w:line="216" w:lineRule="auto"/>
              <w:jc w:val="right"/>
              <w:rPr>
                <w:sz w:val="28"/>
                <w:szCs w:val="28"/>
              </w:rPr>
            </w:pPr>
            <w:r>
              <w:rPr>
                <w:spacing w:val="-27"/>
                <w:sz w:val="28"/>
                <w:szCs w:val="28"/>
              </w:rPr>
              <w:t>(注：请根据实际情况在“□”内画“</w:t>
            </w:r>
            <w:r>
              <w:rPr>
                <w:spacing w:val="-49"/>
                <w:sz w:val="28"/>
                <w:szCs w:val="28"/>
              </w:rPr>
              <w:t xml:space="preserve"> </w:t>
            </w:r>
            <w:r>
              <w:rPr>
                <w:spacing w:val="-27"/>
                <w:sz w:val="28"/>
                <w:szCs w:val="28"/>
              </w:rPr>
              <w:t>√</w:t>
            </w:r>
            <w:r>
              <w:rPr>
                <w:spacing w:val="-106"/>
                <w:sz w:val="28"/>
                <w:szCs w:val="28"/>
              </w:rPr>
              <w:t xml:space="preserve"> </w:t>
            </w:r>
            <w:r>
              <w:rPr>
                <w:spacing w:val="-27"/>
                <w:sz w:val="28"/>
                <w:szCs w:val="28"/>
              </w:rPr>
              <w:t>”或者画“×”,不得空置。下同。</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2" w:line="219" w:lineRule="auto"/>
              <w:ind w:left="149"/>
              <w:rPr>
                <w:sz w:val="28"/>
                <w:szCs w:val="28"/>
              </w:rPr>
            </w:pPr>
            <w:r>
              <w:rPr>
                <w:b/>
                <w:bCs/>
                <w:spacing w:val="-5"/>
                <w:sz w:val="28"/>
                <w:szCs w:val="28"/>
              </w:rPr>
              <w:t>申报科室：</w:t>
            </w:r>
          </w:p>
          <w:p>
            <w:pPr>
              <w:pStyle w:val="6"/>
              <w:spacing w:before="283" w:line="225" w:lineRule="auto"/>
              <w:ind w:left="834"/>
              <w:rPr>
                <w:sz w:val="28"/>
                <w:szCs w:val="28"/>
              </w:rPr>
            </w:pPr>
            <w:r>
              <w:rPr>
                <w:spacing w:val="1"/>
                <w:sz w:val="28"/>
                <w:szCs w:val="28"/>
              </w:rPr>
              <w:t>□国家重点临床专科</w:t>
            </w:r>
            <w:r>
              <w:rPr>
                <w:spacing w:val="14"/>
                <w:sz w:val="28"/>
                <w:szCs w:val="28"/>
              </w:rPr>
              <w:t xml:space="preserve">     </w:t>
            </w:r>
            <w:r>
              <w:rPr>
                <w:spacing w:val="1"/>
                <w:sz w:val="28"/>
                <w:szCs w:val="28"/>
              </w:rPr>
              <w:t>口省级重点临床专科</w:t>
            </w: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91" w:line="226" w:lineRule="auto"/>
              <w:ind w:left="164"/>
              <w:rPr>
                <w:sz w:val="28"/>
                <w:szCs w:val="28"/>
              </w:rPr>
            </w:pPr>
            <w:r>
              <w:rPr>
                <w:spacing w:val="-3"/>
                <w:position w:val="2"/>
                <w:sz w:val="28"/>
                <w:szCs w:val="28"/>
              </w:rPr>
              <w:t>申报联系人：</w:t>
            </w:r>
            <w:r>
              <w:rPr>
                <w:spacing w:val="99"/>
                <w:position w:val="2"/>
                <w:sz w:val="28"/>
                <w:szCs w:val="28"/>
              </w:rPr>
              <w:t xml:space="preserve"> </w:t>
            </w:r>
            <w:r>
              <w:rPr>
                <w:spacing w:val="-3"/>
                <w:position w:val="-1"/>
                <w:sz w:val="28"/>
                <w:szCs w:val="28"/>
                <w:u w:val="single" w:color="auto"/>
              </w:rPr>
              <w:t xml:space="preserve">     (申报医院联系人，姓名-</w:t>
            </w:r>
            <w:r>
              <w:rPr>
                <w:spacing w:val="-4"/>
                <w:position w:val="-1"/>
                <w:sz w:val="28"/>
                <w:szCs w:val="28"/>
                <w:u w:val="single" w:color="auto"/>
              </w:rPr>
              <w:t xml:space="preserve">联系方式)   </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92" w:line="408" w:lineRule="auto"/>
              <w:ind w:left="134"/>
              <w:rPr>
                <w:sz w:val="28"/>
                <w:szCs w:val="28"/>
              </w:rPr>
            </w:pPr>
            <w:r>
              <w:rPr>
                <w:spacing w:val="-19"/>
                <w:position w:val="1"/>
                <w:sz w:val="28"/>
                <w:szCs w:val="28"/>
              </w:rPr>
              <w:t>其他需要说明的事项：</w:t>
            </w:r>
            <w:r>
              <w:rPr>
                <w:spacing w:val="33"/>
                <w:position w:val="1"/>
                <w:sz w:val="28"/>
                <w:szCs w:val="28"/>
              </w:rPr>
              <w:t xml:space="preserve">   </w:t>
            </w:r>
            <w:r>
              <w:rPr>
                <w:spacing w:val="-19"/>
                <w:sz w:val="28"/>
                <w:szCs w:val="28"/>
                <w:u w:val="single" w:color="auto"/>
              </w:rPr>
              <w:t xml:space="preserve">    (选填。医疗机构认为有必要说明的，与新</w:t>
            </w:r>
          </w:p>
          <w:p>
            <w:pPr>
              <w:pStyle w:val="6"/>
              <w:spacing w:before="1" w:line="217" w:lineRule="auto"/>
              <w:ind w:left="105"/>
              <w:rPr>
                <w:sz w:val="28"/>
                <w:szCs w:val="28"/>
              </w:rPr>
            </w:pPr>
            <w:r>
              <w:rPr>
                <w:spacing w:val="3"/>
                <w:sz w:val="28"/>
                <w:szCs w:val="28"/>
                <w:u w:val="single" w:color="auto"/>
              </w:rPr>
              <w:t>增该价格项目相关的其他背景信息)</w:t>
            </w:r>
          </w:p>
        </w:tc>
      </w:tr>
    </w:tbl>
    <w:p>
      <w:pPr>
        <w:pStyle w:val="2"/>
      </w:pPr>
    </w:p>
    <w:p>
      <w:pPr>
        <w:sectPr>
          <w:footerReference r:id="rId20" w:type="default"/>
          <w:pgSz w:w="11830" w:h="16700"/>
          <w:pgMar w:top="1215" w:right="540" w:bottom="1027" w:left="1405" w:header="0" w:footer="889" w:gutter="0"/>
          <w:cols w:space="720" w:num="1"/>
        </w:sectPr>
      </w:pPr>
    </w:p>
    <w:tbl>
      <w:tblPr>
        <w:tblStyle w:val="5"/>
        <w:tblW w:w="8714"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71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89" w:hRule="atLeast"/>
        </w:trPr>
        <w:tc>
          <w:tcPr>
            <w:tcW w:w="8714" w:type="dxa"/>
            <w:vAlign w:val="top"/>
          </w:tcPr>
          <w:p>
            <w:pPr>
              <w:pStyle w:val="6"/>
              <w:spacing w:before="253" w:line="219" w:lineRule="auto"/>
              <w:ind w:left="149"/>
              <w:outlineLvl w:val="6"/>
              <w:rPr>
                <w:sz w:val="31"/>
                <w:szCs w:val="31"/>
              </w:rPr>
            </w:pPr>
            <w:r>
              <w:pict>
                <v:rect id="_x0000_s1028" o:spid="_x0000_s1028" o:spt="1" style="position:absolute;left:0pt;margin-left:497pt;margin-top:148.35pt;height:0.8pt;width:39.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r>
              <w:pict>
                <v:rect id="_x0000_s1029" o:spid="_x0000_s1029" o:spt="1" style="position:absolute;left:0pt;margin-left:421.95pt;margin-top:600.35pt;height:0.8pt;width:147.5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r>
              <w:pict>
                <v:rect id="_x0000_s1030" o:spid="_x0000_s1030" o:spt="1" style="position:absolute;left:0pt;margin-left:501pt;margin-top:691.35pt;height:0.8pt;width:30pt;mso-position-horizontal-relative:page;mso-position-vertical-relative:page;z-index:251663360;mso-width-relative:page;mso-height-relative:page;" fillcolor="#000000" filled="t" stroked="f" coordsize="21600,21600" o:allowincell="f">
                  <v:path/>
                  <v:fill on="t" focussize="0,0"/>
                  <v:stroke on="f"/>
                  <v:imagedata o:title=""/>
                  <o:lock v:ext="edit"/>
                </v:rect>
              </w:pict>
            </w:r>
            <w:r>
              <w:rPr>
                <w:b/>
                <w:bCs/>
                <w:spacing w:val="-2"/>
                <w:sz w:val="31"/>
                <w:szCs w:val="31"/>
              </w:rPr>
              <w:t>1.合规性信息</w:t>
            </w:r>
          </w:p>
          <w:p>
            <w:pPr>
              <w:pStyle w:val="6"/>
              <w:spacing w:before="246" w:line="219" w:lineRule="auto"/>
              <w:ind w:left="814"/>
              <w:rPr>
                <w:sz w:val="31"/>
                <w:szCs w:val="31"/>
              </w:rPr>
            </w:pPr>
            <w:r>
              <w:rPr>
                <w:sz w:val="31"/>
                <w:szCs w:val="31"/>
              </w:rPr>
              <w:t>□列入卫生健康部门限制类技术目录</w:t>
            </w:r>
          </w:p>
          <w:p>
            <w:pPr>
              <w:pStyle w:val="6"/>
              <w:tabs>
                <w:tab w:val="left" w:pos="941"/>
              </w:tabs>
              <w:spacing w:before="277" w:line="219" w:lineRule="auto"/>
              <w:ind w:left="655"/>
              <w:rPr>
                <w:sz w:val="31"/>
                <w:szCs w:val="31"/>
              </w:rPr>
            </w:pPr>
            <w:r>
              <w:rPr>
                <w:sz w:val="31"/>
                <w:szCs w:val="31"/>
                <w:u w:val="single" w:color="auto"/>
              </w:rPr>
              <w:tab/>
            </w:r>
            <w:r>
              <w:rPr>
                <w:spacing w:val="-86"/>
                <w:sz w:val="31"/>
                <w:szCs w:val="31"/>
                <w:u w:val="single" w:color="auto"/>
              </w:rPr>
              <w:t xml:space="preserve"> </w:t>
            </w:r>
            <w:r>
              <w:rPr>
                <w:b/>
                <w:bCs/>
                <w:spacing w:val="-1"/>
                <w:sz w:val="31"/>
                <w:szCs w:val="31"/>
                <w:u w:val="single" w:color="auto"/>
              </w:rPr>
              <w:t>(注：列入目录的请注明文件名称等具体出处。下同。)</w:t>
            </w:r>
          </w:p>
          <w:p>
            <w:pPr>
              <w:pStyle w:val="6"/>
              <w:spacing w:before="184" w:line="219" w:lineRule="auto"/>
              <w:ind w:left="814"/>
              <w:rPr>
                <w:sz w:val="31"/>
                <w:szCs w:val="31"/>
              </w:rPr>
            </w:pPr>
            <w:r>
              <w:rPr>
                <w:spacing w:val="1"/>
                <w:sz w:val="31"/>
                <w:szCs w:val="31"/>
              </w:rPr>
              <w:t>□列入卫生健康部门已发布技术规范</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102" w:line="219" w:lineRule="auto"/>
              <w:ind w:left="814"/>
              <w:rPr>
                <w:sz w:val="31"/>
                <w:szCs w:val="31"/>
              </w:rPr>
            </w:pPr>
            <w:r>
              <w:rPr>
                <w:spacing w:val="1"/>
                <w:sz w:val="31"/>
                <w:szCs w:val="31"/>
              </w:rPr>
              <w:t>□列入正式发表的临床指南或专家共识</w:t>
            </w: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101" w:line="219" w:lineRule="auto"/>
              <w:ind w:left="814"/>
              <w:rPr>
                <w:sz w:val="31"/>
                <w:szCs w:val="31"/>
              </w:rPr>
            </w:pPr>
            <w:r>
              <w:rPr>
                <w:sz w:val="31"/>
                <w:szCs w:val="31"/>
              </w:rPr>
              <w:t>□列入中央或本省的行政事业性收费目录清单</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101" w:line="219" w:lineRule="auto"/>
              <w:ind w:left="814"/>
              <w:rPr>
                <w:sz w:val="31"/>
                <w:szCs w:val="31"/>
              </w:rPr>
            </w:pPr>
            <w:r>
              <w:rPr>
                <w:spacing w:val="3"/>
                <w:sz w:val="31"/>
                <w:szCs w:val="31"/>
              </w:rPr>
              <w:t>□列入中央或本省的公共卫生服务项目</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101" w:line="219" w:lineRule="auto"/>
              <w:ind w:left="814"/>
              <w:rPr>
                <w:sz w:val="31"/>
                <w:szCs w:val="31"/>
              </w:rPr>
            </w:pPr>
            <w:r>
              <w:rPr>
                <w:spacing w:val="3"/>
                <w:sz w:val="31"/>
                <w:szCs w:val="31"/>
              </w:rPr>
              <w:t>□属于法定的经营服务性收费项目</w:t>
            </w: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101" w:line="219" w:lineRule="auto"/>
              <w:ind w:left="119"/>
              <w:outlineLvl w:val="6"/>
              <w:rPr>
                <w:sz w:val="31"/>
                <w:szCs w:val="31"/>
              </w:rPr>
            </w:pPr>
            <w:r>
              <w:rPr>
                <w:b/>
                <w:bCs/>
                <w:spacing w:val="-2"/>
                <w:sz w:val="31"/>
                <w:szCs w:val="31"/>
              </w:rPr>
              <w:t>2.创新性信息</w:t>
            </w:r>
          </w:p>
          <w:p>
            <w:pPr>
              <w:pStyle w:val="6"/>
              <w:spacing w:before="243" w:line="218" w:lineRule="auto"/>
              <w:ind w:left="814"/>
              <w:rPr>
                <w:sz w:val="31"/>
                <w:szCs w:val="31"/>
              </w:rPr>
            </w:pPr>
            <w:r>
              <w:rPr>
                <w:spacing w:val="3"/>
                <w:sz w:val="31"/>
                <w:szCs w:val="31"/>
              </w:rPr>
              <w:t>□新设立价格项目(原国家价格项目规范未收录)</w:t>
            </w:r>
          </w:p>
          <w:p>
            <w:pPr>
              <w:pStyle w:val="6"/>
              <w:spacing w:before="234" w:line="218" w:lineRule="auto"/>
              <w:ind w:left="814"/>
              <w:rPr>
                <w:sz w:val="31"/>
                <w:szCs w:val="31"/>
              </w:rPr>
            </w:pPr>
            <w:r>
              <w:rPr>
                <w:spacing w:val="3"/>
                <w:sz w:val="31"/>
                <w:szCs w:val="31"/>
              </w:rPr>
              <w:t>□新开展价格项目(原国家价格项目规范已收录)</w:t>
            </w:r>
          </w:p>
          <w:p>
            <w:pPr>
              <w:pStyle w:val="6"/>
              <w:tabs>
                <w:tab w:val="left" w:pos="1611"/>
              </w:tabs>
              <w:spacing w:before="271" w:line="219" w:lineRule="auto"/>
              <w:ind w:left="484"/>
              <w:rPr>
                <w:sz w:val="31"/>
                <w:szCs w:val="31"/>
              </w:rPr>
            </w:pPr>
            <w:r>
              <w:rPr>
                <w:sz w:val="31"/>
                <w:szCs w:val="31"/>
                <w:u w:val="single" w:color="auto"/>
              </w:rPr>
              <w:tab/>
            </w:r>
            <w:r>
              <w:rPr>
                <w:spacing w:val="-88"/>
                <w:sz w:val="31"/>
                <w:szCs w:val="31"/>
                <w:u w:val="single" w:color="auto"/>
              </w:rPr>
              <w:t xml:space="preserve"> </w:t>
            </w:r>
            <w:r>
              <w:rPr>
                <w:b/>
                <w:bCs/>
                <w:sz w:val="31"/>
                <w:szCs w:val="31"/>
                <w:u w:val="single" w:color="auto"/>
              </w:rPr>
              <w:t>(规范已收录的请注明版本和项目编号)</w:t>
            </w:r>
          </w:p>
          <w:p>
            <w:pPr>
              <w:pStyle w:val="6"/>
              <w:spacing w:before="226" w:line="218" w:lineRule="auto"/>
              <w:ind w:left="814"/>
              <w:rPr>
                <w:sz w:val="31"/>
                <w:szCs w:val="31"/>
              </w:rPr>
            </w:pPr>
            <w:r>
              <w:rPr>
                <w:spacing w:val="4"/>
                <w:sz w:val="31"/>
                <w:szCs w:val="31"/>
              </w:rPr>
              <w:t>□尚无其他省份设立该价格项目</w:t>
            </w:r>
          </w:p>
          <w:p>
            <w:pPr>
              <w:pStyle w:val="6"/>
              <w:spacing w:before="234" w:line="218" w:lineRule="auto"/>
              <w:ind w:left="814"/>
              <w:rPr>
                <w:sz w:val="31"/>
                <w:szCs w:val="31"/>
              </w:rPr>
            </w:pPr>
            <w:r>
              <w:rPr>
                <w:spacing w:val="4"/>
                <w:sz w:val="31"/>
                <w:szCs w:val="31"/>
              </w:rPr>
              <w:t>□已有其他省份设立该价格项目</w:t>
            </w:r>
          </w:p>
          <w:p>
            <w:pPr>
              <w:pStyle w:val="6"/>
              <w:tabs>
                <w:tab w:val="left" w:pos="1510"/>
              </w:tabs>
              <w:spacing w:before="264" w:line="218" w:lineRule="auto"/>
              <w:ind w:left="634"/>
              <w:rPr>
                <w:sz w:val="31"/>
                <w:szCs w:val="31"/>
              </w:rPr>
            </w:pPr>
            <w:r>
              <w:rPr>
                <w:sz w:val="31"/>
                <w:szCs w:val="31"/>
                <w:u w:val="single" w:color="auto"/>
              </w:rPr>
              <w:tab/>
            </w:r>
            <w:r>
              <w:rPr>
                <w:spacing w:val="-91"/>
                <w:sz w:val="31"/>
                <w:szCs w:val="31"/>
                <w:u w:val="single" w:color="auto"/>
              </w:rPr>
              <w:t xml:space="preserve"> </w:t>
            </w:r>
            <w:r>
              <w:rPr>
                <w:spacing w:val="-26"/>
                <w:sz w:val="31"/>
                <w:szCs w:val="31"/>
                <w:u w:val="single" w:color="auto"/>
              </w:rPr>
              <w:t>(其他省份已设立该项目的，请注明省份、</w:t>
            </w:r>
            <w:r>
              <w:rPr>
                <w:spacing w:val="-27"/>
                <w:sz w:val="31"/>
                <w:szCs w:val="31"/>
                <w:u w:val="single" w:color="auto"/>
              </w:rPr>
              <w:t>文号和价格。</w:t>
            </w:r>
            <w:r>
              <w:rPr>
                <w:sz w:val="31"/>
                <w:szCs w:val="31"/>
                <w:u w:val="single" w:color="auto"/>
              </w:rPr>
              <w:t xml:space="preserve">  </w:t>
            </w:r>
          </w:p>
        </w:tc>
      </w:tr>
    </w:tbl>
    <w:p>
      <w:pPr>
        <w:pStyle w:val="2"/>
      </w:pPr>
    </w:p>
    <w:p>
      <w:pPr>
        <w:sectPr>
          <w:footerReference r:id="rId21" w:type="default"/>
          <w:pgSz w:w="11820" w:h="16750"/>
          <w:pgMar w:top="1115" w:right="430" w:bottom="1078" w:left="1485" w:header="0" w:footer="939" w:gutter="0"/>
          <w:cols w:space="720" w:num="1"/>
        </w:sectPr>
      </w:pPr>
    </w:p>
    <w:tbl>
      <w:tblPr>
        <w:tblStyle w:val="5"/>
        <w:tblW w:w="85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8559" w:type="dxa"/>
            <w:vAlign w:val="top"/>
          </w:tcPr>
          <w:p>
            <w:pPr>
              <w:pStyle w:val="6"/>
              <w:spacing w:before="222" w:line="219" w:lineRule="auto"/>
              <w:ind w:left="758"/>
              <w:rPr>
                <w:sz w:val="27"/>
                <w:szCs w:val="27"/>
              </w:rPr>
            </w:pPr>
            <w:r>
              <w:rPr>
                <w:b/>
                <w:bCs/>
                <w:spacing w:val="-5"/>
                <w:sz w:val="27"/>
                <w:szCs w:val="27"/>
              </w:rPr>
              <w:t>2.1项目操作过程</w:t>
            </w:r>
          </w:p>
          <w:p>
            <w:pPr>
              <w:spacing w:line="262" w:lineRule="auto"/>
              <w:rPr>
                <w:rFonts w:ascii="Arial"/>
                <w:sz w:val="21"/>
              </w:rPr>
            </w:pPr>
          </w:p>
          <w:p>
            <w:pPr>
              <w:pStyle w:val="6"/>
              <w:tabs>
                <w:tab w:val="left" w:pos="1268"/>
              </w:tabs>
              <w:spacing w:before="88" w:line="415" w:lineRule="auto"/>
              <w:ind w:left="734"/>
              <w:rPr>
                <w:sz w:val="27"/>
                <w:szCs w:val="27"/>
              </w:rPr>
            </w:pPr>
            <w:r>
              <w:rPr>
                <w:sz w:val="27"/>
                <w:szCs w:val="27"/>
                <w:u w:val="single" w:color="auto"/>
              </w:rPr>
              <w:tab/>
            </w:r>
            <w:r>
              <w:rPr>
                <w:spacing w:val="-80"/>
                <w:sz w:val="27"/>
                <w:szCs w:val="27"/>
                <w:u w:val="single" w:color="auto"/>
              </w:rPr>
              <w:t xml:space="preserve"> </w:t>
            </w:r>
            <w:r>
              <w:rPr>
                <w:spacing w:val="-17"/>
                <w:sz w:val="27"/>
                <w:szCs w:val="27"/>
                <w:u w:val="single" w:color="auto"/>
              </w:rPr>
              <w:t>(国家或</w:t>
            </w:r>
            <w:r>
              <w:rPr>
                <w:spacing w:val="-16"/>
                <w:sz w:val="27"/>
                <w:szCs w:val="27"/>
                <w:u w:val="single" w:color="auto"/>
              </w:rPr>
              <w:t>省级卫生健康主管部门已发布技术规范的</w:t>
            </w:r>
            <w:r>
              <w:rPr>
                <w:spacing w:val="-17"/>
                <w:sz w:val="27"/>
                <w:szCs w:val="27"/>
                <w:u w:val="single" w:color="auto"/>
              </w:rPr>
              <w:t>，按技术规范</w:t>
            </w:r>
            <w:r>
              <w:rPr>
                <w:spacing w:val="-13"/>
                <w:sz w:val="27"/>
                <w:szCs w:val="27"/>
                <w:u w:val="single" w:color="auto"/>
              </w:rPr>
              <w:t>表</w:t>
            </w:r>
          </w:p>
          <w:p>
            <w:pPr>
              <w:pStyle w:val="6"/>
              <w:spacing w:line="180" w:lineRule="auto"/>
              <w:jc w:val="right"/>
              <w:rPr>
                <w:sz w:val="27"/>
                <w:szCs w:val="27"/>
              </w:rPr>
            </w:pPr>
            <w:r>
              <w:rPr>
                <w:spacing w:val="-30"/>
                <w:sz w:val="27"/>
                <w:szCs w:val="27"/>
              </w:rPr>
              <w:t>述；未发布技术规范，已发表临床指南或</w:t>
            </w:r>
            <w:r>
              <w:rPr>
                <w:spacing w:val="-29"/>
                <w:sz w:val="27"/>
                <w:szCs w:val="27"/>
              </w:rPr>
              <w:t>专家共</w:t>
            </w:r>
            <w:r>
              <w:rPr>
                <w:spacing w:val="-30"/>
                <w:sz w:val="27"/>
                <w:szCs w:val="27"/>
              </w:rPr>
              <w:t>识的，按其表述；以上均不符</w:t>
            </w:r>
            <w:r>
              <w:rPr>
                <w:spacing w:val="-12"/>
                <w:sz w:val="27"/>
                <w:szCs w:val="27"/>
              </w:rPr>
              <w:t>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9" w:hRule="atLeast"/>
        </w:trPr>
        <w:tc>
          <w:tcPr>
            <w:tcW w:w="8559" w:type="dxa"/>
            <w:vAlign w:val="top"/>
          </w:tcPr>
          <w:p>
            <w:pPr>
              <w:pStyle w:val="6"/>
              <w:spacing w:before="308" w:line="219" w:lineRule="auto"/>
              <w:ind w:left="114"/>
              <w:rPr>
                <w:sz w:val="27"/>
                <w:szCs w:val="27"/>
              </w:rPr>
            </w:pPr>
            <w:r>
              <w:rPr>
                <w:spacing w:val="2"/>
                <w:sz w:val="27"/>
                <w:szCs w:val="27"/>
                <w:u w:val="single" w:color="auto"/>
              </w:rPr>
              <w:t xml:space="preserve">的，由提交项目的医疗机构按照临床实践拟定表述)   </w:t>
            </w:r>
          </w:p>
          <w:p>
            <w:pPr>
              <w:pStyle w:val="6"/>
              <w:spacing w:before="237" w:line="219" w:lineRule="auto"/>
              <w:ind w:left="778"/>
              <w:rPr>
                <w:sz w:val="27"/>
                <w:szCs w:val="27"/>
              </w:rPr>
            </w:pPr>
            <w:r>
              <w:rPr>
                <w:b/>
                <w:bCs/>
                <w:spacing w:val="-1"/>
                <w:sz w:val="27"/>
                <w:szCs w:val="27"/>
              </w:rPr>
              <w:t>2.2项目功能产出</w:t>
            </w:r>
          </w:p>
          <w:p>
            <w:pPr>
              <w:spacing w:line="264" w:lineRule="auto"/>
              <w:rPr>
                <w:rFonts w:ascii="Arial"/>
                <w:sz w:val="21"/>
              </w:rPr>
            </w:pPr>
          </w:p>
          <w:p>
            <w:pPr>
              <w:pStyle w:val="6"/>
              <w:tabs>
                <w:tab w:val="left" w:pos="1041"/>
              </w:tabs>
              <w:spacing w:before="87" w:line="407" w:lineRule="auto"/>
              <w:ind w:left="734"/>
              <w:rPr>
                <w:sz w:val="27"/>
                <w:szCs w:val="27"/>
              </w:rPr>
            </w:pPr>
            <w:r>
              <w:rPr>
                <w:sz w:val="27"/>
                <w:szCs w:val="27"/>
                <w:u w:val="single" w:color="auto"/>
              </w:rPr>
              <w:tab/>
            </w:r>
            <w:r>
              <w:rPr>
                <w:spacing w:val="-79"/>
                <w:sz w:val="27"/>
                <w:szCs w:val="27"/>
                <w:u w:val="single" w:color="auto"/>
              </w:rPr>
              <w:t xml:space="preserve"> </w:t>
            </w:r>
            <w:r>
              <w:rPr>
                <w:spacing w:val="-34"/>
                <w:sz w:val="27"/>
                <w:szCs w:val="27"/>
                <w:u w:val="single" w:color="auto"/>
              </w:rPr>
              <w:t>(项目的工作原理、主要作用、预期</w:t>
            </w:r>
            <w:r>
              <w:rPr>
                <w:spacing w:val="-33"/>
                <w:sz w:val="27"/>
                <w:szCs w:val="27"/>
                <w:u w:val="single" w:color="auto"/>
              </w:rPr>
              <w:t>效果、适用范围等，表述要求同“</w:t>
            </w:r>
            <w:r>
              <w:rPr>
                <w:spacing w:val="-17"/>
                <w:sz w:val="27"/>
                <w:szCs w:val="27"/>
                <w:u w:val="single" w:color="auto"/>
              </w:rPr>
              <w:t>项</w:t>
            </w:r>
          </w:p>
          <w:p>
            <w:pPr>
              <w:pStyle w:val="6"/>
              <w:spacing w:line="180" w:lineRule="auto"/>
              <w:jc w:val="right"/>
              <w:rPr>
                <w:sz w:val="27"/>
                <w:szCs w:val="27"/>
              </w:rPr>
            </w:pPr>
            <w:r>
              <w:rPr>
                <w:spacing w:val="-31"/>
                <w:sz w:val="27"/>
                <w:szCs w:val="27"/>
              </w:rPr>
              <w:t>目操作过程”一栏；其中项目涉及</w:t>
            </w:r>
            <w:r>
              <w:rPr>
                <w:spacing w:val="-30"/>
                <w:sz w:val="27"/>
                <w:szCs w:val="27"/>
              </w:rPr>
              <w:t>到医疗器械的“适用范围”还应根据市场监</w:t>
            </w:r>
            <w:r>
              <w:rPr>
                <w:spacing w:val="-15"/>
                <w:sz w:val="27"/>
                <w:szCs w:val="27"/>
              </w:rPr>
              <w:t>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4" w:hRule="atLeast"/>
        </w:trPr>
        <w:tc>
          <w:tcPr>
            <w:tcW w:w="8559" w:type="dxa"/>
            <w:vAlign w:val="top"/>
          </w:tcPr>
          <w:p>
            <w:pPr>
              <w:spacing w:line="271" w:lineRule="auto"/>
              <w:rPr>
                <w:rFonts w:ascii="Arial"/>
                <w:sz w:val="21"/>
              </w:rPr>
            </w:pPr>
          </w:p>
          <w:p>
            <w:pPr>
              <w:pStyle w:val="6"/>
              <w:spacing w:before="88" w:line="219" w:lineRule="auto"/>
              <w:ind w:left="134"/>
              <w:rPr>
                <w:sz w:val="27"/>
                <w:szCs w:val="27"/>
              </w:rPr>
            </w:pPr>
            <w:r>
              <w:rPr>
                <w:spacing w:val="3"/>
                <w:sz w:val="27"/>
                <w:szCs w:val="27"/>
                <w:u w:val="single" w:color="auto"/>
              </w:rPr>
              <w:t>部门批件上的“适用范围”填写)</w:t>
            </w:r>
            <w:r>
              <w:rPr>
                <w:spacing w:val="4"/>
                <w:sz w:val="27"/>
                <w:szCs w:val="27"/>
                <w:u w:val="single" w:color="auto"/>
              </w:rPr>
              <w:t xml:space="preserve">  </w:t>
            </w:r>
          </w:p>
          <w:p>
            <w:pPr>
              <w:pStyle w:val="6"/>
              <w:spacing w:before="175" w:line="219" w:lineRule="auto"/>
              <w:ind w:left="758"/>
              <w:rPr>
                <w:sz w:val="27"/>
                <w:szCs w:val="27"/>
              </w:rPr>
            </w:pPr>
            <w:r>
              <w:rPr>
                <w:b/>
                <w:bCs/>
                <w:spacing w:val="-5"/>
                <w:sz w:val="27"/>
                <w:szCs w:val="27"/>
              </w:rPr>
              <w:t>2.3同类项目比较</w:t>
            </w:r>
          </w:p>
          <w:p>
            <w:pPr>
              <w:pStyle w:val="6"/>
              <w:spacing w:before="311" w:line="218" w:lineRule="auto"/>
              <w:ind w:left="814"/>
              <w:rPr>
                <w:sz w:val="27"/>
                <w:szCs w:val="27"/>
              </w:rPr>
            </w:pPr>
            <w:r>
              <w:rPr>
                <w:spacing w:val="1"/>
                <w:sz w:val="27"/>
                <w:szCs w:val="27"/>
              </w:rPr>
              <w:t>□尚无功能产出类似的价格项目，填补临床空白</w:t>
            </w:r>
          </w:p>
          <w:p>
            <w:pPr>
              <w:pStyle w:val="6"/>
              <w:spacing w:before="281" w:line="218" w:lineRule="auto"/>
              <w:ind w:left="825"/>
              <w:rPr>
                <w:sz w:val="27"/>
                <w:szCs w:val="27"/>
              </w:rPr>
            </w:pPr>
            <w:r>
              <w:rPr>
                <w:sz w:val="27"/>
                <w:szCs w:val="27"/>
              </w:rPr>
              <w:t>□已存在功能产出类似的价格项目，属于技术改良创新</w:t>
            </w:r>
          </w:p>
          <w:p>
            <w:pPr>
              <w:pStyle w:val="6"/>
              <w:spacing w:before="279" w:line="223" w:lineRule="auto"/>
              <w:ind w:left="1124"/>
              <w:rPr>
                <w:sz w:val="27"/>
                <w:szCs w:val="27"/>
              </w:rPr>
            </w:pPr>
            <w:r>
              <w:rPr>
                <w:position w:val="1"/>
                <w:sz w:val="27"/>
                <w:szCs w:val="27"/>
              </w:rPr>
              <w:t>同类项目①:</w:t>
            </w:r>
            <w:r>
              <w:rPr>
                <w:spacing w:val="42"/>
                <w:position w:val="1"/>
                <w:sz w:val="27"/>
                <w:szCs w:val="27"/>
              </w:rPr>
              <w:t xml:space="preserve">  </w:t>
            </w:r>
            <w:r>
              <w:rPr>
                <w:spacing w:val="55"/>
                <w:sz w:val="27"/>
                <w:szCs w:val="27"/>
                <w:u w:val="single" w:color="auto"/>
              </w:rPr>
              <w:t xml:space="preserve">  </w:t>
            </w:r>
            <w:r>
              <w:rPr>
                <w:sz w:val="27"/>
                <w:szCs w:val="27"/>
                <w:u w:val="single" w:color="auto"/>
              </w:rPr>
              <w:t xml:space="preserve">(项目名称)  </w:t>
            </w:r>
            <w:r>
              <w:rPr>
                <w:sz w:val="27"/>
                <w:szCs w:val="27"/>
              </w:rPr>
              <w:t xml:space="preserve">, </w:t>
            </w:r>
            <w:r>
              <w:rPr>
                <w:spacing w:val="59"/>
                <w:sz w:val="27"/>
                <w:szCs w:val="27"/>
                <w:u w:val="single" w:color="auto"/>
              </w:rPr>
              <w:t xml:space="preserve"> </w:t>
            </w:r>
            <w:r>
              <w:rPr>
                <w:sz w:val="27"/>
                <w:szCs w:val="27"/>
                <w:u w:val="single" w:color="auto"/>
              </w:rPr>
              <w:t>(应用历史，简</w:t>
            </w:r>
            <w:r>
              <w:rPr>
                <w:spacing w:val="-1"/>
                <w:sz w:val="27"/>
                <w:szCs w:val="27"/>
                <w:u w:val="single" w:color="auto"/>
              </w:rPr>
              <w:t>述时间长</w:t>
            </w:r>
          </w:p>
          <w:p>
            <w:pPr>
              <w:pStyle w:val="6"/>
              <w:spacing w:before="313" w:line="400" w:lineRule="auto"/>
              <w:ind w:left="133" w:hanging="19"/>
              <w:rPr>
                <w:sz w:val="27"/>
                <w:szCs w:val="27"/>
              </w:rPr>
            </w:pPr>
            <w:r>
              <w:rPr>
                <w:spacing w:val="-3"/>
                <w:sz w:val="27"/>
                <w:szCs w:val="27"/>
                <w:u w:val="single" w:color="auto"/>
              </w:rPr>
              <w:t>短，普及程度等)</w:t>
            </w:r>
            <w:r>
              <w:rPr>
                <w:spacing w:val="-3"/>
                <w:sz w:val="27"/>
                <w:szCs w:val="27"/>
              </w:rPr>
              <w:t>,</w:t>
            </w:r>
            <w:r>
              <w:rPr>
                <w:spacing w:val="-3"/>
                <w:sz w:val="27"/>
                <w:szCs w:val="27"/>
                <w:u w:val="single" w:color="auto"/>
              </w:rPr>
              <w:t>(平均价格)</w:t>
            </w:r>
            <w:r>
              <w:rPr>
                <w:spacing w:val="-3"/>
                <w:sz w:val="27"/>
                <w:szCs w:val="27"/>
              </w:rPr>
              <w:t xml:space="preserve">, </w:t>
            </w:r>
            <w:r>
              <w:rPr>
                <w:spacing w:val="45"/>
                <w:sz w:val="27"/>
                <w:szCs w:val="27"/>
                <w:u w:val="single" w:color="auto"/>
              </w:rPr>
              <w:t xml:space="preserve">  </w:t>
            </w:r>
            <w:r>
              <w:rPr>
                <w:spacing w:val="-3"/>
                <w:sz w:val="27"/>
                <w:szCs w:val="27"/>
                <w:u w:val="single" w:color="auto"/>
              </w:rPr>
              <w:t>(现有项目和拟新增项目替代关系、</w:t>
            </w:r>
            <w:r>
              <w:rPr>
                <w:spacing w:val="39"/>
                <w:sz w:val="27"/>
                <w:szCs w:val="27"/>
                <w:u w:val="single" w:color="auto"/>
              </w:rPr>
              <w:t xml:space="preserve"> </w:t>
            </w:r>
            <w:r>
              <w:rPr>
                <w:sz w:val="27"/>
                <w:szCs w:val="27"/>
              </w:rPr>
              <w:t xml:space="preserve"> </w:t>
            </w:r>
            <w:r>
              <w:rPr>
                <w:position w:val="-2"/>
                <w:sz w:val="27"/>
                <w:szCs w:val="27"/>
                <w:u w:val="single" w:color="auto"/>
              </w:rPr>
              <w:t>临床实践优先关系的专家共识)</w:t>
            </w:r>
            <w:r>
              <w:rPr>
                <w:spacing w:val="56"/>
                <w:position w:val="-2"/>
                <w:sz w:val="27"/>
                <w:szCs w:val="27"/>
                <w:u w:val="single" w:color="auto"/>
              </w:rPr>
              <w:t xml:space="preserve"> </w:t>
            </w:r>
            <w:r>
              <w:rPr>
                <w:position w:val="2"/>
                <w:sz w:val="27"/>
                <w:szCs w:val="27"/>
                <w:u w:val="double" w:color="auto"/>
              </w:rPr>
              <w:t>,(拟新增</w:t>
            </w:r>
            <w:r>
              <w:rPr>
                <w:spacing w:val="-1"/>
                <w:position w:val="2"/>
                <w:sz w:val="27"/>
                <w:szCs w:val="27"/>
                <w:u w:val="double" w:color="auto"/>
              </w:rPr>
              <w:t>价格项目有文献数据支持的临</w:t>
            </w:r>
          </w:p>
          <w:p>
            <w:pPr>
              <w:pStyle w:val="6"/>
              <w:spacing w:before="1" w:line="216" w:lineRule="auto"/>
              <w:ind w:left="134"/>
              <w:rPr>
                <w:sz w:val="27"/>
                <w:szCs w:val="27"/>
              </w:rPr>
            </w:pPr>
            <w:r>
              <w:rPr>
                <w:spacing w:val="3"/>
                <w:sz w:val="27"/>
                <w:szCs w:val="27"/>
                <w:u w:val="single" w:color="auto"/>
              </w:rPr>
              <w:t>床优势)</w:t>
            </w:r>
            <w:r>
              <w:rPr>
                <w:spacing w:val="151"/>
                <w:sz w:val="27"/>
                <w:szCs w:val="27"/>
                <w:u w:val="single" w:color="auto"/>
              </w:rPr>
              <w:t xml:space="preserve"> </w:t>
            </w:r>
            <w:r>
              <w:rPr>
                <w:spacing w:val="-132"/>
                <w:sz w:val="27"/>
                <w:szCs w:val="27"/>
              </w:rPr>
              <w:t xml:space="preserve"> </w:t>
            </w:r>
            <w:r>
              <w:rPr>
                <w:spacing w:val="3"/>
                <w:sz w:val="27"/>
                <w:szCs w:val="27"/>
              </w:rPr>
              <w:t>,</w:t>
            </w:r>
            <w:r>
              <w:rPr>
                <w:spacing w:val="3"/>
                <w:sz w:val="27"/>
                <w:szCs w:val="27"/>
                <w:u w:val="single" w:color="auto"/>
              </w:rPr>
              <w:t>(拟新增价格项目量化的经济性优势)  .</w:t>
            </w:r>
          </w:p>
          <w:p>
            <w:pPr>
              <w:pStyle w:val="6"/>
              <w:spacing w:before="226" w:line="405" w:lineRule="auto"/>
              <w:ind w:left="134" w:firstLine="899"/>
              <w:rPr>
                <w:sz w:val="27"/>
                <w:szCs w:val="27"/>
              </w:rPr>
            </w:pPr>
            <w:r>
              <w:rPr>
                <w:spacing w:val="-8"/>
                <w:position w:val="4"/>
                <w:sz w:val="27"/>
                <w:szCs w:val="27"/>
              </w:rPr>
              <w:t>同类项目②:</w:t>
            </w:r>
            <w:r>
              <w:rPr>
                <w:spacing w:val="26"/>
                <w:position w:val="4"/>
                <w:sz w:val="27"/>
                <w:szCs w:val="27"/>
              </w:rPr>
              <w:t xml:space="preserve">    </w:t>
            </w:r>
            <w:r>
              <w:rPr>
                <w:spacing w:val="-77"/>
                <w:position w:val="-1"/>
                <w:sz w:val="27"/>
                <w:szCs w:val="27"/>
                <w:u w:val="single" w:color="auto"/>
              </w:rPr>
              <w:t xml:space="preserve"> </w:t>
            </w:r>
            <w:r>
              <w:rPr>
                <w:spacing w:val="-8"/>
                <w:position w:val="-1"/>
                <w:sz w:val="27"/>
                <w:szCs w:val="27"/>
                <w:u w:val="single" w:color="auto"/>
              </w:rPr>
              <w:t xml:space="preserve">(项目名称) </w:t>
            </w:r>
            <w:r>
              <w:rPr>
                <w:spacing w:val="80"/>
                <w:position w:val="-1"/>
                <w:sz w:val="27"/>
                <w:szCs w:val="27"/>
              </w:rPr>
              <w:t xml:space="preserve"> </w:t>
            </w:r>
            <w:r>
              <w:rPr>
                <w:spacing w:val="-114"/>
                <w:position w:val="-1"/>
                <w:sz w:val="27"/>
                <w:szCs w:val="27"/>
                <w:u w:val="single" w:color="auto"/>
              </w:rPr>
              <w:t xml:space="preserve"> </w:t>
            </w:r>
            <w:r>
              <w:rPr>
                <w:spacing w:val="-8"/>
                <w:position w:val="-1"/>
                <w:sz w:val="27"/>
                <w:szCs w:val="27"/>
                <w:u w:val="single" w:color="auto"/>
              </w:rPr>
              <w:t>,(应用历史，简述时间长短，</w:t>
            </w:r>
            <w:r>
              <w:rPr>
                <w:spacing w:val="60"/>
                <w:position w:val="-1"/>
                <w:sz w:val="27"/>
                <w:szCs w:val="27"/>
                <w:u w:val="single" w:color="auto"/>
              </w:rPr>
              <w:t xml:space="preserve"> </w:t>
            </w:r>
            <w:r>
              <w:rPr>
                <w:position w:val="-1"/>
                <w:sz w:val="27"/>
                <w:szCs w:val="27"/>
              </w:rPr>
              <w:t xml:space="preserve">  </w:t>
            </w:r>
            <w:r>
              <w:rPr>
                <w:sz w:val="27"/>
                <w:szCs w:val="27"/>
                <w:u w:val="single" w:color="auto"/>
              </w:rPr>
              <w:t>普及程度等)</w:t>
            </w:r>
            <w:r>
              <w:rPr>
                <w:sz w:val="27"/>
                <w:szCs w:val="27"/>
              </w:rPr>
              <w:t>,</w:t>
            </w:r>
            <w:r>
              <w:rPr>
                <w:sz w:val="27"/>
                <w:szCs w:val="27"/>
                <w:u w:val="single" w:color="auto"/>
              </w:rPr>
              <w:t>(平均价格)</w:t>
            </w:r>
            <w:r>
              <w:rPr>
                <w:sz w:val="27"/>
                <w:szCs w:val="27"/>
              </w:rPr>
              <w:t>,</w:t>
            </w:r>
            <w:r>
              <w:rPr>
                <w:spacing w:val="87"/>
                <w:sz w:val="27"/>
                <w:szCs w:val="27"/>
              </w:rPr>
              <w:t xml:space="preserve"> </w:t>
            </w:r>
            <w:r>
              <w:rPr>
                <w:spacing w:val="-77"/>
                <w:sz w:val="27"/>
                <w:szCs w:val="27"/>
                <w:u w:val="single" w:color="auto"/>
              </w:rPr>
              <w:t xml:space="preserve"> </w:t>
            </w:r>
            <w:r>
              <w:rPr>
                <w:sz w:val="27"/>
                <w:szCs w:val="27"/>
                <w:u w:val="single" w:color="auto"/>
              </w:rPr>
              <w:t>(现有项目和拟新增项目替代关</w:t>
            </w:r>
            <w:r>
              <w:rPr>
                <w:spacing w:val="-1"/>
                <w:sz w:val="27"/>
                <w:szCs w:val="27"/>
                <w:u w:val="single" w:color="auto"/>
              </w:rPr>
              <w:t>系、临床实</w:t>
            </w:r>
            <w:r>
              <w:rPr>
                <w:sz w:val="27"/>
                <w:szCs w:val="27"/>
              </w:rPr>
              <w:t xml:space="preserve"> </w:t>
            </w:r>
            <w:r>
              <w:rPr>
                <w:spacing w:val="-6"/>
                <w:position w:val="-2"/>
                <w:sz w:val="27"/>
                <w:szCs w:val="27"/>
                <w:u w:val="single" w:color="auto"/>
              </w:rPr>
              <w:t>践优先关系的专家共识)</w:t>
            </w:r>
            <w:r>
              <w:rPr>
                <w:spacing w:val="35"/>
                <w:position w:val="-2"/>
                <w:sz w:val="27"/>
                <w:szCs w:val="27"/>
                <w:u w:val="single" w:color="auto"/>
              </w:rPr>
              <w:t xml:space="preserve">  </w:t>
            </w:r>
            <w:r>
              <w:rPr>
                <w:spacing w:val="52"/>
                <w:position w:val="-2"/>
                <w:sz w:val="27"/>
                <w:szCs w:val="27"/>
              </w:rPr>
              <w:t xml:space="preserve">  </w:t>
            </w:r>
            <w:r>
              <w:rPr>
                <w:spacing w:val="-78"/>
                <w:position w:val="1"/>
                <w:sz w:val="27"/>
                <w:szCs w:val="27"/>
                <w:u w:val="single" w:color="auto"/>
              </w:rPr>
              <w:t xml:space="preserve"> </w:t>
            </w:r>
            <w:r>
              <w:rPr>
                <w:spacing w:val="-6"/>
                <w:position w:val="1"/>
                <w:sz w:val="27"/>
                <w:szCs w:val="27"/>
                <w:u w:val="single" w:color="auto"/>
              </w:rPr>
              <w:t>(拟新增价格项目有文献</w:t>
            </w:r>
            <w:r>
              <w:rPr>
                <w:spacing w:val="-7"/>
                <w:position w:val="1"/>
                <w:sz w:val="27"/>
                <w:szCs w:val="27"/>
                <w:u w:val="single" w:color="auto"/>
              </w:rPr>
              <w:t>数据支持的临床优</w:t>
            </w:r>
          </w:p>
          <w:p>
            <w:pPr>
              <w:pStyle w:val="6"/>
              <w:spacing w:before="1" w:line="216" w:lineRule="auto"/>
              <w:ind w:left="114"/>
              <w:rPr>
                <w:sz w:val="27"/>
                <w:szCs w:val="27"/>
              </w:rPr>
            </w:pPr>
            <w:r>
              <w:rPr>
                <w:spacing w:val="-3"/>
                <w:sz w:val="27"/>
                <w:szCs w:val="27"/>
                <w:u w:val="single" w:color="auto"/>
              </w:rPr>
              <w:t xml:space="preserve">势) </w:t>
            </w:r>
            <w:r>
              <w:rPr>
                <w:spacing w:val="95"/>
                <w:sz w:val="27"/>
                <w:szCs w:val="27"/>
              </w:rPr>
              <w:t xml:space="preserve"> </w:t>
            </w:r>
            <w:r>
              <w:rPr>
                <w:spacing w:val="-114"/>
                <w:sz w:val="27"/>
                <w:szCs w:val="27"/>
                <w:u w:val="single" w:color="auto"/>
              </w:rPr>
              <w:t xml:space="preserve"> </w:t>
            </w:r>
            <w:r>
              <w:rPr>
                <w:spacing w:val="-3"/>
                <w:sz w:val="27"/>
                <w:szCs w:val="27"/>
                <w:u w:val="single" w:color="auto"/>
              </w:rPr>
              <w:t>,(拟新增价格项目量化的经济性优势)</w:t>
            </w:r>
            <w:r>
              <w:rPr>
                <w:sz w:val="27"/>
                <w:szCs w:val="27"/>
                <w:u w:val="single" w:color="auto"/>
              </w:rPr>
              <w:t xml:space="preserve">    </w:t>
            </w:r>
          </w:p>
        </w:tc>
      </w:tr>
    </w:tbl>
    <w:p>
      <w:pPr>
        <w:pStyle w:val="2"/>
      </w:pPr>
    </w:p>
    <w:p>
      <w:pPr>
        <w:sectPr>
          <w:footerReference r:id="rId22" w:type="default"/>
          <w:pgSz w:w="11820" w:h="16740"/>
          <w:pgMar w:top="1155" w:right="1773" w:bottom="1057" w:left="1385" w:header="0" w:footer="919" w:gutter="0"/>
          <w:cols w:space="720" w:num="1"/>
        </w:sectPr>
      </w:pPr>
    </w:p>
    <w:tbl>
      <w:tblPr>
        <w:tblStyle w:val="5"/>
        <w:tblW w:w="86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0" w:hRule="atLeast"/>
        </w:trPr>
        <w:tc>
          <w:tcPr>
            <w:tcW w:w="8638" w:type="dxa"/>
            <w:tcBorders>
              <w:bottom w:val="single" w:color="000000" w:sz="6" w:space="0"/>
            </w:tcBorders>
            <w:vAlign w:val="top"/>
          </w:tcPr>
          <w:p>
            <w:pPr>
              <w:pStyle w:val="6"/>
              <w:spacing w:before="230" w:line="218" w:lineRule="auto"/>
              <w:ind w:left="149"/>
              <w:rPr>
                <w:sz w:val="31"/>
                <w:szCs w:val="31"/>
              </w:rPr>
            </w:pPr>
            <w:r>
              <w:pict>
                <v:rect id="_x0000_s1031" o:spid="_x0000_s1031" o:spt="1" style="position:absolute;left:0pt;margin-left:507pt;margin-top:504.35pt;height:0.8pt;width:75.0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r>
              <w:rPr>
                <w:b/>
                <w:bCs/>
                <w:spacing w:val="-2"/>
                <w:sz w:val="31"/>
                <w:szCs w:val="31"/>
              </w:rPr>
              <w:t>3.价格构成信息</w:t>
            </w:r>
          </w:p>
          <w:p>
            <w:pPr>
              <w:pStyle w:val="6"/>
              <w:spacing w:before="233" w:line="218" w:lineRule="auto"/>
              <w:ind w:left="769"/>
              <w:rPr>
                <w:sz w:val="31"/>
                <w:szCs w:val="31"/>
              </w:rPr>
            </w:pPr>
            <w:r>
              <w:rPr>
                <w:b/>
                <w:bCs/>
                <w:spacing w:val="-6"/>
                <w:sz w:val="31"/>
                <w:szCs w:val="31"/>
              </w:rPr>
              <w:t>3.1价格基本构成</w:t>
            </w:r>
          </w:p>
          <w:p>
            <w:pPr>
              <w:pStyle w:val="6"/>
              <w:spacing w:before="269" w:line="219" w:lineRule="auto"/>
              <w:ind w:left="784"/>
              <w:rPr>
                <w:sz w:val="31"/>
                <w:szCs w:val="31"/>
              </w:rPr>
            </w:pPr>
            <w:r>
              <w:rPr>
                <w:spacing w:val="-1"/>
                <w:sz w:val="31"/>
                <w:szCs w:val="31"/>
              </w:rPr>
              <w:t>项目成本测算表，见后文，此处可省略。</w:t>
            </w:r>
          </w:p>
          <w:p>
            <w:pPr>
              <w:pStyle w:val="6"/>
              <w:spacing w:before="227" w:line="218" w:lineRule="auto"/>
              <w:ind w:left="759"/>
              <w:rPr>
                <w:sz w:val="31"/>
                <w:szCs w:val="31"/>
              </w:rPr>
            </w:pPr>
            <w:r>
              <w:rPr>
                <w:b/>
                <w:bCs/>
                <w:spacing w:val="-5"/>
                <w:sz w:val="31"/>
                <w:szCs w:val="31"/>
              </w:rPr>
              <w:t>3.2项目预期价格：</w:t>
            </w:r>
          </w:p>
          <w:p>
            <w:pPr>
              <w:pStyle w:val="6"/>
              <w:spacing w:before="258" w:line="218" w:lineRule="auto"/>
              <w:ind w:left="804"/>
              <w:rPr>
                <w:sz w:val="31"/>
                <w:szCs w:val="31"/>
              </w:rPr>
            </w:pPr>
            <w:r>
              <w:rPr>
                <w:spacing w:val="-1"/>
                <w:sz w:val="31"/>
                <w:szCs w:val="31"/>
              </w:rPr>
              <w:t>□非手术项目，预期价格5000元以上的：</w:t>
            </w:r>
          </w:p>
          <w:p>
            <w:pPr>
              <w:pStyle w:val="6"/>
              <w:spacing w:before="234" w:line="620" w:lineRule="exact"/>
              <w:ind w:left="804"/>
              <w:rPr>
                <w:sz w:val="31"/>
                <w:szCs w:val="31"/>
              </w:rPr>
            </w:pPr>
            <w:r>
              <w:rPr>
                <w:position w:val="23"/>
                <w:sz w:val="31"/>
                <w:szCs w:val="31"/>
              </w:rPr>
              <w:t>□导航、定位等手术/检查/治疗辅助操作项目，预期价</w:t>
            </w:r>
          </w:p>
          <w:p>
            <w:pPr>
              <w:pStyle w:val="6"/>
              <w:spacing w:before="1" w:line="217" w:lineRule="auto"/>
              <w:ind w:left="145"/>
              <w:rPr>
                <w:sz w:val="31"/>
                <w:szCs w:val="31"/>
              </w:rPr>
            </w:pPr>
            <w:r>
              <w:rPr>
                <w:spacing w:val="8"/>
                <w:sz w:val="31"/>
                <w:szCs w:val="31"/>
              </w:rPr>
              <w:t>格达到或超过手术/检查/治疗价格的；</w:t>
            </w:r>
          </w:p>
          <w:p>
            <w:pPr>
              <w:pStyle w:val="6"/>
              <w:spacing w:before="224" w:line="630" w:lineRule="exact"/>
              <w:ind w:left="804"/>
              <w:rPr>
                <w:sz w:val="31"/>
                <w:szCs w:val="31"/>
              </w:rPr>
            </w:pPr>
            <w:r>
              <w:rPr>
                <w:spacing w:val="1"/>
                <w:position w:val="24"/>
                <w:sz w:val="31"/>
                <w:szCs w:val="31"/>
              </w:rPr>
              <w:t>□现有价格项目的加收事项，加收幅度超过100</w:t>
            </w:r>
            <w:r>
              <w:rPr>
                <w:position w:val="24"/>
                <w:sz w:val="31"/>
                <w:szCs w:val="31"/>
              </w:rPr>
              <w:t>%或加</w:t>
            </w:r>
          </w:p>
          <w:p>
            <w:pPr>
              <w:pStyle w:val="6"/>
              <w:spacing w:before="2" w:line="217" w:lineRule="auto"/>
              <w:ind w:left="145"/>
              <w:rPr>
                <w:sz w:val="31"/>
                <w:szCs w:val="31"/>
              </w:rPr>
            </w:pPr>
            <w:r>
              <w:rPr>
                <w:spacing w:val="12"/>
                <w:sz w:val="31"/>
                <w:szCs w:val="31"/>
              </w:rPr>
              <w:t>价金额3000元以上的；</w:t>
            </w:r>
          </w:p>
          <w:p>
            <w:pPr>
              <w:pStyle w:val="6"/>
              <w:spacing w:before="224" w:line="600" w:lineRule="exact"/>
              <w:ind w:left="814"/>
              <w:rPr>
                <w:sz w:val="31"/>
                <w:szCs w:val="31"/>
              </w:rPr>
            </w:pPr>
            <w:r>
              <w:rPr>
                <w:position w:val="21"/>
                <w:sz w:val="31"/>
                <w:szCs w:val="31"/>
              </w:rPr>
              <w:t>□价格预期高于相同功能相同诊疗目的的现行项目价</w:t>
            </w:r>
          </w:p>
          <w:p>
            <w:pPr>
              <w:pStyle w:val="6"/>
              <w:spacing w:before="1" w:line="217" w:lineRule="auto"/>
              <w:ind w:left="145"/>
              <w:rPr>
                <w:sz w:val="31"/>
                <w:szCs w:val="31"/>
              </w:rPr>
            </w:pPr>
            <w:r>
              <w:rPr>
                <w:sz w:val="31"/>
                <w:szCs w:val="31"/>
              </w:rPr>
              <w:t>格，价差幅度1倍以上或价差金额3000元以上的</w:t>
            </w:r>
          </w:p>
          <w:p>
            <w:pPr>
              <w:pStyle w:val="6"/>
              <w:spacing w:before="254" w:line="218" w:lineRule="auto"/>
              <w:ind w:left="784"/>
              <w:rPr>
                <w:sz w:val="31"/>
                <w:szCs w:val="31"/>
              </w:rPr>
            </w:pPr>
            <w:r>
              <w:rPr>
                <w:sz w:val="31"/>
                <w:szCs w:val="31"/>
              </w:rPr>
              <w:t>存在以上情形之一的，由申报项目的医疗机构对预期价</w:t>
            </w:r>
          </w:p>
          <w:p>
            <w:pPr>
              <w:pStyle w:val="6"/>
              <w:spacing w:before="247" w:line="219" w:lineRule="auto"/>
              <w:ind w:left="145"/>
              <w:rPr>
                <w:sz w:val="31"/>
                <w:szCs w:val="31"/>
              </w:rPr>
            </w:pPr>
            <w:r>
              <w:rPr>
                <w:sz w:val="31"/>
                <w:szCs w:val="31"/>
              </w:rPr>
              <w:t>格的合理性必要性、主要适用范围和预计服务频次(年服务</w:t>
            </w:r>
          </w:p>
          <w:p>
            <w:pPr>
              <w:pStyle w:val="6"/>
              <w:spacing w:before="270" w:line="359" w:lineRule="auto"/>
              <w:ind w:right="13"/>
              <w:jc w:val="right"/>
              <w:rPr>
                <w:sz w:val="31"/>
                <w:szCs w:val="31"/>
              </w:rPr>
            </w:pPr>
            <w:r>
              <w:rPr>
                <w:spacing w:val="-37"/>
                <w:sz w:val="31"/>
                <w:szCs w:val="31"/>
              </w:rPr>
              <w:t>量)等作出特别</w:t>
            </w:r>
            <w:r>
              <w:rPr>
                <w:spacing w:val="-36"/>
                <w:sz w:val="31"/>
                <w:szCs w:val="31"/>
              </w:rPr>
              <w:t xml:space="preserve">说明：   </w:t>
            </w:r>
            <w:r>
              <w:rPr>
                <w:spacing w:val="46"/>
                <w:sz w:val="31"/>
                <w:szCs w:val="31"/>
                <w:u w:val="single" w:color="auto"/>
              </w:rPr>
              <w:t xml:space="preserve"> </w:t>
            </w:r>
            <w:r>
              <w:rPr>
                <w:spacing w:val="-36"/>
                <w:sz w:val="31"/>
                <w:szCs w:val="31"/>
                <w:u w:val="single" w:color="auto"/>
              </w:rPr>
              <w:t>(提交项目的医疗机构以新增项目价值评估</w:t>
            </w:r>
            <w:r>
              <w:rPr>
                <w:spacing w:val="-29"/>
                <w:sz w:val="31"/>
                <w:szCs w:val="31"/>
                <w:u w:val="single" w:color="auto"/>
              </w:rPr>
              <w:t>报</w:t>
            </w:r>
          </w:p>
          <w:p>
            <w:pPr>
              <w:pStyle w:val="6"/>
              <w:spacing w:before="1" w:line="179" w:lineRule="auto"/>
              <w:jc w:val="right"/>
              <w:rPr>
                <w:sz w:val="31"/>
                <w:szCs w:val="31"/>
              </w:rPr>
            </w:pPr>
            <w:r>
              <w:rPr>
                <w:spacing w:val="-22"/>
                <w:sz w:val="31"/>
                <w:szCs w:val="31"/>
              </w:rPr>
              <w:t>告分报告的形式正式出具。此处按医疗机构特别说明的摘要</w:t>
            </w:r>
            <w:r>
              <w:rPr>
                <w:spacing w:val="-23"/>
                <w:sz w:val="31"/>
                <w:szCs w:val="31"/>
              </w:rPr>
              <w:t>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4" w:hRule="atLeast"/>
        </w:trPr>
        <w:tc>
          <w:tcPr>
            <w:tcW w:w="8638" w:type="dxa"/>
            <w:tcBorders>
              <w:top w:val="single" w:color="000000" w:sz="6" w:space="0"/>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101" w:line="219" w:lineRule="auto"/>
              <w:ind w:left="849"/>
              <w:rPr>
                <w:sz w:val="31"/>
                <w:szCs w:val="31"/>
              </w:rPr>
            </w:pPr>
            <w:r>
              <w:rPr>
                <w:b/>
                <w:bCs/>
                <w:spacing w:val="-5"/>
                <w:sz w:val="31"/>
                <w:szCs w:val="31"/>
              </w:rPr>
              <w:t>3.3设备耗材费用：</w:t>
            </w:r>
          </w:p>
          <w:p>
            <w:pPr>
              <w:pStyle w:val="6"/>
              <w:spacing w:before="237" w:line="619" w:lineRule="exact"/>
              <w:ind w:left="814"/>
              <w:rPr>
                <w:sz w:val="31"/>
                <w:szCs w:val="31"/>
              </w:rPr>
            </w:pPr>
            <w:r>
              <w:rPr>
                <w:spacing w:val="1"/>
                <w:position w:val="23"/>
                <w:sz w:val="31"/>
                <w:szCs w:val="31"/>
              </w:rPr>
              <w:t>□设备维护和折旧成本达到每项2000元及以上，且占</w:t>
            </w:r>
          </w:p>
          <w:p>
            <w:pPr>
              <w:pStyle w:val="6"/>
              <w:spacing w:before="1" w:line="217" w:lineRule="auto"/>
              <w:ind w:left="145"/>
              <w:rPr>
                <w:sz w:val="31"/>
                <w:szCs w:val="31"/>
              </w:rPr>
            </w:pPr>
            <w:r>
              <w:rPr>
                <w:spacing w:val="7"/>
                <w:sz w:val="31"/>
                <w:szCs w:val="31"/>
              </w:rPr>
              <w:t>项目预期价格的比重达到40%及以上的；</w:t>
            </w:r>
          </w:p>
          <w:p>
            <w:pPr>
              <w:pStyle w:val="6"/>
              <w:spacing w:before="244" w:line="610" w:lineRule="exact"/>
              <w:ind w:left="794"/>
              <w:rPr>
                <w:sz w:val="31"/>
                <w:szCs w:val="31"/>
              </w:rPr>
            </w:pPr>
            <w:r>
              <w:rPr>
                <w:position w:val="22"/>
                <w:sz w:val="31"/>
                <w:szCs w:val="31"/>
              </w:rPr>
              <w:t>□项目内一次性耗材、专机专用耗材单产品采购价格达</w:t>
            </w:r>
          </w:p>
          <w:p>
            <w:pPr>
              <w:pStyle w:val="6"/>
              <w:spacing w:before="1" w:line="217" w:lineRule="auto"/>
              <w:ind w:left="145"/>
              <w:rPr>
                <w:sz w:val="31"/>
                <w:szCs w:val="31"/>
              </w:rPr>
            </w:pPr>
            <w:r>
              <w:rPr>
                <w:sz w:val="31"/>
                <w:szCs w:val="31"/>
              </w:rPr>
              <w:t>到每件3000元及以上，且平均费用占项目预期价格的比重</w:t>
            </w:r>
          </w:p>
          <w:p>
            <w:pPr>
              <w:pStyle w:val="6"/>
              <w:spacing w:before="247" w:line="220" w:lineRule="auto"/>
              <w:ind w:left="145"/>
              <w:rPr>
                <w:sz w:val="31"/>
                <w:szCs w:val="31"/>
              </w:rPr>
            </w:pPr>
            <w:r>
              <w:rPr>
                <w:spacing w:val="14"/>
                <w:sz w:val="31"/>
                <w:szCs w:val="31"/>
              </w:rPr>
              <w:t>达到40%及以上的；</w:t>
            </w:r>
          </w:p>
          <w:p>
            <w:pPr>
              <w:pStyle w:val="6"/>
              <w:spacing w:before="217" w:line="217" w:lineRule="auto"/>
              <w:ind w:left="824"/>
              <w:rPr>
                <w:sz w:val="31"/>
                <w:szCs w:val="31"/>
              </w:rPr>
            </w:pPr>
            <w:r>
              <w:rPr>
                <w:sz w:val="31"/>
                <w:szCs w:val="31"/>
              </w:rPr>
              <w:t>□项目外一次性耗材、专机专用耗材单产品价格达到每</w:t>
            </w:r>
          </w:p>
        </w:tc>
      </w:tr>
    </w:tbl>
    <w:p>
      <w:pPr>
        <w:pStyle w:val="2"/>
      </w:pPr>
    </w:p>
    <w:p>
      <w:pPr>
        <w:sectPr>
          <w:footerReference r:id="rId23" w:type="default"/>
          <w:pgSz w:w="11840" w:h="16750"/>
          <w:pgMar w:top="945" w:right="199" w:bottom="1337" w:left="1555" w:header="0" w:footer="1187" w:gutter="0"/>
          <w:cols w:space="720" w:num="1"/>
        </w:sectPr>
      </w:pPr>
    </w:p>
    <w:tbl>
      <w:tblPr>
        <w:tblStyle w:val="5"/>
        <w:tblW w:w="874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9" w:hRule="atLeast"/>
        </w:trPr>
        <w:tc>
          <w:tcPr>
            <w:tcW w:w="8743" w:type="dxa"/>
            <w:vAlign w:val="top"/>
          </w:tcPr>
          <w:p>
            <w:pPr>
              <w:pStyle w:val="6"/>
              <w:spacing w:before="246" w:line="595" w:lineRule="exact"/>
              <w:ind w:left="134"/>
              <w:rPr>
                <w:sz w:val="29"/>
                <w:szCs w:val="29"/>
              </w:rPr>
            </w:pPr>
            <w:r>
              <w:pict>
                <v:rect id="_x0000_s1032" o:spid="_x0000_s1032" o:spt="1" style="position:absolute;left:0pt;margin-left:502.5pt;margin-top:245.8pt;height:0.75pt;width:25.5pt;mso-position-horizontal-relative:page;mso-position-vertical-relative:page;z-index:251666432;mso-width-relative:page;mso-height-relative:page;" fillcolor="#000000" filled="t" stroked="f" coordsize="21600,21600" o:allowincell="f">
                  <v:path/>
                  <v:fill on="t" focussize="0,0"/>
                  <v:stroke on="f"/>
                  <v:imagedata o:title=""/>
                  <o:lock v:ext="edit"/>
                </v:rect>
              </w:pict>
            </w:r>
            <w:r>
              <w:rPr>
                <w:spacing w:val="1"/>
                <w:position w:val="23"/>
                <w:sz w:val="29"/>
                <w:szCs w:val="29"/>
              </w:rPr>
              <w:t>件3000元及以上，且平均费用占项目预</w:t>
            </w:r>
            <w:r>
              <w:rPr>
                <w:position w:val="23"/>
                <w:sz w:val="29"/>
                <w:szCs w:val="29"/>
              </w:rPr>
              <w:t>期费用的比重达到</w:t>
            </w:r>
          </w:p>
          <w:p>
            <w:pPr>
              <w:pStyle w:val="6"/>
              <w:spacing w:line="222" w:lineRule="auto"/>
              <w:ind w:left="94"/>
              <w:rPr>
                <w:sz w:val="29"/>
                <w:szCs w:val="29"/>
              </w:rPr>
            </w:pPr>
            <w:r>
              <w:rPr>
                <w:sz w:val="29"/>
                <w:szCs w:val="29"/>
              </w:rPr>
              <w:t>40%及以上的。</w:t>
            </w:r>
          </w:p>
          <w:p>
            <w:pPr>
              <w:pStyle w:val="6"/>
              <w:spacing w:before="275" w:line="600" w:lineRule="exact"/>
              <w:ind w:left="804"/>
              <w:rPr>
                <w:sz w:val="29"/>
                <w:szCs w:val="29"/>
              </w:rPr>
            </w:pPr>
            <w:r>
              <w:rPr>
                <w:spacing w:val="1"/>
                <w:position w:val="23"/>
                <w:sz w:val="29"/>
                <w:szCs w:val="29"/>
              </w:rPr>
              <w:t>存在以上情形之一的，附设备耗材医疗机构采购发票副</w:t>
            </w:r>
          </w:p>
          <w:p>
            <w:pPr>
              <w:pStyle w:val="6"/>
              <w:spacing w:line="218" w:lineRule="auto"/>
              <w:ind w:left="134"/>
              <w:rPr>
                <w:sz w:val="29"/>
                <w:szCs w:val="29"/>
              </w:rPr>
            </w:pPr>
            <w:r>
              <w:rPr>
                <w:sz w:val="29"/>
                <w:szCs w:val="29"/>
              </w:rPr>
              <w:t>本、生产企业出厂发票副本，同时由设备或耗材生产企业对</w:t>
            </w:r>
          </w:p>
          <w:p>
            <w:pPr>
              <w:pStyle w:val="6"/>
              <w:spacing w:before="275" w:line="218" w:lineRule="auto"/>
              <w:ind w:left="125"/>
              <w:rPr>
                <w:sz w:val="29"/>
                <w:szCs w:val="29"/>
              </w:rPr>
            </w:pPr>
            <w:r>
              <w:rPr>
                <w:spacing w:val="-10"/>
                <w:sz w:val="29"/>
                <w:szCs w:val="29"/>
              </w:rPr>
              <w:t>产品采购价格的合理性必要性作出特别说明：</w:t>
            </w:r>
            <w:r>
              <w:rPr>
                <w:spacing w:val="36"/>
                <w:sz w:val="29"/>
                <w:szCs w:val="29"/>
              </w:rPr>
              <w:t xml:space="preserve">  </w:t>
            </w:r>
            <w:r>
              <w:rPr>
                <w:spacing w:val="63"/>
                <w:sz w:val="29"/>
                <w:szCs w:val="29"/>
                <w:u w:val="single" w:color="auto"/>
              </w:rPr>
              <w:t xml:space="preserve"> </w:t>
            </w:r>
            <w:r>
              <w:rPr>
                <w:spacing w:val="-11"/>
                <w:sz w:val="29"/>
                <w:szCs w:val="29"/>
                <w:u w:val="single" w:color="auto"/>
              </w:rPr>
              <w:t>(生产企业以独</w:t>
            </w:r>
          </w:p>
          <w:p>
            <w:pPr>
              <w:pStyle w:val="6"/>
              <w:spacing w:before="298" w:line="168" w:lineRule="auto"/>
              <w:jc w:val="right"/>
              <w:rPr>
                <w:sz w:val="29"/>
                <w:szCs w:val="29"/>
              </w:rPr>
            </w:pPr>
            <w:r>
              <w:rPr>
                <w:spacing w:val="-29"/>
                <w:sz w:val="29"/>
                <w:szCs w:val="29"/>
              </w:rPr>
              <w:t>立报告的形式出具正式的书面说明。此处按生产企业特</w:t>
            </w:r>
            <w:r>
              <w:rPr>
                <w:spacing w:val="-30"/>
                <w:sz w:val="29"/>
                <w:szCs w:val="29"/>
              </w:rPr>
              <w:t>别说明的摘要填写。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743" w:type="dxa"/>
            <w:vAlign w:val="top"/>
          </w:tcPr>
          <w:p>
            <w:pPr>
              <w:rPr>
                <w:rFonts w:ascii="Arial"/>
                <w:sz w:val="21"/>
              </w:rPr>
            </w:pPr>
          </w:p>
        </w:tc>
      </w:tr>
    </w:tbl>
    <w:p>
      <w:pPr>
        <w:pStyle w:val="2"/>
      </w:pPr>
    </w:p>
    <w:p>
      <w:pPr>
        <w:sectPr>
          <w:footerReference r:id="rId24" w:type="default"/>
          <w:pgSz w:w="11840" w:h="16730"/>
          <w:pgMar w:top="1275" w:right="1280" w:bottom="868" w:left="1465" w:header="0" w:footer="729" w:gutter="0"/>
          <w:cols w:space="720" w:num="1"/>
        </w:sectPr>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spacing w:before="117" w:line="218" w:lineRule="auto"/>
        <w:ind w:left="3800"/>
        <w:rPr>
          <w:rFonts w:ascii="宋体" w:hAnsi="宋体" w:eastAsia="宋体" w:cs="宋体"/>
          <w:sz w:val="36"/>
          <w:szCs w:val="36"/>
        </w:rPr>
      </w:pPr>
      <w:r>
        <w:rPr>
          <w:rFonts w:ascii="宋体" w:hAnsi="宋体" w:eastAsia="宋体" w:cs="宋体"/>
          <w:b/>
          <w:bCs/>
          <w:spacing w:val="-3"/>
          <w:sz w:val="36"/>
          <w:szCs w:val="36"/>
        </w:rPr>
        <w:t>广东省新增医疗服务价格项目成本测算表</w:t>
      </w:r>
    </w:p>
    <w:p>
      <w:pPr>
        <w:spacing w:line="27" w:lineRule="exact"/>
      </w:pPr>
    </w:p>
    <w:p>
      <w:pPr>
        <w:spacing w:line="27" w:lineRule="exact"/>
        <w:sectPr>
          <w:footerReference r:id="rId25" w:type="default"/>
          <w:pgSz w:w="16740" w:h="11840"/>
          <w:pgMar w:top="1006" w:right="1854" w:bottom="978" w:left="1495" w:header="0" w:footer="839" w:gutter="0"/>
          <w:cols w:equalWidth="0" w:num="1">
            <w:col w:w="13390"/>
          </w:cols>
        </w:sectPr>
      </w:pPr>
    </w:p>
    <w:p>
      <w:pPr>
        <w:spacing w:before="44" w:line="189" w:lineRule="auto"/>
        <w:ind w:left="4"/>
        <w:rPr>
          <w:rFonts w:ascii="仿宋" w:hAnsi="仿宋" w:eastAsia="仿宋" w:cs="仿宋"/>
          <w:sz w:val="17"/>
          <w:szCs w:val="17"/>
        </w:rPr>
      </w:pPr>
      <w:r>
        <w:rPr>
          <w:rFonts w:ascii="仿宋" w:hAnsi="仿宋" w:eastAsia="仿宋" w:cs="仿宋"/>
          <w:spacing w:val="-8"/>
          <w:sz w:val="17"/>
          <w:szCs w:val="17"/>
        </w:rPr>
        <w:t>项目名称；</w:t>
      </w:r>
    </w:p>
    <w:p>
      <w:pPr>
        <w:pStyle w:val="2"/>
        <w:spacing w:line="14" w:lineRule="auto"/>
        <w:rPr>
          <w:sz w:val="2"/>
        </w:rPr>
      </w:pPr>
      <w:r>
        <w:rPr>
          <w:sz w:val="2"/>
          <w:szCs w:val="2"/>
        </w:rPr>
        <w:br w:type="column"/>
      </w:r>
    </w:p>
    <w:p>
      <w:pPr>
        <w:spacing w:before="33" w:line="200" w:lineRule="auto"/>
        <w:rPr>
          <w:rFonts w:ascii="仿宋" w:hAnsi="仿宋" w:eastAsia="仿宋" w:cs="仿宋"/>
          <w:sz w:val="17"/>
          <w:szCs w:val="17"/>
        </w:rPr>
      </w:pPr>
      <w:r>
        <w:rPr>
          <w:rFonts w:ascii="仿宋" w:hAnsi="仿宋" w:eastAsia="仿宋" w:cs="仿宋"/>
          <w:spacing w:val="7"/>
          <w:sz w:val="17"/>
          <w:szCs w:val="17"/>
        </w:rPr>
        <w:t>申报单位(医疗机构盖章):</w:t>
      </w:r>
    </w:p>
    <w:p>
      <w:pPr>
        <w:spacing w:line="200" w:lineRule="auto"/>
        <w:rPr>
          <w:rFonts w:ascii="仿宋" w:hAnsi="仿宋" w:eastAsia="仿宋" w:cs="仿宋"/>
          <w:sz w:val="17"/>
          <w:szCs w:val="17"/>
        </w:rPr>
        <w:sectPr>
          <w:type w:val="continuous"/>
          <w:pgSz w:w="16740" w:h="11840"/>
          <w:pgMar w:top="1006" w:right="1854" w:bottom="978" w:left="1495" w:header="0" w:footer="839" w:gutter="0"/>
          <w:cols w:equalWidth="0" w:num="2">
            <w:col w:w="8855" w:space="100"/>
            <w:col w:w="4436"/>
          </w:cols>
        </w:sectPr>
      </w:pPr>
    </w:p>
    <w:p>
      <w:pPr>
        <w:spacing w:line="216" w:lineRule="exact"/>
      </w:pPr>
    </w:p>
    <w:tbl>
      <w:tblPr>
        <w:tblStyle w:val="5"/>
        <w:tblW w:w="133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4"/>
        <w:gridCol w:w="949"/>
        <w:gridCol w:w="1169"/>
        <w:gridCol w:w="1699"/>
        <w:gridCol w:w="1159"/>
        <w:gridCol w:w="240"/>
        <w:gridCol w:w="1549"/>
        <w:gridCol w:w="759"/>
        <w:gridCol w:w="729"/>
        <w:gridCol w:w="1169"/>
        <w:gridCol w:w="10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5641" w:type="dxa"/>
            <w:gridSpan w:val="4"/>
            <w:vAlign w:val="top"/>
          </w:tcPr>
          <w:p>
            <w:pPr>
              <w:pStyle w:val="6"/>
              <w:spacing w:before="1" w:line="198" w:lineRule="auto"/>
              <w:ind w:left="214"/>
              <w:rPr>
                <w:sz w:val="18"/>
                <w:szCs w:val="18"/>
              </w:rPr>
            </w:pPr>
            <w:r>
              <w:rPr>
                <w:spacing w:val="-1"/>
                <w:sz w:val="18"/>
                <w:szCs w:val="18"/>
              </w:rPr>
              <w:t>一、劳务支出</w:t>
            </w:r>
          </w:p>
        </w:tc>
        <w:tc>
          <w:tcPr>
            <w:tcW w:w="1159" w:type="dxa"/>
            <w:vAlign w:val="top"/>
          </w:tcPr>
          <w:p>
            <w:pPr>
              <w:spacing w:line="195" w:lineRule="exact"/>
              <w:rPr>
                <w:rFonts w:ascii="Arial"/>
                <w:sz w:val="16"/>
              </w:rPr>
            </w:pPr>
          </w:p>
        </w:tc>
        <w:tc>
          <w:tcPr>
            <w:tcW w:w="240" w:type="dxa"/>
            <w:vMerge w:val="restart"/>
            <w:tcBorders>
              <w:bottom w:val="nil"/>
            </w:tcBorders>
            <w:vAlign w:val="top"/>
          </w:tcPr>
          <w:p>
            <w:pPr>
              <w:rPr>
                <w:rFonts w:ascii="Arial"/>
                <w:sz w:val="21"/>
              </w:rPr>
            </w:pPr>
          </w:p>
        </w:tc>
        <w:tc>
          <w:tcPr>
            <w:tcW w:w="1549" w:type="dxa"/>
            <w:vAlign w:val="top"/>
          </w:tcPr>
          <w:p>
            <w:pPr>
              <w:spacing w:line="195" w:lineRule="exact"/>
              <w:rPr>
                <w:rFonts w:ascii="Arial"/>
                <w:sz w:val="16"/>
              </w:rPr>
            </w:pPr>
          </w:p>
        </w:tc>
        <w:tc>
          <w:tcPr>
            <w:tcW w:w="1488" w:type="dxa"/>
            <w:gridSpan w:val="2"/>
            <w:vAlign w:val="top"/>
          </w:tcPr>
          <w:p>
            <w:pPr>
              <w:spacing w:line="195" w:lineRule="exact"/>
              <w:rPr>
                <w:rFonts w:ascii="Arial"/>
                <w:sz w:val="16"/>
              </w:rPr>
            </w:pPr>
          </w:p>
        </w:tc>
        <w:tc>
          <w:tcPr>
            <w:tcW w:w="1169" w:type="dxa"/>
            <w:vAlign w:val="top"/>
          </w:tcPr>
          <w:p>
            <w:pPr>
              <w:spacing w:line="195" w:lineRule="exact"/>
              <w:rPr>
                <w:rFonts w:ascii="Arial"/>
                <w:sz w:val="16"/>
              </w:rPr>
            </w:pPr>
          </w:p>
        </w:tc>
        <w:tc>
          <w:tcPr>
            <w:tcW w:w="1069" w:type="dxa"/>
            <w:vAlign w:val="top"/>
          </w:tcPr>
          <w:p>
            <w:pPr>
              <w:spacing w:line="195" w:lineRule="exact"/>
              <w:rPr>
                <w:rFonts w:ascii="Arial"/>
                <w:sz w:val="16"/>
              </w:rPr>
            </w:pPr>
          </w:p>
        </w:tc>
        <w:tc>
          <w:tcPr>
            <w:tcW w:w="1064" w:type="dxa"/>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1824" w:type="dxa"/>
            <w:vAlign w:val="top"/>
          </w:tcPr>
          <w:p>
            <w:pPr>
              <w:pStyle w:val="6"/>
              <w:spacing w:line="193" w:lineRule="auto"/>
              <w:ind w:left="104"/>
              <w:rPr>
                <w:sz w:val="18"/>
                <w:szCs w:val="18"/>
              </w:rPr>
            </w:pPr>
            <w:r>
              <w:rPr>
                <w:spacing w:val="6"/>
                <w:sz w:val="18"/>
                <w:szCs w:val="18"/>
              </w:rPr>
              <w:t>参加人员</w:t>
            </w:r>
          </w:p>
        </w:tc>
        <w:tc>
          <w:tcPr>
            <w:tcW w:w="949" w:type="dxa"/>
            <w:vAlign w:val="top"/>
          </w:tcPr>
          <w:p>
            <w:pPr>
              <w:pStyle w:val="6"/>
              <w:spacing w:line="193" w:lineRule="auto"/>
              <w:ind w:left="280"/>
              <w:rPr>
                <w:sz w:val="18"/>
                <w:szCs w:val="18"/>
              </w:rPr>
            </w:pPr>
            <w:r>
              <w:rPr>
                <w:spacing w:val="-3"/>
                <w:sz w:val="18"/>
                <w:szCs w:val="18"/>
              </w:rPr>
              <w:t>人数</w:t>
            </w:r>
          </w:p>
        </w:tc>
        <w:tc>
          <w:tcPr>
            <w:tcW w:w="1169" w:type="dxa"/>
            <w:vAlign w:val="top"/>
          </w:tcPr>
          <w:p>
            <w:pPr>
              <w:pStyle w:val="6"/>
              <w:spacing w:line="193" w:lineRule="auto"/>
              <w:ind w:left="121"/>
              <w:rPr>
                <w:sz w:val="18"/>
                <w:szCs w:val="18"/>
              </w:rPr>
            </w:pPr>
            <w:r>
              <w:rPr>
                <w:spacing w:val="6"/>
                <w:sz w:val="18"/>
                <w:szCs w:val="18"/>
              </w:rPr>
              <w:t>工时(小时)</w:t>
            </w:r>
          </w:p>
        </w:tc>
        <w:tc>
          <w:tcPr>
            <w:tcW w:w="1699" w:type="dxa"/>
            <w:vAlign w:val="top"/>
          </w:tcPr>
          <w:p>
            <w:pPr>
              <w:pStyle w:val="6"/>
              <w:spacing w:line="193" w:lineRule="auto"/>
              <w:ind w:left="122"/>
              <w:rPr>
                <w:sz w:val="18"/>
                <w:szCs w:val="18"/>
              </w:rPr>
            </w:pPr>
            <w:r>
              <w:rPr>
                <w:spacing w:val="-2"/>
                <w:sz w:val="18"/>
                <w:szCs w:val="18"/>
              </w:rPr>
              <w:t>小时工资、福利额</w:t>
            </w:r>
          </w:p>
        </w:tc>
        <w:tc>
          <w:tcPr>
            <w:tcW w:w="1159" w:type="dxa"/>
            <w:vAlign w:val="top"/>
          </w:tcPr>
          <w:p>
            <w:pPr>
              <w:pStyle w:val="6"/>
              <w:spacing w:line="193" w:lineRule="auto"/>
              <w:ind w:left="214"/>
              <w:rPr>
                <w:sz w:val="18"/>
                <w:szCs w:val="18"/>
              </w:rPr>
            </w:pPr>
            <w:r>
              <w:rPr>
                <w:spacing w:val="-2"/>
                <w:sz w:val="18"/>
                <w:szCs w:val="18"/>
              </w:rPr>
              <w:t>应计金额</w:t>
            </w:r>
          </w:p>
        </w:tc>
        <w:tc>
          <w:tcPr>
            <w:tcW w:w="240" w:type="dxa"/>
            <w:vMerge w:val="continue"/>
            <w:tcBorders>
              <w:top w:val="nil"/>
              <w:bottom w:val="nil"/>
            </w:tcBorders>
            <w:vAlign w:val="top"/>
          </w:tcPr>
          <w:p>
            <w:pPr>
              <w:rPr>
                <w:rFonts w:ascii="Arial"/>
                <w:sz w:val="21"/>
              </w:rPr>
            </w:pPr>
          </w:p>
        </w:tc>
        <w:tc>
          <w:tcPr>
            <w:tcW w:w="1549" w:type="dxa"/>
            <w:vAlign w:val="top"/>
          </w:tcPr>
          <w:p>
            <w:pPr>
              <w:spacing w:line="189" w:lineRule="exact"/>
              <w:rPr>
                <w:rFonts w:ascii="Arial"/>
                <w:sz w:val="16"/>
              </w:rPr>
            </w:pPr>
          </w:p>
        </w:tc>
        <w:tc>
          <w:tcPr>
            <w:tcW w:w="1488" w:type="dxa"/>
            <w:gridSpan w:val="2"/>
            <w:vAlign w:val="top"/>
          </w:tcPr>
          <w:p>
            <w:pPr>
              <w:spacing w:line="189" w:lineRule="exact"/>
              <w:rPr>
                <w:rFonts w:ascii="Arial"/>
                <w:sz w:val="16"/>
              </w:rPr>
            </w:pPr>
          </w:p>
        </w:tc>
        <w:tc>
          <w:tcPr>
            <w:tcW w:w="1169" w:type="dxa"/>
            <w:vAlign w:val="top"/>
          </w:tcPr>
          <w:p>
            <w:pPr>
              <w:spacing w:line="189" w:lineRule="exact"/>
              <w:rPr>
                <w:rFonts w:ascii="Arial"/>
                <w:sz w:val="16"/>
              </w:rPr>
            </w:pPr>
          </w:p>
        </w:tc>
        <w:tc>
          <w:tcPr>
            <w:tcW w:w="1069" w:type="dxa"/>
            <w:vAlign w:val="top"/>
          </w:tcPr>
          <w:p>
            <w:pPr>
              <w:spacing w:line="189" w:lineRule="exact"/>
              <w:rPr>
                <w:rFonts w:ascii="Arial"/>
                <w:sz w:val="16"/>
              </w:rPr>
            </w:pPr>
          </w:p>
        </w:tc>
        <w:tc>
          <w:tcPr>
            <w:tcW w:w="1064" w:type="dxa"/>
            <w:vAlign w:val="top"/>
          </w:tcPr>
          <w:p>
            <w:pPr>
              <w:spacing w:line="189"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1824" w:type="dxa"/>
            <w:vAlign w:val="top"/>
          </w:tcPr>
          <w:p>
            <w:pPr>
              <w:pStyle w:val="6"/>
              <w:spacing w:line="194" w:lineRule="auto"/>
              <w:ind w:left="104"/>
              <w:rPr>
                <w:sz w:val="18"/>
                <w:szCs w:val="18"/>
              </w:rPr>
            </w:pPr>
            <w:r>
              <w:rPr>
                <w:spacing w:val="8"/>
                <w:sz w:val="18"/>
                <w:szCs w:val="18"/>
              </w:rPr>
              <w:t>技术员</w:t>
            </w:r>
          </w:p>
        </w:tc>
        <w:tc>
          <w:tcPr>
            <w:tcW w:w="949" w:type="dxa"/>
            <w:vAlign w:val="top"/>
          </w:tcPr>
          <w:p>
            <w:pPr>
              <w:spacing w:line="190" w:lineRule="exact"/>
              <w:rPr>
                <w:rFonts w:ascii="Arial"/>
                <w:sz w:val="16"/>
              </w:rPr>
            </w:pPr>
          </w:p>
        </w:tc>
        <w:tc>
          <w:tcPr>
            <w:tcW w:w="1169" w:type="dxa"/>
            <w:vAlign w:val="top"/>
          </w:tcPr>
          <w:p>
            <w:pPr>
              <w:spacing w:line="190" w:lineRule="exact"/>
              <w:rPr>
                <w:rFonts w:ascii="Arial"/>
                <w:sz w:val="16"/>
              </w:rPr>
            </w:pPr>
          </w:p>
        </w:tc>
        <w:tc>
          <w:tcPr>
            <w:tcW w:w="1699" w:type="dxa"/>
            <w:vAlign w:val="top"/>
          </w:tcPr>
          <w:p>
            <w:pPr>
              <w:spacing w:line="190" w:lineRule="exact"/>
              <w:rPr>
                <w:rFonts w:ascii="Arial"/>
                <w:sz w:val="16"/>
              </w:rPr>
            </w:pPr>
          </w:p>
        </w:tc>
        <w:tc>
          <w:tcPr>
            <w:tcW w:w="1159" w:type="dxa"/>
            <w:vAlign w:val="top"/>
          </w:tcPr>
          <w:p>
            <w:pPr>
              <w:spacing w:line="190" w:lineRule="exact"/>
              <w:rPr>
                <w:rFonts w:ascii="Arial"/>
                <w:sz w:val="16"/>
              </w:rPr>
            </w:pPr>
          </w:p>
        </w:tc>
        <w:tc>
          <w:tcPr>
            <w:tcW w:w="240" w:type="dxa"/>
            <w:vMerge w:val="continue"/>
            <w:tcBorders>
              <w:top w:val="nil"/>
              <w:bottom w:val="nil"/>
            </w:tcBorders>
            <w:vAlign w:val="top"/>
          </w:tcPr>
          <w:p>
            <w:pPr>
              <w:rPr>
                <w:rFonts w:ascii="Arial"/>
                <w:sz w:val="21"/>
              </w:rPr>
            </w:pPr>
          </w:p>
        </w:tc>
        <w:tc>
          <w:tcPr>
            <w:tcW w:w="1549" w:type="dxa"/>
            <w:vAlign w:val="top"/>
          </w:tcPr>
          <w:p>
            <w:pPr>
              <w:spacing w:line="190" w:lineRule="exact"/>
              <w:rPr>
                <w:rFonts w:ascii="Arial"/>
                <w:sz w:val="16"/>
              </w:rPr>
            </w:pPr>
          </w:p>
        </w:tc>
        <w:tc>
          <w:tcPr>
            <w:tcW w:w="1488" w:type="dxa"/>
            <w:gridSpan w:val="2"/>
            <w:vAlign w:val="top"/>
          </w:tcPr>
          <w:p>
            <w:pPr>
              <w:spacing w:line="190" w:lineRule="exact"/>
              <w:rPr>
                <w:rFonts w:ascii="Arial"/>
                <w:sz w:val="16"/>
              </w:rPr>
            </w:pPr>
          </w:p>
        </w:tc>
        <w:tc>
          <w:tcPr>
            <w:tcW w:w="1169" w:type="dxa"/>
            <w:vAlign w:val="top"/>
          </w:tcPr>
          <w:p>
            <w:pPr>
              <w:spacing w:line="190" w:lineRule="exact"/>
              <w:rPr>
                <w:rFonts w:ascii="Arial"/>
                <w:sz w:val="16"/>
              </w:rPr>
            </w:pPr>
          </w:p>
        </w:tc>
        <w:tc>
          <w:tcPr>
            <w:tcW w:w="1069" w:type="dxa"/>
            <w:vAlign w:val="top"/>
          </w:tcPr>
          <w:p>
            <w:pPr>
              <w:spacing w:line="190" w:lineRule="exact"/>
              <w:rPr>
                <w:rFonts w:ascii="Arial"/>
                <w:sz w:val="16"/>
              </w:rPr>
            </w:pPr>
          </w:p>
        </w:tc>
        <w:tc>
          <w:tcPr>
            <w:tcW w:w="1064" w:type="dxa"/>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1824" w:type="dxa"/>
            <w:vAlign w:val="top"/>
          </w:tcPr>
          <w:p>
            <w:pPr>
              <w:pStyle w:val="6"/>
              <w:spacing w:line="193" w:lineRule="auto"/>
              <w:ind w:left="104"/>
              <w:rPr>
                <w:sz w:val="18"/>
                <w:szCs w:val="18"/>
              </w:rPr>
            </w:pPr>
            <w:r>
              <w:rPr>
                <w:spacing w:val="-2"/>
                <w:sz w:val="18"/>
                <w:szCs w:val="18"/>
              </w:rPr>
              <w:t>护士</w:t>
            </w:r>
          </w:p>
        </w:tc>
        <w:tc>
          <w:tcPr>
            <w:tcW w:w="949" w:type="dxa"/>
            <w:vAlign w:val="top"/>
          </w:tcPr>
          <w:p>
            <w:pPr>
              <w:spacing w:line="189" w:lineRule="exact"/>
              <w:rPr>
                <w:rFonts w:ascii="Arial"/>
                <w:sz w:val="16"/>
              </w:rPr>
            </w:pPr>
          </w:p>
        </w:tc>
        <w:tc>
          <w:tcPr>
            <w:tcW w:w="1169" w:type="dxa"/>
            <w:vAlign w:val="top"/>
          </w:tcPr>
          <w:p>
            <w:pPr>
              <w:spacing w:line="189" w:lineRule="exact"/>
              <w:rPr>
                <w:rFonts w:ascii="Arial"/>
                <w:sz w:val="16"/>
              </w:rPr>
            </w:pPr>
          </w:p>
        </w:tc>
        <w:tc>
          <w:tcPr>
            <w:tcW w:w="1699" w:type="dxa"/>
            <w:vAlign w:val="top"/>
          </w:tcPr>
          <w:p>
            <w:pPr>
              <w:spacing w:line="189" w:lineRule="exact"/>
              <w:rPr>
                <w:rFonts w:ascii="Arial"/>
                <w:sz w:val="16"/>
              </w:rPr>
            </w:pPr>
          </w:p>
        </w:tc>
        <w:tc>
          <w:tcPr>
            <w:tcW w:w="1159" w:type="dxa"/>
            <w:vAlign w:val="top"/>
          </w:tcPr>
          <w:p>
            <w:pPr>
              <w:spacing w:line="189" w:lineRule="exact"/>
              <w:rPr>
                <w:rFonts w:ascii="Arial"/>
                <w:sz w:val="16"/>
              </w:rPr>
            </w:pPr>
          </w:p>
        </w:tc>
        <w:tc>
          <w:tcPr>
            <w:tcW w:w="240" w:type="dxa"/>
            <w:vMerge w:val="continue"/>
            <w:tcBorders>
              <w:top w:val="nil"/>
              <w:bottom w:val="nil"/>
            </w:tcBorders>
            <w:vAlign w:val="top"/>
          </w:tcPr>
          <w:p>
            <w:pPr>
              <w:rPr>
                <w:rFonts w:ascii="Arial"/>
                <w:sz w:val="21"/>
              </w:rPr>
            </w:pPr>
          </w:p>
        </w:tc>
        <w:tc>
          <w:tcPr>
            <w:tcW w:w="1549" w:type="dxa"/>
            <w:vAlign w:val="top"/>
          </w:tcPr>
          <w:p>
            <w:pPr>
              <w:pStyle w:val="6"/>
              <w:spacing w:line="193" w:lineRule="auto"/>
              <w:ind w:left="584"/>
              <w:rPr>
                <w:sz w:val="18"/>
                <w:szCs w:val="18"/>
              </w:rPr>
            </w:pPr>
            <w:r>
              <w:rPr>
                <w:spacing w:val="-3"/>
                <w:sz w:val="18"/>
                <w:szCs w:val="18"/>
              </w:rPr>
              <w:t>小计</w:t>
            </w:r>
          </w:p>
        </w:tc>
        <w:tc>
          <w:tcPr>
            <w:tcW w:w="1488" w:type="dxa"/>
            <w:gridSpan w:val="2"/>
            <w:vAlign w:val="top"/>
          </w:tcPr>
          <w:p>
            <w:pPr>
              <w:spacing w:line="189" w:lineRule="exact"/>
              <w:rPr>
                <w:rFonts w:ascii="Arial"/>
                <w:sz w:val="16"/>
              </w:rPr>
            </w:pPr>
          </w:p>
        </w:tc>
        <w:tc>
          <w:tcPr>
            <w:tcW w:w="1169" w:type="dxa"/>
            <w:vAlign w:val="top"/>
          </w:tcPr>
          <w:p>
            <w:pPr>
              <w:spacing w:line="189" w:lineRule="exact"/>
              <w:rPr>
                <w:rFonts w:ascii="Arial"/>
                <w:sz w:val="16"/>
              </w:rPr>
            </w:pPr>
          </w:p>
        </w:tc>
        <w:tc>
          <w:tcPr>
            <w:tcW w:w="1069" w:type="dxa"/>
            <w:vAlign w:val="top"/>
          </w:tcPr>
          <w:p>
            <w:pPr>
              <w:spacing w:line="189" w:lineRule="exact"/>
              <w:rPr>
                <w:rFonts w:ascii="Arial"/>
                <w:sz w:val="16"/>
              </w:rPr>
            </w:pPr>
          </w:p>
        </w:tc>
        <w:tc>
          <w:tcPr>
            <w:tcW w:w="1064" w:type="dxa"/>
            <w:vAlign w:val="top"/>
          </w:tcPr>
          <w:p>
            <w:pPr>
              <w:spacing w:line="189"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824" w:type="dxa"/>
            <w:vAlign w:val="top"/>
          </w:tcPr>
          <w:p>
            <w:pPr>
              <w:pStyle w:val="6"/>
              <w:spacing w:before="39" w:line="216" w:lineRule="auto"/>
              <w:ind w:left="104"/>
              <w:rPr>
                <w:sz w:val="18"/>
                <w:szCs w:val="18"/>
              </w:rPr>
            </w:pPr>
            <w:r>
              <w:rPr>
                <w:spacing w:val="4"/>
                <w:sz w:val="18"/>
                <w:szCs w:val="18"/>
              </w:rPr>
              <w:t>医师</w:t>
            </w:r>
          </w:p>
        </w:tc>
        <w:tc>
          <w:tcPr>
            <w:tcW w:w="949" w:type="dxa"/>
            <w:vAlign w:val="top"/>
          </w:tcPr>
          <w:p>
            <w:pPr>
              <w:rPr>
                <w:rFonts w:ascii="Arial"/>
                <w:sz w:val="21"/>
              </w:rPr>
            </w:pPr>
          </w:p>
        </w:tc>
        <w:tc>
          <w:tcPr>
            <w:tcW w:w="1169" w:type="dxa"/>
            <w:vAlign w:val="top"/>
          </w:tcPr>
          <w:p>
            <w:pPr>
              <w:rPr>
                <w:rFonts w:ascii="Arial"/>
                <w:sz w:val="21"/>
              </w:rPr>
            </w:pPr>
          </w:p>
        </w:tc>
        <w:tc>
          <w:tcPr>
            <w:tcW w:w="1699" w:type="dxa"/>
            <w:vAlign w:val="top"/>
          </w:tcPr>
          <w:p>
            <w:pPr>
              <w:rPr>
                <w:rFonts w:ascii="Arial"/>
                <w:sz w:val="21"/>
              </w:rPr>
            </w:pPr>
          </w:p>
        </w:tc>
        <w:tc>
          <w:tcPr>
            <w:tcW w:w="1159" w:type="dxa"/>
            <w:vAlign w:val="top"/>
          </w:tcPr>
          <w:p>
            <w:pPr>
              <w:rPr>
                <w:rFonts w:ascii="Arial"/>
                <w:sz w:val="21"/>
              </w:rPr>
            </w:pPr>
          </w:p>
        </w:tc>
        <w:tc>
          <w:tcPr>
            <w:tcW w:w="240" w:type="dxa"/>
            <w:vMerge w:val="continue"/>
            <w:tcBorders>
              <w:top w:val="nil"/>
              <w:bottom w:val="nil"/>
            </w:tcBorders>
            <w:vAlign w:val="top"/>
          </w:tcPr>
          <w:p>
            <w:pPr>
              <w:rPr>
                <w:rFonts w:ascii="Arial"/>
                <w:sz w:val="21"/>
              </w:rPr>
            </w:pPr>
          </w:p>
        </w:tc>
        <w:tc>
          <w:tcPr>
            <w:tcW w:w="6339" w:type="dxa"/>
            <w:gridSpan w:val="6"/>
            <w:vAlign w:val="top"/>
          </w:tcPr>
          <w:p>
            <w:pPr>
              <w:pStyle w:val="6"/>
              <w:spacing w:before="39" w:line="216" w:lineRule="auto"/>
              <w:ind w:left="224"/>
              <w:rPr>
                <w:sz w:val="18"/>
                <w:szCs w:val="18"/>
              </w:rPr>
            </w:pPr>
            <w:r>
              <w:rPr>
                <w:spacing w:val="2"/>
                <w:sz w:val="18"/>
                <w:szCs w:val="18"/>
              </w:rPr>
              <w:t>三、固定资产折旧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824" w:type="dxa"/>
            <w:vAlign w:val="top"/>
          </w:tcPr>
          <w:p>
            <w:pPr>
              <w:rPr>
                <w:rFonts w:ascii="Arial"/>
                <w:sz w:val="21"/>
              </w:rPr>
            </w:pPr>
          </w:p>
        </w:tc>
        <w:tc>
          <w:tcPr>
            <w:tcW w:w="949" w:type="dxa"/>
            <w:vAlign w:val="top"/>
          </w:tcPr>
          <w:p>
            <w:pPr>
              <w:rPr>
                <w:rFonts w:ascii="Arial"/>
                <w:sz w:val="21"/>
              </w:rPr>
            </w:pPr>
          </w:p>
        </w:tc>
        <w:tc>
          <w:tcPr>
            <w:tcW w:w="1169" w:type="dxa"/>
            <w:vAlign w:val="top"/>
          </w:tcPr>
          <w:p>
            <w:pPr>
              <w:rPr>
                <w:rFonts w:ascii="Arial"/>
                <w:sz w:val="21"/>
              </w:rPr>
            </w:pPr>
          </w:p>
        </w:tc>
        <w:tc>
          <w:tcPr>
            <w:tcW w:w="1699" w:type="dxa"/>
            <w:vAlign w:val="top"/>
          </w:tcPr>
          <w:p>
            <w:pPr>
              <w:rPr>
                <w:rFonts w:ascii="Arial"/>
                <w:sz w:val="21"/>
              </w:rPr>
            </w:pPr>
          </w:p>
        </w:tc>
        <w:tc>
          <w:tcPr>
            <w:tcW w:w="1159" w:type="dxa"/>
            <w:vAlign w:val="top"/>
          </w:tcPr>
          <w:p>
            <w:pPr>
              <w:rPr>
                <w:rFonts w:ascii="Arial"/>
                <w:sz w:val="21"/>
              </w:rPr>
            </w:pPr>
          </w:p>
        </w:tc>
        <w:tc>
          <w:tcPr>
            <w:tcW w:w="240" w:type="dxa"/>
            <w:vMerge w:val="continue"/>
            <w:tcBorders>
              <w:top w:val="nil"/>
              <w:bottom w:val="nil"/>
            </w:tcBorders>
            <w:vAlign w:val="top"/>
          </w:tcPr>
          <w:p>
            <w:pPr>
              <w:rPr>
                <w:rFonts w:ascii="Arial"/>
                <w:sz w:val="21"/>
              </w:rPr>
            </w:pPr>
          </w:p>
        </w:tc>
        <w:tc>
          <w:tcPr>
            <w:tcW w:w="6339" w:type="dxa"/>
            <w:gridSpan w:val="6"/>
            <w:vAlign w:val="top"/>
          </w:tcPr>
          <w:p>
            <w:pPr>
              <w:pStyle w:val="6"/>
              <w:spacing w:before="49" w:line="219" w:lineRule="auto"/>
              <w:ind w:left="224"/>
              <w:rPr>
                <w:sz w:val="18"/>
                <w:szCs w:val="18"/>
              </w:rPr>
            </w:pPr>
            <w:r>
              <w:rPr>
                <w:sz w:val="18"/>
                <w:szCs w:val="18"/>
              </w:rPr>
              <w:t>(一)医疗仪器设备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1824" w:type="dxa"/>
            <w:vAlign w:val="top"/>
          </w:tcPr>
          <w:p>
            <w:pPr>
              <w:pStyle w:val="6"/>
              <w:spacing w:before="1" w:line="193" w:lineRule="auto"/>
              <w:ind w:left="104"/>
              <w:rPr>
                <w:sz w:val="18"/>
                <w:szCs w:val="18"/>
              </w:rPr>
            </w:pPr>
            <w:r>
              <w:rPr>
                <w:spacing w:val="-3"/>
                <w:sz w:val="18"/>
                <w:szCs w:val="18"/>
              </w:rPr>
              <w:t>小计</w:t>
            </w:r>
          </w:p>
        </w:tc>
        <w:tc>
          <w:tcPr>
            <w:tcW w:w="949" w:type="dxa"/>
            <w:vAlign w:val="top"/>
          </w:tcPr>
          <w:p>
            <w:pPr>
              <w:spacing w:line="190" w:lineRule="exact"/>
              <w:rPr>
                <w:rFonts w:ascii="Arial"/>
                <w:sz w:val="16"/>
              </w:rPr>
            </w:pPr>
          </w:p>
        </w:tc>
        <w:tc>
          <w:tcPr>
            <w:tcW w:w="1169" w:type="dxa"/>
            <w:vAlign w:val="top"/>
          </w:tcPr>
          <w:p>
            <w:pPr>
              <w:spacing w:line="190" w:lineRule="exact"/>
              <w:rPr>
                <w:rFonts w:ascii="Arial"/>
                <w:sz w:val="16"/>
              </w:rPr>
            </w:pPr>
          </w:p>
        </w:tc>
        <w:tc>
          <w:tcPr>
            <w:tcW w:w="1699" w:type="dxa"/>
            <w:vAlign w:val="top"/>
          </w:tcPr>
          <w:p>
            <w:pPr>
              <w:spacing w:line="190" w:lineRule="exact"/>
              <w:rPr>
                <w:rFonts w:ascii="Arial"/>
                <w:sz w:val="16"/>
              </w:rPr>
            </w:pPr>
          </w:p>
        </w:tc>
        <w:tc>
          <w:tcPr>
            <w:tcW w:w="1159" w:type="dxa"/>
            <w:vAlign w:val="top"/>
          </w:tcPr>
          <w:p>
            <w:pPr>
              <w:spacing w:line="190" w:lineRule="exact"/>
              <w:rPr>
                <w:rFonts w:ascii="Arial"/>
                <w:sz w:val="16"/>
              </w:rPr>
            </w:pPr>
          </w:p>
        </w:tc>
        <w:tc>
          <w:tcPr>
            <w:tcW w:w="240" w:type="dxa"/>
            <w:vMerge w:val="continue"/>
            <w:tcBorders>
              <w:top w:val="nil"/>
              <w:bottom w:val="nil"/>
            </w:tcBorders>
            <w:vAlign w:val="top"/>
          </w:tcPr>
          <w:p>
            <w:pPr>
              <w:rPr>
                <w:rFonts w:ascii="Arial"/>
                <w:sz w:val="21"/>
              </w:rPr>
            </w:pPr>
          </w:p>
        </w:tc>
        <w:tc>
          <w:tcPr>
            <w:tcW w:w="1549" w:type="dxa"/>
            <w:vAlign w:val="top"/>
          </w:tcPr>
          <w:p>
            <w:pPr>
              <w:pStyle w:val="6"/>
              <w:spacing w:before="1" w:line="193" w:lineRule="auto"/>
              <w:ind w:left="404"/>
              <w:rPr>
                <w:sz w:val="18"/>
                <w:szCs w:val="18"/>
              </w:rPr>
            </w:pPr>
            <w:r>
              <w:rPr>
                <w:spacing w:val="-2"/>
                <w:sz w:val="18"/>
                <w:szCs w:val="18"/>
              </w:rPr>
              <w:t>设备名称</w:t>
            </w:r>
          </w:p>
        </w:tc>
        <w:tc>
          <w:tcPr>
            <w:tcW w:w="1488" w:type="dxa"/>
            <w:gridSpan w:val="2"/>
            <w:vAlign w:val="top"/>
          </w:tcPr>
          <w:p>
            <w:pPr>
              <w:pStyle w:val="6"/>
              <w:spacing w:line="194" w:lineRule="auto"/>
              <w:ind w:left="555"/>
              <w:rPr>
                <w:sz w:val="18"/>
                <w:szCs w:val="18"/>
              </w:rPr>
            </w:pPr>
            <w:r>
              <w:rPr>
                <w:spacing w:val="-3"/>
                <w:sz w:val="18"/>
                <w:szCs w:val="18"/>
              </w:rPr>
              <w:t>原值</w:t>
            </w:r>
          </w:p>
        </w:tc>
        <w:tc>
          <w:tcPr>
            <w:tcW w:w="1169" w:type="dxa"/>
            <w:vAlign w:val="top"/>
          </w:tcPr>
          <w:p>
            <w:pPr>
              <w:pStyle w:val="6"/>
              <w:spacing w:line="194" w:lineRule="auto"/>
              <w:ind w:left="217"/>
              <w:rPr>
                <w:sz w:val="18"/>
                <w:szCs w:val="18"/>
              </w:rPr>
            </w:pPr>
            <w:r>
              <w:rPr>
                <w:spacing w:val="-2"/>
                <w:sz w:val="18"/>
                <w:szCs w:val="18"/>
              </w:rPr>
              <w:t>使用年限</w:t>
            </w:r>
          </w:p>
        </w:tc>
        <w:tc>
          <w:tcPr>
            <w:tcW w:w="1069" w:type="dxa"/>
            <w:vAlign w:val="top"/>
          </w:tcPr>
          <w:p>
            <w:pPr>
              <w:pStyle w:val="6"/>
              <w:spacing w:line="194" w:lineRule="auto"/>
              <w:ind w:left="168"/>
              <w:rPr>
                <w:sz w:val="18"/>
                <w:szCs w:val="18"/>
              </w:rPr>
            </w:pPr>
            <w:r>
              <w:rPr>
                <w:spacing w:val="4"/>
                <w:sz w:val="18"/>
                <w:szCs w:val="18"/>
              </w:rPr>
              <w:t>使用时间</w:t>
            </w:r>
          </w:p>
        </w:tc>
        <w:tc>
          <w:tcPr>
            <w:tcW w:w="1064" w:type="dxa"/>
            <w:vAlign w:val="top"/>
          </w:tcPr>
          <w:p>
            <w:pPr>
              <w:pStyle w:val="6"/>
              <w:spacing w:line="194" w:lineRule="auto"/>
              <w:ind w:left="169"/>
              <w:rPr>
                <w:sz w:val="18"/>
                <w:szCs w:val="18"/>
              </w:rPr>
            </w:pPr>
            <w:r>
              <w:rPr>
                <w:spacing w:val="-2"/>
                <w:sz w:val="18"/>
                <w:szCs w:val="18"/>
              </w:rPr>
              <w:t>应计金额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824" w:type="dxa"/>
            <w:vAlign w:val="top"/>
          </w:tcPr>
          <w:p>
            <w:pPr>
              <w:pStyle w:val="6"/>
              <w:spacing w:before="49" w:line="219" w:lineRule="auto"/>
              <w:ind w:left="104"/>
              <w:rPr>
                <w:sz w:val="18"/>
                <w:szCs w:val="18"/>
              </w:rPr>
            </w:pPr>
            <w:r>
              <w:rPr>
                <w:spacing w:val="2"/>
                <w:sz w:val="18"/>
                <w:szCs w:val="18"/>
              </w:rPr>
              <w:t>二、材料消耗支出</w:t>
            </w:r>
          </w:p>
        </w:tc>
        <w:tc>
          <w:tcPr>
            <w:tcW w:w="949" w:type="dxa"/>
            <w:vAlign w:val="top"/>
          </w:tcPr>
          <w:p>
            <w:pPr>
              <w:rPr>
                <w:rFonts w:ascii="Arial"/>
                <w:sz w:val="21"/>
              </w:rPr>
            </w:pPr>
          </w:p>
        </w:tc>
        <w:tc>
          <w:tcPr>
            <w:tcW w:w="1169" w:type="dxa"/>
            <w:vAlign w:val="top"/>
          </w:tcPr>
          <w:p>
            <w:pPr>
              <w:rPr>
                <w:rFonts w:ascii="Arial"/>
                <w:sz w:val="21"/>
              </w:rPr>
            </w:pPr>
          </w:p>
        </w:tc>
        <w:tc>
          <w:tcPr>
            <w:tcW w:w="1699" w:type="dxa"/>
            <w:vAlign w:val="top"/>
          </w:tcPr>
          <w:p>
            <w:pPr>
              <w:rPr>
                <w:rFonts w:ascii="Arial"/>
                <w:sz w:val="21"/>
              </w:rPr>
            </w:pPr>
          </w:p>
        </w:tc>
        <w:tc>
          <w:tcPr>
            <w:tcW w:w="1159" w:type="dxa"/>
            <w:vAlign w:val="top"/>
          </w:tcPr>
          <w:p>
            <w:pPr>
              <w:rPr>
                <w:rFonts w:ascii="Arial"/>
                <w:sz w:val="21"/>
              </w:rPr>
            </w:pPr>
          </w:p>
        </w:tc>
        <w:tc>
          <w:tcPr>
            <w:tcW w:w="240" w:type="dxa"/>
            <w:vMerge w:val="continue"/>
            <w:tcBorders>
              <w:top w:val="nil"/>
              <w:bottom w:val="nil"/>
            </w:tcBorders>
            <w:vAlign w:val="top"/>
          </w:tcPr>
          <w:p>
            <w:pPr>
              <w:rPr>
                <w:rFonts w:ascii="Arial"/>
                <w:sz w:val="21"/>
              </w:rPr>
            </w:pPr>
          </w:p>
        </w:tc>
        <w:tc>
          <w:tcPr>
            <w:tcW w:w="1549" w:type="dxa"/>
            <w:vAlign w:val="top"/>
          </w:tcPr>
          <w:p>
            <w:pPr>
              <w:rPr>
                <w:rFonts w:ascii="Arial"/>
                <w:sz w:val="21"/>
              </w:rPr>
            </w:pPr>
          </w:p>
        </w:tc>
        <w:tc>
          <w:tcPr>
            <w:tcW w:w="1488" w:type="dxa"/>
            <w:gridSpan w:val="2"/>
            <w:vAlign w:val="top"/>
          </w:tcPr>
          <w:p>
            <w:pPr>
              <w:rPr>
                <w:rFonts w:ascii="Arial"/>
                <w:sz w:val="21"/>
              </w:rPr>
            </w:pPr>
          </w:p>
        </w:tc>
        <w:tc>
          <w:tcPr>
            <w:tcW w:w="1169" w:type="dxa"/>
            <w:vAlign w:val="top"/>
          </w:tcPr>
          <w:p>
            <w:pPr>
              <w:rPr>
                <w:rFonts w:ascii="Arial"/>
                <w:sz w:val="21"/>
              </w:rPr>
            </w:pPr>
          </w:p>
        </w:tc>
        <w:tc>
          <w:tcPr>
            <w:tcW w:w="1069" w:type="dxa"/>
            <w:vAlign w:val="top"/>
          </w:tcPr>
          <w:p>
            <w:pPr>
              <w:rPr>
                <w:rFonts w:ascii="Arial"/>
                <w:sz w:val="21"/>
              </w:rPr>
            </w:pPr>
          </w:p>
        </w:tc>
        <w:tc>
          <w:tcPr>
            <w:tcW w:w="10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6800" w:type="dxa"/>
            <w:gridSpan w:val="5"/>
            <w:vAlign w:val="top"/>
          </w:tcPr>
          <w:p>
            <w:pPr>
              <w:pStyle w:val="6"/>
              <w:spacing w:before="50" w:line="214" w:lineRule="auto"/>
              <w:ind w:left="204"/>
              <w:rPr>
                <w:sz w:val="18"/>
                <w:szCs w:val="18"/>
              </w:rPr>
            </w:pPr>
            <w:r>
              <w:rPr>
                <w:sz w:val="18"/>
                <w:szCs w:val="18"/>
              </w:rPr>
              <w:t>(一)卫生材料</w:t>
            </w:r>
          </w:p>
        </w:tc>
        <w:tc>
          <w:tcPr>
            <w:tcW w:w="240" w:type="dxa"/>
            <w:vMerge w:val="continue"/>
            <w:tcBorders>
              <w:top w:val="nil"/>
              <w:bottom w:val="nil"/>
            </w:tcBorders>
            <w:vAlign w:val="top"/>
          </w:tcPr>
          <w:p>
            <w:pPr>
              <w:rPr>
                <w:rFonts w:ascii="Arial"/>
                <w:sz w:val="21"/>
              </w:rPr>
            </w:pPr>
          </w:p>
        </w:tc>
        <w:tc>
          <w:tcPr>
            <w:tcW w:w="1549" w:type="dxa"/>
            <w:vAlign w:val="top"/>
          </w:tcPr>
          <w:p>
            <w:pPr>
              <w:rPr>
                <w:rFonts w:ascii="Arial"/>
                <w:sz w:val="21"/>
              </w:rPr>
            </w:pPr>
          </w:p>
        </w:tc>
        <w:tc>
          <w:tcPr>
            <w:tcW w:w="1488" w:type="dxa"/>
            <w:gridSpan w:val="2"/>
            <w:vAlign w:val="top"/>
          </w:tcPr>
          <w:p>
            <w:pPr>
              <w:rPr>
                <w:rFonts w:ascii="Arial"/>
                <w:sz w:val="21"/>
              </w:rPr>
            </w:pPr>
          </w:p>
        </w:tc>
        <w:tc>
          <w:tcPr>
            <w:tcW w:w="1169" w:type="dxa"/>
            <w:vAlign w:val="top"/>
          </w:tcPr>
          <w:p>
            <w:pPr>
              <w:rPr>
                <w:rFonts w:ascii="Arial"/>
                <w:sz w:val="21"/>
              </w:rPr>
            </w:pPr>
          </w:p>
        </w:tc>
        <w:tc>
          <w:tcPr>
            <w:tcW w:w="1069" w:type="dxa"/>
            <w:vAlign w:val="top"/>
          </w:tcPr>
          <w:p>
            <w:pPr>
              <w:rPr>
                <w:rFonts w:ascii="Arial"/>
                <w:sz w:val="21"/>
              </w:rPr>
            </w:pPr>
          </w:p>
        </w:tc>
        <w:tc>
          <w:tcPr>
            <w:tcW w:w="10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824" w:type="dxa"/>
            <w:vAlign w:val="top"/>
          </w:tcPr>
          <w:p>
            <w:pPr>
              <w:pStyle w:val="6"/>
              <w:spacing w:before="25" w:line="179" w:lineRule="auto"/>
              <w:ind w:left="724"/>
              <w:rPr>
                <w:sz w:val="18"/>
                <w:szCs w:val="18"/>
              </w:rPr>
            </w:pPr>
            <w:r>
              <w:rPr>
                <w:spacing w:val="16"/>
                <w:sz w:val="18"/>
                <w:szCs w:val="18"/>
              </w:rPr>
              <w:t>品名</w:t>
            </w:r>
          </w:p>
        </w:tc>
        <w:tc>
          <w:tcPr>
            <w:tcW w:w="949" w:type="dxa"/>
            <w:vAlign w:val="top"/>
          </w:tcPr>
          <w:p>
            <w:pPr>
              <w:spacing w:line="194" w:lineRule="exact"/>
              <w:ind w:firstLine="289"/>
            </w:pPr>
            <w:r>
              <w:rPr>
                <w:position w:val="-3"/>
              </w:rPr>
              <w:drawing>
                <wp:inline distT="0" distB="0" distL="0" distR="0">
                  <wp:extent cx="231140" cy="12319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4"/>
                          <a:stretch>
                            <a:fillRect/>
                          </a:stretch>
                        </pic:blipFill>
                        <pic:spPr>
                          <a:xfrm>
                            <a:off x="0" y="0"/>
                            <a:ext cx="231253" cy="123798"/>
                          </a:xfrm>
                          <a:prstGeom prst="rect">
                            <a:avLst/>
                          </a:prstGeom>
                        </pic:spPr>
                      </pic:pic>
                    </a:graphicData>
                  </a:graphic>
                </wp:inline>
              </w:drawing>
            </w:r>
          </w:p>
        </w:tc>
        <w:tc>
          <w:tcPr>
            <w:tcW w:w="1169" w:type="dxa"/>
            <w:vAlign w:val="top"/>
          </w:tcPr>
          <w:p>
            <w:pPr>
              <w:pStyle w:val="6"/>
              <w:spacing w:before="22" w:line="182" w:lineRule="auto"/>
              <w:ind w:left="391"/>
              <w:rPr>
                <w:sz w:val="18"/>
                <w:szCs w:val="18"/>
              </w:rPr>
            </w:pPr>
            <w:r>
              <w:rPr>
                <w:spacing w:val="-3"/>
                <w:sz w:val="18"/>
                <w:szCs w:val="18"/>
              </w:rPr>
              <w:t>数量</w:t>
            </w:r>
          </w:p>
        </w:tc>
        <w:tc>
          <w:tcPr>
            <w:tcW w:w="1699" w:type="dxa"/>
            <w:vAlign w:val="top"/>
          </w:tcPr>
          <w:p>
            <w:pPr>
              <w:pStyle w:val="6"/>
              <w:spacing w:before="20" w:line="184" w:lineRule="auto"/>
              <w:ind w:left="662"/>
              <w:rPr>
                <w:sz w:val="18"/>
                <w:szCs w:val="18"/>
              </w:rPr>
            </w:pPr>
            <w:r>
              <w:rPr>
                <w:spacing w:val="-3"/>
                <w:sz w:val="18"/>
                <w:szCs w:val="18"/>
              </w:rPr>
              <w:t>单价</w:t>
            </w:r>
          </w:p>
        </w:tc>
        <w:tc>
          <w:tcPr>
            <w:tcW w:w="1159" w:type="dxa"/>
            <w:vAlign w:val="top"/>
          </w:tcPr>
          <w:p>
            <w:pPr>
              <w:pStyle w:val="6"/>
              <w:spacing w:before="22" w:line="182" w:lineRule="auto"/>
              <w:ind w:left="214"/>
              <w:rPr>
                <w:sz w:val="18"/>
                <w:szCs w:val="18"/>
              </w:rPr>
            </w:pPr>
            <w:r>
              <w:rPr>
                <w:spacing w:val="-2"/>
                <w:sz w:val="18"/>
                <w:szCs w:val="18"/>
              </w:rPr>
              <w:t>应计金额</w:t>
            </w:r>
          </w:p>
        </w:tc>
        <w:tc>
          <w:tcPr>
            <w:tcW w:w="240" w:type="dxa"/>
            <w:vMerge w:val="continue"/>
            <w:tcBorders>
              <w:top w:val="nil"/>
              <w:bottom w:val="nil"/>
            </w:tcBorders>
            <w:vAlign w:val="top"/>
          </w:tcPr>
          <w:p>
            <w:pPr>
              <w:rPr>
                <w:rFonts w:ascii="Arial"/>
                <w:sz w:val="21"/>
              </w:rPr>
            </w:pPr>
          </w:p>
        </w:tc>
        <w:tc>
          <w:tcPr>
            <w:tcW w:w="1549" w:type="dxa"/>
            <w:vAlign w:val="top"/>
          </w:tcPr>
          <w:p>
            <w:pPr>
              <w:spacing w:line="200" w:lineRule="exact"/>
              <w:rPr>
                <w:rFonts w:ascii="Arial"/>
                <w:sz w:val="17"/>
              </w:rPr>
            </w:pPr>
          </w:p>
        </w:tc>
        <w:tc>
          <w:tcPr>
            <w:tcW w:w="1488" w:type="dxa"/>
            <w:gridSpan w:val="2"/>
            <w:vAlign w:val="top"/>
          </w:tcPr>
          <w:p>
            <w:pPr>
              <w:spacing w:line="200" w:lineRule="exact"/>
              <w:rPr>
                <w:rFonts w:ascii="Arial"/>
                <w:sz w:val="17"/>
              </w:rPr>
            </w:pPr>
          </w:p>
        </w:tc>
        <w:tc>
          <w:tcPr>
            <w:tcW w:w="1169" w:type="dxa"/>
            <w:vAlign w:val="top"/>
          </w:tcPr>
          <w:p>
            <w:pPr>
              <w:spacing w:line="200" w:lineRule="exact"/>
              <w:rPr>
                <w:rFonts w:ascii="Arial"/>
                <w:sz w:val="17"/>
              </w:rPr>
            </w:pPr>
          </w:p>
        </w:tc>
        <w:tc>
          <w:tcPr>
            <w:tcW w:w="1069" w:type="dxa"/>
            <w:vAlign w:val="top"/>
          </w:tcPr>
          <w:p>
            <w:pPr>
              <w:spacing w:line="200" w:lineRule="exact"/>
              <w:rPr>
                <w:rFonts w:ascii="Arial"/>
                <w:sz w:val="17"/>
              </w:rPr>
            </w:pPr>
          </w:p>
        </w:tc>
        <w:tc>
          <w:tcPr>
            <w:tcW w:w="1064" w:type="dxa"/>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1824" w:type="dxa"/>
            <w:vAlign w:val="top"/>
          </w:tcPr>
          <w:p>
            <w:pPr>
              <w:spacing w:line="190" w:lineRule="exact"/>
              <w:rPr>
                <w:rFonts w:ascii="Arial"/>
                <w:sz w:val="16"/>
              </w:rPr>
            </w:pPr>
          </w:p>
        </w:tc>
        <w:tc>
          <w:tcPr>
            <w:tcW w:w="949" w:type="dxa"/>
            <w:vAlign w:val="top"/>
          </w:tcPr>
          <w:p>
            <w:pPr>
              <w:spacing w:line="190" w:lineRule="exact"/>
              <w:rPr>
                <w:rFonts w:ascii="Arial"/>
                <w:sz w:val="16"/>
              </w:rPr>
            </w:pPr>
          </w:p>
        </w:tc>
        <w:tc>
          <w:tcPr>
            <w:tcW w:w="1169" w:type="dxa"/>
            <w:vAlign w:val="top"/>
          </w:tcPr>
          <w:p>
            <w:pPr>
              <w:spacing w:line="190" w:lineRule="exact"/>
              <w:rPr>
                <w:rFonts w:ascii="Arial"/>
                <w:sz w:val="16"/>
              </w:rPr>
            </w:pPr>
          </w:p>
        </w:tc>
        <w:tc>
          <w:tcPr>
            <w:tcW w:w="1699" w:type="dxa"/>
            <w:vAlign w:val="top"/>
          </w:tcPr>
          <w:p>
            <w:pPr>
              <w:spacing w:line="190" w:lineRule="exact"/>
              <w:rPr>
                <w:rFonts w:ascii="Arial"/>
                <w:sz w:val="16"/>
              </w:rPr>
            </w:pPr>
          </w:p>
        </w:tc>
        <w:tc>
          <w:tcPr>
            <w:tcW w:w="1159" w:type="dxa"/>
            <w:vAlign w:val="top"/>
          </w:tcPr>
          <w:p>
            <w:pPr>
              <w:spacing w:line="190" w:lineRule="exact"/>
              <w:rPr>
                <w:rFonts w:ascii="Arial"/>
                <w:sz w:val="16"/>
              </w:rPr>
            </w:pPr>
          </w:p>
        </w:tc>
        <w:tc>
          <w:tcPr>
            <w:tcW w:w="240" w:type="dxa"/>
            <w:vMerge w:val="continue"/>
            <w:tcBorders>
              <w:top w:val="nil"/>
              <w:bottom w:val="nil"/>
            </w:tcBorders>
            <w:vAlign w:val="top"/>
          </w:tcPr>
          <w:p>
            <w:pPr>
              <w:rPr>
                <w:rFonts w:ascii="Arial"/>
                <w:sz w:val="21"/>
              </w:rPr>
            </w:pPr>
          </w:p>
        </w:tc>
        <w:tc>
          <w:tcPr>
            <w:tcW w:w="1549" w:type="dxa"/>
            <w:vAlign w:val="top"/>
          </w:tcPr>
          <w:p>
            <w:pPr>
              <w:spacing w:line="190" w:lineRule="exact"/>
              <w:rPr>
                <w:rFonts w:ascii="Arial"/>
                <w:sz w:val="16"/>
              </w:rPr>
            </w:pPr>
          </w:p>
        </w:tc>
        <w:tc>
          <w:tcPr>
            <w:tcW w:w="1488" w:type="dxa"/>
            <w:gridSpan w:val="2"/>
            <w:vAlign w:val="top"/>
          </w:tcPr>
          <w:p>
            <w:pPr>
              <w:spacing w:line="190" w:lineRule="exact"/>
              <w:rPr>
                <w:rFonts w:ascii="Arial"/>
                <w:sz w:val="16"/>
              </w:rPr>
            </w:pPr>
          </w:p>
        </w:tc>
        <w:tc>
          <w:tcPr>
            <w:tcW w:w="1169" w:type="dxa"/>
            <w:vAlign w:val="top"/>
          </w:tcPr>
          <w:p>
            <w:pPr>
              <w:spacing w:line="190" w:lineRule="exact"/>
              <w:rPr>
                <w:rFonts w:ascii="Arial"/>
                <w:sz w:val="16"/>
              </w:rPr>
            </w:pPr>
          </w:p>
        </w:tc>
        <w:tc>
          <w:tcPr>
            <w:tcW w:w="1069" w:type="dxa"/>
            <w:vAlign w:val="top"/>
          </w:tcPr>
          <w:p>
            <w:pPr>
              <w:spacing w:line="190" w:lineRule="exact"/>
              <w:rPr>
                <w:rFonts w:ascii="Arial"/>
                <w:sz w:val="16"/>
              </w:rPr>
            </w:pPr>
          </w:p>
        </w:tc>
        <w:tc>
          <w:tcPr>
            <w:tcW w:w="1064" w:type="dxa"/>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1824" w:type="dxa"/>
            <w:vAlign w:val="top"/>
          </w:tcPr>
          <w:p>
            <w:pPr>
              <w:pStyle w:val="6"/>
              <w:spacing w:before="3" w:line="190" w:lineRule="auto"/>
              <w:ind w:left="734"/>
              <w:rPr>
                <w:sz w:val="18"/>
                <w:szCs w:val="18"/>
              </w:rPr>
            </w:pPr>
            <w:r>
              <w:rPr>
                <w:spacing w:val="-3"/>
                <w:sz w:val="18"/>
                <w:szCs w:val="18"/>
              </w:rPr>
              <w:t>小计</w:t>
            </w:r>
          </w:p>
        </w:tc>
        <w:tc>
          <w:tcPr>
            <w:tcW w:w="949" w:type="dxa"/>
            <w:vAlign w:val="top"/>
          </w:tcPr>
          <w:p>
            <w:pPr>
              <w:spacing w:line="189" w:lineRule="exact"/>
              <w:rPr>
                <w:rFonts w:ascii="Arial"/>
                <w:sz w:val="16"/>
              </w:rPr>
            </w:pPr>
          </w:p>
        </w:tc>
        <w:tc>
          <w:tcPr>
            <w:tcW w:w="1169" w:type="dxa"/>
            <w:vAlign w:val="top"/>
          </w:tcPr>
          <w:p>
            <w:pPr>
              <w:spacing w:line="189" w:lineRule="exact"/>
              <w:rPr>
                <w:rFonts w:ascii="Arial"/>
                <w:sz w:val="16"/>
              </w:rPr>
            </w:pPr>
          </w:p>
        </w:tc>
        <w:tc>
          <w:tcPr>
            <w:tcW w:w="1699" w:type="dxa"/>
            <w:vAlign w:val="top"/>
          </w:tcPr>
          <w:p>
            <w:pPr>
              <w:spacing w:line="189" w:lineRule="exact"/>
              <w:rPr>
                <w:rFonts w:ascii="Arial"/>
                <w:sz w:val="16"/>
              </w:rPr>
            </w:pPr>
          </w:p>
        </w:tc>
        <w:tc>
          <w:tcPr>
            <w:tcW w:w="1159" w:type="dxa"/>
            <w:vAlign w:val="top"/>
          </w:tcPr>
          <w:p>
            <w:pPr>
              <w:spacing w:line="189" w:lineRule="exact"/>
              <w:rPr>
                <w:rFonts w:ascii="Arial"/>
                <w:sz w:val="16"/>
              </w:rPr>
            </w:pPr>
          </w:p>
        </w:tc>
        <w:tc>
          <w:tcPr>
            <w:tcW w:w="240" w:type="dxa"/>
            <w:vMerge w:val="continue"/>
            <w:tcBorders>
              <w:top w:val="nil"/>
              <w:bottom w:val="nil"/>
            </w:tcBorders>
            <w:vAlign w:val="top"/>
          </w:tcPr>
          <w:p>
            <w:pPr>
              <w:rPr>
                <w:rFonts w:ascii="Arial"/>
                <w:sz w:val="21"/>
              </w:rPr>
            </w:pPr>
          </w:p>
        </w:tc>
        <w:tc>
          <w:tcPr>
            <w:tcW w:w="1549" w:type="dxa"/>
            <w:vAlign w:val="top"/>
          </w:tcPr>
          <w:p>
            <w:pPr>
              <w:spacing w:line="189" w:lineRule="exact"/>
              <w:rPr>
                <w:rFonts w:ascii="Arial"/>
                <w:sz w:val="16"/>
              </w:rPr>
            </w:pPr>
          </w:p>
        </w:tc>
        <w:tc>
          <w:tcPr>
            <w:tcW w:w="1488" w:type="dxa"/>
            <w:gridSpan w:val="2"/>
            <w:vAlign w:val="top"/>
          </w:tcPr>
          <w:p>
            <w:pPr>
              <w:spacing w:line="189" w:lineRule="exact"/>
              <w:rPr>
                <w:rFonts w:ascii="Arial"/>
                <w:sz w:val="16"/>
              </w:rPr>
            </w:pPr>
          </w:p>
        </w:tc>
        <w:tc>
          <w:tcPr>
            <w:tcW w:w="1169" w:type="dxa"/>
            <w:vAlign w:val="top"/>
          </w:tcPr>
          <w:p>
            <w:pPr>
              <w:spacing w:line="189" w:lineRule="exact"/>
              <w:rPr>
                <w:rFonts w:ascii="Arial"/>
                <w:sz w:val="16"/>
              </w:rPr>
            </w:pPr>
          </w:p>
        </w:tc>
        <w:tc>
          <w:tcPr>
            <w:tcW w:w="1069" w:type="dxa"/>
            <w:vAlign w:val="top"/>
          </w:tcPr>
          <w:p>
            <w:pPr>
              <w:spacing w:line="189" w:lineRule="exact"/>
              <w:rPr>
                <w:rFonts w:ascii="Arial"/>
                <w:sz w:val="16"/>
              </w:rPr>
            </w:pPr>
          </w:p>
        </w:tc>
        <w:tc>
          <w:tcPr>
            <w:tcW w:w="1064" w:type="dxa"/>
            <w:vAlign w:val="top"/>
          </w:tcPr>
          <w:p>
            <w:pPr>
              <w:spacing w:line="189"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5641" w:type="dxa"/>
            <w:gridSpan w:val="4"/>
            <w:vAlign w:val="top"/>
          </w:tcPr>
          <w:p>
            <w:pPr>
              <w:pStyle w:val="6"/>
              <w:spacing w:before="2" w:line="192" w:lineRule="auto"/>
              <w:ind w:left="214"/>
              <w:rPr>
                <w:sz w:val="18"/>
                <w:szCs w:val="18"/>
              </w:rPr>
            </w:pPr>
            <w:r>
              <w:rPr>
                <w:spacing w:val="2"/>
                <w:sz w:val="18"/>
                <w:szCs w:val="18"/>
              </w:rPr>
              <w:t>(二)低值易耗品</w:t>
            </w:r>
          </w:p>
        </w:tc>
        <w:tc>
          <w:tcPr>
            <w:tcW w:w="1159" w:type="dxa"/>
            <w:vAlign w:val="top"/>
          </w:tcPr>
          <w:p>
            <w:pPr>
              <w:spacing w:line="190" w:lineRule="exact"/>
              <w:rPr>
                <w:rFonts w:ascii="Arial"/>
                <w:sz w:val="16"/>
              </w:rPr>
            </w:pPr>
          </w:p>
        </w:tc>
        <w:tc>
          <w:tcPr>
            <w:tcW w:w="240" w:type="dxa"/>
            <w:vMerge w:val="continue"/>
            <w:tcBorders>
              <w:top w:val="nil"/>
              <w:bottom w:val="nil"/>
            </w:tcBorders>
            <w:vAlign w:val="top"/>
          </w:tcPr>
          <w:p>
            <w:pPr>
              <w:rPr>
                <w:rFonts w:ascii="Arial"/>
                <w:sz w:val="21"/>
              </w:rPr>
            </w:pPr>
          </w:p>
        </w:tc>
        <w:tc>
          <w:tcPr>
            <w:tcW w:w="1549" w:type="dxa"/>
            <w:vAlign w:val="top"/>
          </w:tcPr>
          <w:p>
            <w:pPr>
              <w:spacing w:line="190" w:lineRule="exact"/>
              <w:rPr>
                <w:rFonts w:ascii="Arial"/>
                <w:sz w:val="16"/>
              </w:rPr>
            </w:pPr>
          </w:p>
        </w:tc>
        <w:tc>
          <w:tcPr>
            <w:tcW w:w="1488" w:type="dxa"/>
            <w:gridSpan w:val="2"/>
            <w:vAlign w:val="top"/>
          </w:tcPr>
          <w:p>
            <w:pPr>
              <w:spacing w:line="190" w:lineRule="exact"/>
              <w:rPr>
                <w:rFonts w:ascii="Arial"/>
                <w:sz w:val="16"/>
              </w:rPr>
            </w:pPr>
          </w:p>
        </w:tc>
        <w:tc>
          <w:tcPr>
            <w:tcW w:w="1169" w:type="dxa"/>
            <w:vAlign w:val="top"/>
          </w:tcPr>
          <w:p>
            <w:pPr>
              <w:spacing w:line="190" w:lineRule="exact"/>
              <w:rPr>
                <w:rFonts w:ascii="Arial"/>
                <w:sz w:val="16"/>
              </w:rPr>
            </w:pPr>
          </w:p>
        </w:tc>
        <w:tc>
          <w:tcPr>
            <w:tcW w:w="1069" w:type="dxa"/>
            <w:vAlign w:val="top"/>
          </w:tcPr>
          <w:p>
            <w:pPr>
              <w:spacing w:line="190" w:lineRule="exact"/>
              <w:rPr>
                <w:rFonts w:ascii="Arial"/>
                <w:sz w:val="16"/>
              </w:rPr>
            </w:pPr>
          </w:p>
        </w:tc>
        <w:tc>
          <w:tcPr>
            <w:tcW w:w="1064" w:type="dxa"/>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1824" w:type="dxa"/>
            <w:vAlign w:val="top"/>
          </w:tcPr>
          <w:p>
            <w:pPr>
              <w:pStyle w:val="6"/>
              <w:spacing w:before="6" w:line="188" w:lineRule="auto"/>
              <w:ind w:left="744"/>
              <w:rPr>
                <w:sz w:val="18"/>
                <w:szCs w:val="18"/>
              </w:rPr>
            </w:pPr>
            <w:r>
              <w:rPr>
                <w:spacing w:val="16"/>
                <w:sz w:val="18"/>
                <w:szCs w:val="18"/>
              </w:rPr>
              <w:t>品名</w:t>
            </w:r>
          </w:p>
        </w:tc>
        <w:tc>
          <w:tcPr>
            <w:tcW w:w="949" w:type="dxa"/>
            <w:vAlign w:val="top"/>
          </w:tcPr>
          <w:p>
            <w:pPr>
              <w:pStyle w:val="6"/>
              <w:spacing w:before="3" w:line="191" w:lineRule="auto"/>
              <w:ind w:left="280"/>
              <w:rPr>
                <w:sz w:val="18"/>
                <w:szCs w:val="18"/>
              </w:rPr>
            </w:pPr>
            <w:r>
              <w:rPr>
                <w:spacing w:val="-3"/>
                <w:sz w:val="18"/>
                <w:szCs w:val="18"/>
              </w:rPr>
              <w:t>单位</w:t>
            </w:r>
          </w:p>
        </w:tc>
        <w:tc>
          <w:tcPr>
            <w:tcW w:w="1169" w:type="dxa"/>
            <w:vAlign w:val="top"/>
          </w:tcPr>
          <w:p>
            <w:pPr>
              <w:pStyle w:val="6"/>
              <w:spacing w:before="2" w:line="192" w:lineRule="auto"/>
              <w:ind w:left="391"/>
              <w:rPr>
                <w:sz w:val="18"/>
                <w:szCs w:val="18"/>
              </w:rPr>
            </w:pPr>
            <w:r>
              <w:rPr>
                <w:spacing w:val="-3"/>
                <w:sz w:val="18"/>
                <w:szCs w:val="18"/>
              </w:rPr>
              <w:t>数量</w:t>
            </w:r>
          </w:p>
        </w:tc>
        <w:tc>
          <w:tcPr>
            <w:tcW w:w="1699" w:type="dxa"/>
            <w:vAlign w:val="top"/>
          </w:tcPr>
          <w:p>
            <w:pPr>
              <w:spacing w:before="1" w:line="185" w:lineRule="exact"/>
              <w:ind w:firstLine="680"/>
            </w:pPr>
            <w:r>
              <w:rPr>
                <w:position w:val="-3"/>
              </w:rPr>
              <w:drawing>
                <wp:inline distT="0" distB="0" distL="0" distR="0">
                  <wp:extent cx="232410" cy="1168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5"/>
                          <a:stretch>
                            <a:fillRect/>
                          </a:stretch>
                        </pic:blipFill>
                        <pic:spPr>
                          <a:xfrm>
                            <a:off x="0" y="0"/>
                            <a:ext cx="232413" cy="117228"/>
                          </a:xfrm>
                          <a:prstGeom prst="rect">
                            <a:avLst/>
                          </a:prstGeom>
                        </pic:spPr>
                      </pic:pic>
                    </a:graphicData>
                  </a:graphic>
                </wp:inline>
              </w:drawing>
            </w:r>
          </w:p>
        </w:tc>
        <w:tc>
          <w:tcPr>
            <w:tcW w:w="1159" w:type="dxa"/>
            <w:vAlign w:val="top"/>
          </w:tcPr>
          <w:p>
            <w:pPr>
              <w:spacing w:line="187" w:lineRule="exact"/>
              <w:ind w:firstLine="213"/>
            </w:pPr>
            <w:r>
              <w:rPr>
                <w:position w:val="-3"/>
              </w:rPr>
              <w:drawing>
                <wp:inline distT="0" distB="0" distL="0" distR="0">
                  <wp:extent cx="450850" cy="11811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6"/>
                          <a:stretch>
                            <a:fillRect/>
                          </a:stretch>
                        </pic:blipFill>
                        <pic:spPr>
                          <a:xfrm>
                            <a:off x="0" y="0"/>
                            <a:ext cx="451462" cy="118540"/>
                          </a:xfrm>
                          <a:prstGeom prst="rect">
                            <a:avLst/>
                          </a:prstGeom>
                        </pic:spPr>
                      </pic:pic>
                    </a:graphicData>
                  </a:graphic>
                </wp:inline>
              </w:drawing>
            </w:r>
          </w:p>
        </w:tc>
        <w:tc>
          <w:tcPr>
            <w:tcW w:w="240" w:type="dxa"/>
            <w:vMerge w:val="continue"/>
            <w:tcBorders>
              <w:top w:val="nil"/>
              <w:bottom w:val="nil"/>
            </w:tcBorders>
            <w:vAlign w:val="top"/>
          </w:tcPr>
          <w:p>
            <w:pPr>
              <w:rPr>
                <w:rFonts w:ascii="Arial"/>
                <w:sz w:val="21"/>
              </w:rPr>
            </w:pPr>
          </w:p>
        </w:tc>
        <w:tc>
          <w:tcPr>
            <w:tcW w:w="1549" w:type="dxa"/>
            <w:vAlign w:val="top"/>
          </w:tcPr>
          <w:p>
            <w:pPr>
              <w:spacing w:line="190" w:lineRule="exact"/>
              <w:rPr>
                <w:rFonts w:ascii="Arial"/>
                <w:sz w:val="16"/>
              </w:rPr>
            </w:pPr>
          </w:p>
        </w:tc>
        <w:tc>
          <w:tcPr>
            <w:tcW w:w="1488" w:type="dxa"/>
            <w:gridSpan w:val="2"/>
            <w:vAlign w:val="top"/>
          </w:tcPr>
          <w:p>
            <w:pPr>
              <w:spacing w:line="190" w:lineRule="exact"/>
              <w:rPr>
                <w:rFonts w:ascii="Arial"/>
                <w:sz w:val="16"/>
              </w:rPr>
            </w:pPr>
          </w:p>
        </w:tc>
        <w:tc>
          <w:tcPr>
            <w:tcW w:w="1169" w:type="dxa"/>
            <w:vAlign w:val="top"/>
          </w:tcPr>
          <w:p>
            <w:pPr>
              <w:spacing w:line="190" w:lineRule="exact"/>
              <w:rPr>
                <w:rFonts w:ascii="Arial"/>
                <w:sz w:val="16"/>
              </w:rPr>
            </w:pPr>
          </w:p>
        </w:tc>
        <w:tc>
          <w:tcPr>
            <w:tcW w:w="1069" w:type="dxa"/>
            <w:vAlign w:val="top"/>
          </w:tcPr>
          <w:p>
            <w:pPr>
              <w:spacing w:line="190" w:lineRule="exact"/>
              <w:rPr>
                <w:rFonts w:ascii="Arial"/>
                <w:sz w:val="16"/>
              </w:rPr>
            </w:pPr>
          </w:p>
        </w:tc>
        <w:tc>
          <w:tcPr>
            <w:tcW w:w="1064" w:type="dxa"/>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824" w:type="dxa"/>
            <w:vAlign w:val="top"/>
          </w:tcPr>
          <w:p>
            <w:pPr>
              <w:rPr>
                <w:rFonts w:ascii="Arial"/>
                <w:sz w:val="21"/>
              </w:rPr>
            </w:pPr>
          </w:p>
        </w:tc>
        <w:tc>
          <w:tcPr>
            <w:tcW w:w="949" w:type="dxa"/>
            <w:vAlign w:val="top"/>
          </w:tcPr>
          <w:p>
            <w:pPr>
              <w:rPr>
                <w:rFonts w:ascii="Arial"/>
                <w:sz w:val="21"/>
              </w:rPr>
            </w:pPr>
          </w:p>
        </w:tc>
        <w:tc>
          <w:tcPr>
            <w:tcW w:w="1169" w:type="dxa"/>
            <w:vAlign w:val="top"/>
          </w:tcPr>
          <w:p>
            <w:pPr>
              <w:rPr>
                <w:rFonts w:ascii="Arial"/>
                <w:sz w:val="21"/>
              </w:rPr>
            </w:pPr>
          </w:p>
        </w:tc>
        <w:tc>
          <w:tcPr>
            <w:tcW w:w="1699" w:type="dxa"/>
            <w:vAlign w:val="top"/>
          </w:tcPr>
          <w:p>
            <w:pPr>
              <w:rPr>
                <w:rFonts w:ascii="Arial"/>
                <w:sz w:val="21"/>
              </w:rPr>
            </w:pPr>
          </w:p>
        </w:tc>
        <w:tc>
          <w:tcPr>
            <w:tcW w:w="1159" w:type="dxa"/>
            <w:vAlign w:val="top"/>
          </w:tcPr>
          <w:p>
            <w:pPr>
              <w:rPr>
                <w:rFonts w:ascii="Arial"/>
                <w:sz w:val="21"/>
              </w:rPr>
            </w:pPr>
          </w:p>
        </w:tc>
        <w:tc>
          <w:tcPr>
            <w:tcW w:w="240" w:type="dxa"/>
            <w:vMerge w:val="continue"/>
            <w:tcBorders>
              <w:top w:val="nil"/>
              <w:bottom w:val="nil"/>
            </w:tcBorders>
            <w:vAlign w:val="top"/>
          </w:tcPr>
          <w:p>
            <w:pPr>
              <w:rPr>
                <w:rFonts w:ascii="Arial"/>
                <w:sz w:val="21"/>
              </w:rPr>
            </w:pPr>
          </w:p>
        </w:tc>
        <w:tc>
          <w:tcPr>
            <w:tcW w:w="1549" w:type="dxa"/>
            <w:vAlign w:val="top"/>
          </w:tcPr>
          <w:p>
            <w:pPr>
              <w:pStyle w:val="6"/>
              <w:spacing w:before="64" w:line="221" w:lineRule="auto"/>
              <w:ind w:left="584"/>
              <w:rPr>
                <w:sz w:val="18"/>
                <w:szCs w:val="18"/>
              </w:rPr>
            </w:pPr>
            <w:r>
              <w:rPr>
                <w:spacing w:val="-3"/>
                <w:sz w:val="18"/>
                <w:szCs w:val="18"/>
              </w:rPr>
              <w:t>小计</w:t>
            </w:r>
          </w:p>
        </w:tc>
        <w:tc>
          <w:tcPr>
            <w:tcW w:w="1488" w:type="dxa"/>
            <w:gridSpan w:val="2"/>
            <w:vAlign w:val="top"/>
          </w:tcPr>
          <w:p>
            <w:pPr>
              <w:rPr>
                <w:rFonts w:ascii="Arial"/>
                <w:sz w:val="21"/>
              </w:rPr>
            </w:pPr>
          </w:p>
        </w:tc>
        <w:tc>
          <w:tcPr>
            <w:tcW w:w="1169" w:type="dxa"/>
            <w:vAlign w:val="top"/>
          </w:tcPr>
          <w:p>
            <w:pPr>
              <w:rPr>
                <w:rFonts w:ascii="Arial"/>
                <w:sz w:val="21"/>
              </w:rPr>
            </w:pPr>
          </w:p>
        </w:tc>
        <w:tc>
          <w:tcPr>
            <w:tcW w:w="1069" w:type="dxa"/>
            <w:vAlign w:val="top"/>
          </w:tcPr>
          <w:p>
            <w:pPr>
              <w:rPr>
                <w:rFonts w:ascii="Arial"/>
                <w:sz w:val="21"/>
              </w:rPr>
            </w:pPr>
          </w:p>
        </w:tc>
        <w:tc>
          <w:tcPr>
            <w:tcW w:w="10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824" w:type="dxa"/>
            <w:vAlign w:val="top"/>
          </w:tcPr>
          <w:p>
            <w:pPr>
              <w:pStyle w:val="6"/>
              <w:spacing w:before="23" w:line="181" w:lineRule="auto"/>
              <w:ind w:left="104"/>
              <w:rPr>
                <w:sz w:val="18"/>
                <w:szCs w:val="18"/>
              </w:rPr>
            </w:pPr>
            <w:r>
              <w:rPr>
                <w:spacing w:val="2"/>
                <w:sz w:val="18"/>
                <w:szCs w:val="18"/>
              </w:rPr>
              <w:t>(三)试剂</w:t>
            </w:r>
          </w:p>
        </w:tc>
        <w:tc>
          <w:tcPr>
            <w:tcW w:w="949" w:type="dxa"/>
            <w:vAlign w:val="top"/>
          </w:tcPr>
          <w:p>
            <w:pPr>
              <w:spacing w:line="200" w:lineRule="exact"/>
              <w:rPr>
                <w:rFonts w:ascii="Arial"/>
                <w:sz w:val="17"/>
              </w:rPr>
            </w:pPr>
          </w:p>
        </w:tc>
        <w:tc>
          <w:tcPr>
            <w:tcW w:w="1169" w:type="dxa"/>
            <w:vAlign w:val="top"/>
          </w:tcPr>
          <w:p>
            <w:pPr>
              <w:spacing w:line="200" w:lineRule="exact"/>
              <w:rPr>
                <w:rFonts w:ascii="Arial"/>
                <w:sz w:val="17"/>
              </w:rPr>
            </w:pPr>
          </w:p>
        </w:tc>
        <w:tc>
          <w:tcPr>
            <w:tcW w:w="1699" w:type="dxa"/>
            <w:vAlign w:val="top"/>
          </w:tcPr>
          <w:p>
            <w:pPr>
              <w:spacing w:line="200" w:lineRule="exact"/>
              <w:rPr>
                <w:rFonts w:ascii="Arial"/>
                <w:sz w:val="17"/>
              </w:rPr>
            </w:pPr>
          </w:p>
        </w:tc>
        <w:tc>
          <w:tcPr>
            <w:tcW w:w="1159" w:type="dxa"/>
            <w:vAlign w:val="top"/>
          </w:tcPr>
          <w:p>
            <w:pPr>
              <w:spacing w:line="200" w:lineRule="exact"/>
              <w:rPr>
                <w:rFonts w:ascii="Arial"/>
                <w:sz w:val="17"/>
              </w:rPr>
            </w:pPr>
          </w:p>
        </w:tc>
        <w:tc>
          <w:tcPr>
            <w:tcW w:w="240" w:type="dxa"/>
            <w:vMerge w:val="continue"/>
            <w:tcBorders>
              <w:top w:val="nil"/>
              <w:bottom w:val="nil"/>
            </w:tcBorders>
            <w:vAlign w:val="top"/>
          </w:tcPr>
          <w:p>
            <w:pPr>
              <w:rPr>
                <w:rFonts w:ascii="Arial"/>
                <w:sz w:val="21"/>
              </w:rPr>
            </w:pPr>
          </w:p>
        </w:tc>
        <w:tc>
          <w:tcPr>
            <w:tcW w:w="6339" w:type="dxa"/>
            <w:gridSpan w:val="6"/>
            <w:vMerge w:val="restart"/>
            <w:tcBorders>
              <w:bottom w:val="nil"/>
            </w:tcBorders>
            <w:vAlign w:val="top"/>
          </w:tcPr>
          <w:p>
            <w:pPr>
              <w:pStyle w:val="6"/>
              <w:spacing w:before="224" w:line="190" w:lineRule="auto"/>
              <w:ind w:left="224"/>
              <w:rPr>
                <w:sz w:val="18"/>
                <w:szCs w:val="18"/>
              </w:rPr>
            </w:pPr>
            <w:r>
              <w:drawing>
                <wp:anchor distT="0" distB="0" distL="0" distR="0" simplePos="0" relativeHeight="251667456" behindDoc="0" locked="0" layoutInCell="1" allowOverlap="1">
                  <wp:simplePos x="0" y="0"/>
                  <wp:positionH relativeFrom="column">
                    <wp:posOffset>345440</wp:posOffset>
                  </wp:positionH>
                  <wp:positionV relativeFrom="paragraph">
                    <wp:posOffset>238760</wp:posOffset>
                  </wp:positionV>
                  <wp:extent cx="292100" cy="1524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7"/>
                          <a:stretch>
                            <a:fillRect/>
                          </a:stretch>
                        </pic:blipFill>
                        <pic:spPr>
                          <a:xfrm>
                            <a:off x="0" y="0"/>
                            <a:ext cx="292109" cy="152397"/>
                          </a:xfrm>
                          <a:prstGeom prst="rect">
                            <a:avLst/>
                          </a:prstGeom>
                        </pic:spPr>
                      </pic:pic>
                    </a:graphicData>
                  </a:graphic>
                </wp:anchor>
              </w:drawing>
            </w:r>
            <w:r>
              <w:rPr>
                <w:spacing w:val="1"/>
                <w:sz w:val="18"/>
                <w:szCs w:val="18"/>
              </w:rPr>
              <w:t>(二)房屋及其它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1824" w:type="dxa"/>
            <w:vAlign w:val="top"/>
          </w:tcPr>
          <w:p>
            <w:pPr>
              <w:pStyle w:val="6"/>
              <w:spacing w:before="6" w:line="188" w:lineRule="auto"/>
              <w:ind w:left="714"/>
              <w:rPr>
                <w:sz w:val="18"/>
                <w:szCs w:val="18"/>
              </w:rPr>
            </w:pPr>
            <w:r>
              <w:rPr>
                <w:spacing w:val="-3"/>
                <w:sz w:val="18"/>
                <w:szCs w:val="18"/>
              </w:rPr>
              <w:t>名称</w:t>
            </w:r>
          </w:p>
        </w:tc>
        <w:tc>
          <w:tcPr>
            <w:tcW w:w="949" w:type="dxa"/>
            <w:vAlign w:val="top"/>
          </w:tcPr>
          <w:p>
            <w:pPr>
              <w:pStyle w:val="6"/>
              <w:spacing w:before="4" w:line="190" w:lineRule="auto"/>
              <w:ind w:left="280"/>
              <w:rPr>
                <w:sz w:val="18"/>
                <w:szCs w:val="18"/>
              </w:rPr>
            </w:pPr>
            <w:r>
              <w:rPr>
                <w:spacing w:val="-3"/>
                <w:sz w:val="18"/>
                <w:szCs w:val="18"/>
              </w:rPr>
              <w:t>单位</w:t>
            </w:r>
          </w:p>
        </w:tc>
        <w:tc>
          <w:tcPr>
            <w:tcW w:w="1169" w:type="dxa"/>
            <w:vAlign w:val="top"/>
          </w:tcPr>
          <w:p>
            <w:pPr>
              <w:spacing w:line="187" w:lineRule="exact"/>
              <w:ind w:firstLine="399"/>
            </w:pPr>
            <w:r>
              <w:rPr>
                <w:position w:val="-3"/>
              </w:rPr>
              <w:drawing>
                <wp:inline distT="0" distB="0" distL="0" distR="0">
                  <wp:extent cx="226060" cy="11874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8"/>
                          <a:stretch>
                            <a:fillRect/>
                          </a:stretch>
                        </pic:blipFill>
                        <pic:spPr>
                          <a:xfrm>
                            <a:off x="0" y="0"/>
                            <a:ext cx="226204" cy="118748"/>
                          </a:xfrm>
                          <a:prstGeom prst="rect">
                            <a:avLst/>
                          </a:prstGeom>
                        </pic:spPr>
                      </pic:pic>
                    </a:graphicData>
                  </a:graphic>
                </wp:inline>
              </w:drawing>
            </w:r>
          </w:p>
        </w:tc>
        <w:tc>
          <w:tcPr>
            <w:tcW w:w="1699" w:type="dxa"/>
            <w:vAlign w:val="top"/>
          </w:tcPr>
          <w:p>
            <w:pPr>
              <w:spacing w:line="178" w:lineRule="exact"/>
              <w:ind w:firstLine="691"/>
            </w:pPr>
            <w:r>
              <w:rPr>
                <w:position w:val="-3"/>
              </w:rPr>
              <w:drawing>
                <wp:inline distT="0" distB="0" distL="0" distR="0">
                  <wp:extent cx="219075" cy="11303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9"/>
                          <a:stretch>
                            <a:fillRect/>
                          </a:stretch>
                        </pic:blipFill>
                        <pic:spPr>
                          <a:xfrm>
                            <a:off x="0" y="0"/>
                            <a:ext cx="219082" cy="113341"/>
                          </a:xfrm>
                          <a:prstGeom prst="rect">
                            <a:avLst/>
                          </a:prstGeom>
                        </pic:spPr>
                      </pic:pic>
                    </a:graphicData>
                  </a:graphic>
                </wp:inline>
              </w:drawing>
            </w:r>
          </w:p>
        </w:tc>
        <w:tc>
          <w:tcPr>
            <w:tcW w:w="1159" w:type="dxa"/>
            <w:vAlign w:val="top"/>
          </w:tcPr>
          <w:p>
            <w:pPr>
              <w:pStyle w:val="6"/>
              <w:spacing w:before="3" w:line="191" w:lineRule="auto"/>
              <w:ind w:left="214"/>
              <w:rPr>
                <w:sz w:val="18"/>
                <w:szCs w:val="18"/>
              </w:rPr>
            </w:pPr>
            <w:r>
              <w:rPr>
                <w:spacing w:val="-2"/>
                <w:sz w:val="18"/>
                <w:szCs w:val="18"/>
              </w:rPr>
              <w:t>应计金额</w:t>
            </w:r>
          </w:p>
        </w:tc>
        <w:tc>
          <w:tcPr>
            <w:tcW w:w="240" w:type="dxa"/>
            <w:vMerge w:val="continue"/>
            <w:tcBorders>
              <w:top w:val="nil"/>
              <w:bottom w:val="nil"/>
            </w:tcBorders>
            <w:vAlign w:val="top"/>
          </w:tcPr>
          <w:p>
            <w:pPr>
              <w:rPr>
                <w:rFonts w:ascii="Arial"/>
                <w:sz w:val="21"/>
              </w:rPr>
            </w:pPr>
          </w:p>
        </w:tc>
        <w:tc>
          <w:tcPr>
            <w:tcW w:w="6339" w:type="dxa"/>
            <w:gridSpan w:val="6"/>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1824" w:type="dxa"/>
            <w:vAlign w:val="top"/>
          </w:tcPr>
          <w:p>
            <w:pPr>
              <w:spacing w:line="188" w:lineRule="exact"/>
              <w:rPr>
                <w:rFonts w:ascii="Arial"/>
                <w:sz w:val="16"/>
              </w:rPr>
            </w:pPr>
          </w:p>
        </w:tc>
        <w:tc>
          <w:tcPr>
            <w:tcW w:w="949" w:type="dxa"/>
            <w:vAlign w:val="top"/>
          </w:tcPr>
          <w:p>
            <w:pPr>
              <w:spacing w:line="188" w:lineRule="exact"/>
              <w:rPr>
                <w:rFonts w:ascii="Arial"/>
                <w:sz w:val="16"/>
              </w:rPr>
            </w:pPr>
          </w:p>
        </w:tc>
        <w:tc>
          <w:tcPr>
            <w:tcW w:w="1169" w:type="dxa"/>
            <w:vAlign w:val="top"/>
          </w:tcPr>
          <w:p>
            <w:pPr>
              <w:spacing w:line="188" w:lineRule="exact"/>
              <w:rPr>
                <w:rFonts w:ascii="Arial"/>
                <w:sz w:val="16"/>
              </w:rPr>
            </w:pPr>
          </w:p>
        </w:tc>
        <w:tc>
          <w:tcPr>
            <w:tcW w:w="1699" w:type="dxa"/>
            <w:vAlign w:val="top"/>
          </w:tcPr>
          <w:p>
            <w:pPr>
              <w:spacing w:line="188" w:lineRule="exact"/>
              <w:rPr>
                <w:rFonts w:ascii="Arial"/>
                <w:sz w:val="16"/>
              </w:rPr>
            </w:pPr>
          </w:p>
        </w:tc>
        <w:tc>
          <w:tcPr>
            <w:tcW w:w="1159" w:type="dxa"/>
            <w:vAlign w:val="top"/>
          </w:tcPr>
          <w:p>
            <w:pPr>
              <w:spacing w:line="188" w:lineRule="exact"/>
              <w:rPr>
                <w:rFonts w:ascii="Arial"/>
                <w:sz w:val="16"/>
              </w:rPr>
            </w:pPr>
          </w:p>
        </w:tc>
        <w:tc>
          <w:tcPr>
            <w:tcW w:w="240" w:type="dxa"/>
            <w:vMerge w:val="continue"/>
            <w:tcBorders>
              <w:top w:val="nil"/>
              <w:bottom w:val="nil"/>
            </w:tcBorders>
            <w:vAlign w:val="top"/>
          </w:tcPr>
          <w:p>
            <w:pPr>
              <w:rPr>
                <w:rFonts w:ascii="Arial"/>
                <w:sz w:val="21"/>
              </w:rPr>
            </w:pPr>
          </w:p>
        </w:tc>
        <w:tc>
          <w:tcPr>
            <w:tcW w:w="1549" w:type="dxa"/>
            <w:vAlign w:val="top"/>
          </w:tcPr>
          <w:p>
            <w:pPr>
              <w:spacing w:line="188" w:lineRule="exact"/>
              <w:rPr>
                <w:rFonts w:ascii="Arial"/>
                <w:sz w:val="16"/>
              </w:rPr>
            </w:pPr>
          </w:p>
        </w:tc>
        <w:tc>
          <w:tcPr>
            <w:tcW w:w="1488" w:type="dxa"/>
            <w:gridSpan w:val="2"/>
            <w:vAlign w:val="top"/>
          </w:tcPr>
          <w:p>
            <w:pPr>
              <w:pStyle w:val="6"/>
              <w:spacing w:before="3" w:line="190" w:lineRule="auto"/>
              <w:ind w:left="555"/>
              <w:rPr>
                <w:sz w:val="18"/>
                <w:szCs w:val="18"/>
              </w:rPr>
            </w:pPr>
            <w:r>
              <w:rPr>
                <w:spacing w:val="-3"/>
                <w:sz w:val="18"/>
                <w:szCs w:val="18"/>
              </w:rPr>
              <w:t>原值</w:t>
            </w:r>
          </w:p>
        </w:tc>
        <w:tc>
          <w:tcPr>
            <w:tcW w:w="1169" w:type="dxa"/>
            <w:vAlign w:val="top"/>
          </w:tcPr>
          <w:p>
            <w:pPr>
              <w:pStyle w:val="6"/>
              <w:spacing w:before="3" w:line="190" w:lineRule="auto"/>
              <w:ind w:left="217"/>
              <w:rPr>
                <w:sz w:val="18"/>
                <w:szCs w:val="18"/>
              </w:rPr>
            </w:pPr>
            <w:r>
              <w:rPr>
                <w:spacing w:val="-2"/>
                <w:sz w:val="18"/>
                <w:szCs w:val="18"/>
              </w:rPr>
              <w:t>使用年限</w:t>
            </w:r>
          </w:p>
        </w:tc>
        <w:tc>
          <w:tcPr>
            <w:tcW w:w="1069" w:type="dxa"/>
            <w:vAlign w:val="top"/>
          </w:tcPr>
          <w:p>
            <w:pPr>
              <w:pStyle w:val="6"/>
              <w:spacing w:before="3" w:line="190" w:lineRule="auto"/>
              <w:ind w:left="168"/>
              <w:rPr>
                <w:sz w:val="18"/>
                <w:szCs w:val="18"/>
              </w:rPr>
            </w:pPr>
            <w:r>
              <w:rPr>
                <w:spacing w:val="4"/>
                <w:sz w:val="18"/>
                <w:szCs w:val="18"/>
              </w:rPr>
              <w:t>使用时间</w:t>
            </w:r>
          </w:p>
        </w:tc>
        <w:tc>
          <w:tcPr>
            <w:tcW w:w="1064" w:type="dxa"/>
            <w:vAlign w:val="top"/>
          </w:tcPr>
          <w:p>
            <w:pPr>
              <w:pStyle w:val="6"/>
              <w:spacing w:before="3" w:line="190" w:lineRule="auto"/>
              <w:ind w:left="169"/>
              <w:rPr>
                <w:sz w:val="18"/>
                <w:szCs w:val="18"/>
              </w:rPr>
            </w:pPr>
            <w:r>
              <w:rPr>
                <w:spacing w:val="-2"/>
                <w:sz w:val="18"/>
                <w:szCs w:val="18"/>
              </w:rPr>
              <w:t>应计金额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1824" w:type="dxa"/>
            <w:vAlign w:val="top"/>
          </w:tcPr>
          <w:p>
            <w:pPr>
              <w:pStyle w:val="6"/>
              <w:spacing w:before="6" w:line="188" w:lineRule="auto"/>
              <w:ind w:left="714"/>
              <w:rPr>
                <w:sz w:val="18"/>
                <w:szCs w:val="18"/>
              </w:rPr>
            </w:pPr>
            <w:r>
              <w:rPr>
                <w:spacing w:val="-3"/>
                <w:sz w:val="18"/>
                <w:szCs w:val="18"/>
              </w:rPr>
              <w:t>小计</w:t>
            </w:r>
          </w:p>
        </w:tc>
        <w:tc>
          <w:tcPr>
            <w:tcW w:w="949" w:type="dxa"/>
            <w:vAlign w:val="top"/>
          </w:tcPr>
          <w:p>
            <w:pPr>
              <w:spacing w:line="190" w:lineRule="exact"/>
              <w:rPr>
                <w:rFonts w:ascii="Arial"/>
                <w:sz w:val="16"/>
              </w:rPr>
            </w:pPr>
          </w:p>
        </w:tc>
        <w:tc>
          <w:tcPr>
            <w:tcW w:w="1169" w:type="dxa"/>
            <w:vAlign w:val="top"/>
          </w:tcPr>
          <w:p>
            <w:pPr>
              <w:spacing w:line="190" w:lineRule="exact"/>
              <w:rPr>
                <w:rFonts w:ascii="Arial"/>
                <w:sz w:val="16"/>
              </w:rPr>
            </w:pPr>
          </w:p>
        </w:tc>
        <w:tc>
          <w:tcPr>
            <w:tcW w:w="1699" w:type="dxa"/>
            <w:vAlign w:val="top"/>
          </w:tcPr>
          <w:p>
            <w:pPr>
              <w:spacing w:line="190" w:lineRule="exact"/>
              <w:rPr>
                <w:rFonts w:ascii="Arial"/>
                <w:sz w:val="16"/>
              </w:rPr>
            </w:pPr>
          </w:p>
        </w:tc>
        <w:tc>
          <w:tcPr>
            <w:tcW w:w="1159" w:type="dxa"/>
            <w:vAlign w:val="top"/>
          </w:tcPr>
          <w:p>
            <w:pPr>
              <w:spacing w:line="190" w:lineRule="exact"/>
              <w:rPr>
                <w:rFonts w:ascii="Arial"/>
                <w:sz w:val="16"/>
              </w:rPr>
            </w:pPr>
          </w:p>
        </w:tc>
        <w:tc>
          <w:tcPr>
            <w:tcW w:w="240" w:type="dxa"/>
            <w:vMerge w:val="continue"/>
            <w:tcBorders>
              <w:top w:val="nil"/>
              <w:bottom w:val="nil"/>
            </w:tcBorders>
            <w:vAlign w:val="top"/>
          </w:tcPr>
          <w:p>
            <w:pPr>
              <w:rPr>
                <w:rFonts w:ascii="Arial"/>
                <w:sz w:val="21"/>
              </w:rPr>
            </w:pPr>
          </w:p>
        </w:tc>
        <w:tc>
          <w:tcPr>
            <w:tcW w:w="1549" w:type="dxa"/>
            <w:vAlign w:val="top"/>
          </w:tcPr>
          <w:p>
            <w:pPr>
              <w:spacing w:line="190" w:lineRule="exact"/>
              <w:rPr>
                <w:rFonts w:ascii="Arial"/>
                <w:sz w:val="16"/>
              </w:rPr>
            </w:pPr>
          </w:p>
        </w:tc>
        <w:tc>
          <w:tcPr>
            <w:tcW w:w="1488" w:type="dxa"/>
            <w:gridSpan w:val="2"/>
            <w:vAlign w:val="top"/>
          </w:tcPr>
          <w:p>
            <w:pPr>
              <w:spacing w:line="190" w:lineRule="exact"/>
              <w:rPr>
                <w:rFonts w:ascii="Arial"/>
                <w:sz w:val="16"/>
              </w:rPr>
            </w:pPr>
          </w:p>
        </w:tc>
        <w:tc>
          <w:tcPr>
            <w:tcW w:w="1169" w:type="dxa"/>
            <w:vAlign w:val="top"/>
          </w:tcPr>
          <w:p>
            <w:pPr>
              <w:spacing w:line="190" w:lineRule="exact"/>
              <w:rPr>
                <w:rFonts w:ascii="Arial"/>
                <w:sz w:val="16"/>
              </w:rPr>
            </w:pPr>
          </w:p>
        </w:tc>
        <w:tc>
          <w:tcPr>
            <w:tcW w:w="1069" w:type="dxa"/>
            <w:vAlign w:val="top"/>
          </w:tcPr>
          <w:p>
            <w:pPr>
              <w:spacing w:line="190" w:lineRule="exact"/>
              <w:rPr>
                <w:rFonts w:ascii="Arial"/>
                <w:sz w:val="16"/>
              </w:rPr>
            </w:pPr>
          </w:p>
        </w:tc>
        <w:tc>
          <w:tcPr>
            <w:tcW w:w="1064" w:type="dxa"/>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6800" w:type="dxa"/>
            <w:gridSpan w:val="5"/>
            <w:vAlign w:val="top"/>
          </w:tcPr>
          <w:p>
            <w:pPr>
              <w:pStyle w:val="6"/>
              <w:spacing w:before="4" w:line="190" w:lineRule="auto"/>
              <w:ind w:left="204"/>
              <w:rPr>
                <w:sz w:val="18"/>
                <w:szCs w:val="18"/>
              </w:rPr>
            </w:pPr>
            <w:r>
              <w:rPr>
                <w:sz w:val="18"/>
                <w:szCs w:val="18"/>
              </w:rPr>
              <w:t>(四)水电燃料</w:t>
            </w:r>
          </w:p>
        </w:tc>
        <w:tc>
          <w:tcPr>
            <w:tcW w:w="240" w:type="dxa"/>
            <w:vMerge w:val="continue"/>
            <w:tcBorders>
              <w:top w:val="nil"/>
              <w:bottom w:val="nil"/>
            </w:tcBorders>
            <w:vAlign w:val="top"/>
          </w:tcPr>
          <w:p>
            <w:pPr>
              <w:rPr>
                <w:rFonts w:ascii="Arial"/>
                <w:sz w:val="21"/>
              </w:rPr>
            </w:pPr>
          </w:p>
        </w:tc>
        <w:tc>
          <w:tcPr>
            <w:tcW w:w="1549" w:type="dxa"/>
            <w:vAlign w:val="top"/>
          </w:tcPr>
          <w:p>
            <w:pPr>
              <w:spacing w:line="190" w:lineRule="exact"/>
              <w:rPr>
                <w:rFonts w:ascii="Arial"/>
                <w:sz w:val="16"/>
              </w:rPr>
            </w:pPr>
          </w:p>
        </w:tc>
        <w:tc>
          <w:tcPr>
            <w:tcW w:w="1488" w:type="dxa"/>
            <w:gridSpan w:val="2"/>
            <w:vAlign w:val="top"/>
          </w:tcPr>
          <w:p>
            <w:pPr>
              <w:spacing w:line="190" w:lineRule="exact"/>
              <w:rPr>
                <w:rFonts w:ascii="Arial"/>
                <w:sz w:val="16"/>
              </w:rPr>
            </w:pPr>
          </w:p>
        </w:tc>
        <w:tc>
          <w:tcPr>
            <w:tcW w:w="1169" w:type="dxa"/>
            <w:vAlign w:val="top"/>
          </w:tcPr>
          <w:p>
            <w:pPr>
              <w:spacing w:line="190" w:lineRule="exact"/>
              <w:rPr>
                <w:rFonts w:ascii="Arial"/>
                <w:sz w:val="16"/>
              </w:rPr>
            </w:pPr>
          </w:p>
        </w:tc>
        <w:tc>
          <w:tcPr>
            <w:tcW w:w="1069" w:type="dxa"/>
            <w:vAlign w:val="top"/>
          </w:tcPr>
          <w:p>
            <w:pPr>
              <w:spacing w:line="190" w:lineRule="exact"/>
              <w:rPr>
                <w:rFonts w:ascii="Arial"/>
                <w:sz w:val="16"/>
              </w:rPr>
            </w:pPr>
          </w:p>
        </w:tc>
        <w:tc>
          <w:tcPr>
            <w:tcW w:w="1064" w:type="dxa"/>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824" w:type="dxa"/>
            <w:vAlign w:val="top"/>
          </w:tcPr>
          <w:p>
            <w:pPr>
              <w:pStyle w:val="6"/>
              <w:spacing w:before="26" w:line="157" w:lineRule="auto"/>
              <w:ind w:left="724"/>
              <w:rPr>
                <w:sz w:val="18"/>
                <w:szCs w:val="18"/>
              </w:rPr>
            </w:pPr>
            <w:r>
              <w:rPr>
                <w:spacing w:val="-3"/>
                <w:sz w:val="18"/>
                <w:szCs w:val="18"/>
              </w:rPr>
              <w:t>名称</w:t>
            </w:r>
          </w:p>
        </w:tc>
        <w:tc>
          <w:tcPr>
            <w:tcW w:w="949" w:type="dxa"/>
            <w:vAlign w:val="top"/>
          </w:tcPr>
          <w:p>
            <w:pPr>
              <w:pStyle w:val="6"/>
              <w:spacing w:before="25" w:line="158" w:lineRule="auto"/>
              <w:ind w:left="280"/>
              <w:rPr>
                <w:sz w:val="18"/>
                <w:szCs w:val="18"/>
              </w:rPr>
            </w:pPr>
            <w:r>
              <w:rPr>
                <w:spacing w:val="-3"/>
                <w:sz w:val="18"/>
                <w:szCs w:val="18"/>
              </w:rPr>
              <w:t>单位</w:t>
            </w:r>
          </w:p>
        </w:tc>
        <w:tc>
          <w:tcPr>
            <w:tcW w:w="1169" w:type="dxa"/>
            <w:vAlign w:val="top"/>
          </w:tcPr>
          <w:p>
            <w:pPr>
              <w:pStyle w:val="6"/>
              <w:spacing w:before="24" w:line="159" w:lineRule="auto"/>
              <w:ind w:left="301"/>
              <w:rPr>
                <w:sz w:val="18"/>
                <w:szCs w:val="18"/>
              </w:rPr>
            </w:pPr>
            <w:r>
              <w:rPr>
                <w:spacing w:val="-2"/>
                <w:sz w:val="18"/>
                <w:szCs w:val="18"/>
              </w:rPr>
              <w:t>耗用量</w:t>
            </w:r>
          </w:p>
        </w:tc>
        <w:tc>
          <w:tcPr>
            <w:tcW w:w="1699" w:type="dxa"/>
            <w:vAlign w:val="top"/>
          </w:tcPr>
          <w:p>
            <w:pPr>
              <w:pStyle w:val="6"/>
              <w:spacing w:before="23" w:line="160" w:lineRule="auto"/>
              <w:ind w:left="662"/>
              <w:rPr>
                <w:sz w:val="18"/>
                <w:szCs w:val="18"/>
              </w:rPr>
            </w:pPr>
            <w:r>
              <w:rPr>
                <w:spacing w:val="-3"/>
                <w:sz w:val="18"/>
                <w:szCs w:val="18"/>
              </w:rPr>
              <w:t>单价</w:t>
            </w:r>
          </w:p>
        </w:tc>
        <w:tc>
          <w:tcPr>
            <w:tcW w:w="1159" w:type="dxa"/>
            <w:vAlign w:val="top"/>
          </w:tcPr>
          <w:p>
            <w:pPr>
              <w:pStyle w:val="6"/>
              <w:spacing w:before="24" w:line="159" w:lineRule="auto"/>
              <w:ind w:left="214"/>
              <w:rPr>
                <w:sz w:val="18"/>
                <w:szCs w:val="18"/>
              </w:rPr>
            </w:pPr>
            <w:r>
              <w:rPr>
                <w:spacing w:val="-2"/>
                <w:sz w:val="18"/>
                <w:szCs w:val="18"/>
              </w:rPr>
              <w:t>应计金额</w:t>
            </w:r>
          </w:p>
        </w:tc>
        <w:tc>
          <w:tcPr>
            <w:tcW w:w="240" w:type="dxa"/>
            <w:vMerge w:val="continue"/>
            <w:tcBorders>
              <w:top w:val="nil"/>
              <w:bottom w:val="nil"/>
            </w:tcBorders>
            <w:vAlign w:val="top"/>
          </w:tcPr>
          <w:p>
            <w:pPr>
              <w:rPr>
                <w:rFonts w:ascii="Arial"/>
                <w:sz w:val="21"/>
              </w:rPr>
            </w:pPr>
          </w:p>
        </w:tc>
        <w:tc>
          <w:tcPr>
            <w:tcW w:w="1549" w:type="dxa"/>
            <w:vAlign w:val="top"/>
          </w:tcPr>
          <w:p>
            <w:pPr>
              <w:spacing w:line="180" w:lineRule="exact"/>
              <w:rPr>
                <w:rFonts w:ascii="Arial"/>
                <w:sz w:val="15"/>
              </w:rPr>
            </w:pPr>
          </w:p>
        </w:tc>
        <w:tc>
          <w:tcPr>
            <w:tcW w:w="1488" w:type="dxa"/>
            <w:gridSpan w:val="2"/>
            <w:vAlign w:val="top"/>
          </w:tcPr>
          <w:p>
            <w:pPr>
              <w:spacing w:line="180" w:lineRule="exact"/>
              <w:rPr>
                <w:rFonts w:ascii="Arial"/>
                <w:sz w:val="15"/>
              </w:rPr>
            </w:pPr>
          </w:p>
        </w:tc>
        <w:tc>
          <w:tcPr>
            <w:tcW w:w="1169" w:type="dxa"/>
            <w:vAlign w:val="top"/>
          </w:tcPr>
          <w:p>
            <w:pPr>
              <w:spacing w:line="180" w:lineRule="exact"/>
              <w:rPr>
                <w:rFonts w:ascii="Arial"/>
                <w:sz w:val="15"/>
              </w:rPr>
            </w:pPr>
          </w:p>
        </w:tc>
        <w:tc>
          <w:tcPr>
            <w:tcW w:w="1069" w:type="dxa"/>
            <w:vAlign w:val="top"/>
          </w:tcPr>
          <w:p>
            <w:pPr>
              <w:spacing w:line="180" w:lineRule="exact"/>
              <w:rPr>
                <w:rFonts w:ascii="Arial"/>
                <w:sz w:val="15"/>
              </w:rPr>
            </w:pPr>
          </w:p>
        </w:tc>
        <w:tc>
          <w:tcPr>
            <w:tcW w:w="1064" w:type="dxa"/>
            <w:vAlign w:val="top"/>
          </w:tcPr>
          <w:p>
            <w:pPr>
              <w:spacing w:line="180"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824" w:type="dxa"/>
            <w:vAlign w:val="top"/>
          </w:tcPr>
          <w:p>
            <w:pPr>
              <w:spacing w:line="238" w:lineRule="exact"/>
              <w:rPr>
                <w:rFonts w:ascii="Arial"/>
                <w:sz w:val="20"/>
              </w:rPr>
            </w:pPr>
          </w:p>
        </w:tc>
        <w:tc>
          <w:tcPr>
            <w:tcW w:w="949" w:type="dxa"/>
            <w:vAlign w:val="top"/>
          </w:tcPr>
          <w:p>
            <w:pPr>
              <w:spacing w:line="238" w:lineRule="exact"/>
              <w:rPr>
                <w:rFonts w:ascii="Arial"/>
                <w:sz w:val="20"/>
              </w:rPr>
            </w:pPr>
          </w:p>
        </w:tc>
        <w:tc>
          <w:tcPr>
            <w:tcW w:w="1169" w:type="dxa"/>
            <w:vAlign w:val="top"/>
          </w:tcPr>
          <w:p>
            <w:pPr>
              <w:spacing w:line="238" w:lineRule="exact"/>
              <w:rPr>
                <w:rFonts w:ascii="Arial"/>
                <w:sz w:val="20"/>
              </w:rPr>
            </w:pPr>
          </w:p>
        </w:tc>
        <w:tc>
          <w:tcPr>
            <w:tcW w:w="1699" w:type="dxa"/>
            <w:vAlign w:val="top"/>
          </w:tcPr>
          <w:p>
            <w:pPr>
              <w:spacing w:line="238" w:lineRule="exact"/>
              <w:rPr>
                <w:rFonts w:ascii="Arial"/>
                <w:sz w:val="20"/>
              </w:rPr>
            </w:pPr>
          </w:p>
        </w:tc>
        <w:tc>
          <w:tcPr>
            <w:tcW w:w="1159" w:type="dxa"/>
            <w:vAlign w:val="top"/>
          </w:tcPr>
          <w:p>
            <w:pPr>
              <w:spacing w:line="238" w:lineRule="exact"/>
              <w:rPr>
                <w:rFonts w:ascii="Arial"/>
                <w:sz w:val="20"/>
              </w:rPr>
            </w:pPr>
          </w:p>
        </w:tc>
        <w:tc>
          <w:tcPr>
            <w:tcW w:w="240" w:type="dxa"/>
            <w:vMerge w:val="continue"/>
            <w:tcBorders>
              <w:top w:val="nil"/>
              <w:bottom w:val="nil"/>
            </w:tcBorders>
            <w:vAlign w:val="top"/>
          </w:tcPr>
          <w:p>
            <w:pPr>
              <w:rPr>
                <w:rFonts w:ascii="Arial"/>
                <w:sz w:val="21"/>
              </w:rPr>
            </w:pPr>
          </w:p>
        </w:tc>
        <w:tc>
          <w:tcPr>
            <w:tcW w:w="1549" w:type="dxa"/>
            <w:vAlign w:val="top"/>
          </w:tcPr>
          <w:p>
            <w:pPr>
              <w:pStyle w:val="6"/>
              <w:spacing w:before="46" w:line="197" w:lineRule="auto"/>
              <w:ind w:left="584"/>
              <w:rPr>
                <w:sz w:val="18"/>
                <w:szCs w:val="18"/>
              </w:rPr>
            </w:pPr>
            <w:r>
              <w:rPr>
                <w:spacing w:val="-3"/>
                <w:sz w:val="18"/>
                <w:szCs w:val="18"/>
              </w:rPr>
              <w:t>小计</w:t>
            </w:r>
          </w:p>
        </w:tc>
        <w:tc>
          <w:tcPr>
            <w:tcW w:w="1488" w:type="dxa"/>
            <w:gridSpan w:val="2"/>
            <w:vAlign w:val="top"/>
          </w:tcPr>
          <w:p>
            <w:pPr>
              <w:spacing w:line="238" w:lineRule="exact"/>
              <w:rPr>
                <w:rFonts w:ascii="Arial"/>
                <w:sz w:val="20"/>
              </w:rPr>
            </w:pPr>
          </w:p>
        </w:tc>
        <w:tc>
          <w:tcPr>
            <w:tcW w:w="1169" w:type="dxa"/>
            <w:vAlign w:val="top"/>
          </w:tcPr>
          <w:p>
            <w:pPr>
              <w:spacing w:line="238" w:lineRule="exact"/>
              <w:rPr>
                <w:rFonts w:ascii="Arial"/>
                <w:sz w:val="20"/>
              </w:rPr>
            </w:pPr>
          </w:p>
        </w:tc>
        <w:tc>
          <w:tcPr>
            <w:tcW w:w="1069" w:type="dxa"/>
            <w:vAlign w:val="top"/>
          </w:tcPr>
          <w:p>
            <w:pPr>
              <w:spacing w:line="238" w:lineRule="exact"/>
              <w:rPr>
                <w:rFonts w:ascii="Arial"/>
                <w:sz w:val="20"/>
              </w:rPr>
            </w:pPr>
          </w:p>
        </w:tc>
        <w:tc>
          <w:tcPr>
            <w:tcW w:w="1064" w:type="dxa"/>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824" w:type="dxa"/>
            <w:vAlign w:val="top"/>
          </w:tcPr>
          <w:p>
            <w:pPr>
              <w:spacing w:line="208" w:lineRule="exact"/>
              <w:rPr>
                <w:rFonts w:ascii="Arial"/>
                <w:sz w:val="18"/>
              </w:rPr>
            </w:pPr>
          </w:p>
        </w:tc>
        <w:tc>
          <w:tcPr>
            <w:tcW w:w="949" w:type="dxa"/>
            <w:vAlign w:val="top"/>
          </w:tcPr>
          <w:p>
            <w:pPr>
              <w:spacing w:line="208" w:lineRule="exact"/>
              <w:rPr>
                <w:rFonts w:ascii="Arial"/>
                <w:sz w:val="18"/>
              </w:rPr>
            </w:pPr>
          </w:p>
        </w:tc>
        <w:tc>
          <w:tcPr>
            <w:tcW w:w="1169" w:type="dxa"/>
            <w:vAlign w:val="top"/>
          </w:tcPr>
          <w:p>
            <w:pPr>
              <w:spacing w:line="208" w:lineRule="exact"/>
              <w:rPr>
                <w:rFonts w:ascii="Arial"/>
                <w:sz w:val="18"/>
              </w:rPr>
            </w:pPr>
          </w:p>
        </w:tc>
        <w:tc>
          <w:tcPr>
            <w:tcW w:w="1699" w:type="dxa"/>
            <w:vAlign w:val="top"/>
          </w:tcPr>
          <w:p>
            <w:pPr>
              <w:spacing w:line="208" w:lineRule="exact"/>
              <w:rPr>
                <w:rFonts w:ascii="Arial"/>
                <w:sz w:val="18"/>
              </w:rPr>
            </w:pPr>
          </w:p>
        </w:tc>
        <w:tc>
          <w:tcPr>
            <w:tcW w:w="1159" w:type="dxa"/>
            <w:vAlign w:val="top"/>
          </w:tcPr>
          <w:p>
            <w:pPr>
              <w:spacing w:line="208" w:lineRule="exact"/>
              <w:rPr>
                <w:rFonts w:ascii="Arial"/>
                <w:sz w:val="18"/>
              </w:rPr>
            </w:pPr>
          </w:p>
        </w:tc>
        <w:tc>
          <w:tcPr>
            <w:tcW w:w="240" w:type="dxa"/>
            <w:vMerge w:val="continue"/>
            <w:tcBorders>
              <w:top w:val="nil"/>
              <w:bottom w:val="nil"/>
            </w:tcBorders>
            <w:vAlign w:val="top"/>
          </w:tcPr>
          <w:p>
            <w:pPr>
              <w:rPr>
                <w:rFonts w:ascii="Arial"/>
                <w:sz w:val="21"/>
              </w:rPr>
            </w:pPr>
          </w:p>
        </w:tc>
        <w:tc>
          <w:tcPr>
            <w:tcW w:w="6339" w:type="dxa"/>
            <w:gridSpan w:val="6"/>
            <w:vAlign w:val="top"/>
          </w:tcPr>
          <w:p>
            <w:pPr>
              <w:pStyle w:val="6"/>
              <w:spacing w:before="25" w:line="188" w:lineRule="auto"/>
              <w:ind w:left="224"/>
              <w:rPr>
                <w:sz w:val="18"/>
                <w:szCs w:val="18"/>
              </w:rPr>
            </w:pPr>
            <w:r>
              <w:rPr>
                <w:sz w:val="18"/>
                <w:szCs w:val="18"/>
              </w:rPr>
              <w:t>四、管理费及其他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824" w:type="dxa"/>
            <w:vAlign w:val="top"/>
          </w:tcPr>
          <w:p>
            <w:pPr>
              <w:spacing w:line="210" w:lineRule="exact"/>
              <w:rPr>
                <w:rFonts w:ascii="Arial"/>
                <w:sz w:val="18"/>
              </w:rPr>
            </w:pPr>
          </w:p>
        </w:tc>
        <w:tc>
          <w:tcPr>
            <w:tcW w:w="949" w:type="dxa"/>
            <w:vAlign w:val="top"/>
          </w:tcPr>
          <w:p>
            <w:pPr>
              <w:spacing w:line="210" w:lineRule="exact"/>
              <w:rPr>
                <w:rFonts w:ascii="Arial"/>
                <w:sz w:val="18"/>
              </w:rPr>
            </w:pPr>
          </w:p>
        </w:tc>
        <w:tc>
          <w:tcPr>
            <w:tcW w:w="1169" w:type="dxa"/>
            <w:vAlign w:val="top"/>
          </w:tcPr>
          <w:p>
            <w:pPr>
              <w:spacing w:line="210" w:lineRule="exact"/>
              <w:rPr>
                <w:rFonts w:ascii="Arial"/>
                <w:sz w:val="18"/>
              </w:rPr>
            </w:pPr>
          </w:p>
        </w:tc>
        <w:tc>
          <w:tcPr>
            <w:tcW w:w="1699" w:type="dxa"/>
            <w:vAlign w:val="top"/>
          </w:tcPr>
          <w:p>
            <w:pPr>
              <w:spacing w:line="210" w:lineRule="exact"/>
              <w:rPr>
                <w:rFonts w:ascii="Arial"/>
                <w:sz w:val="18"/>
              </w:rPr>
            </w:pPr>
          </w:p>
        </w:tc>
        <w:tc>
          <w:tcPr>
            <w:tcW w:w="1159" w:type="dxa"/>
            <w:vAlign w:val="top"/>
          </w:tcPr>
          <w:p>
            <w:pPr>
              <w:spacing w:line="210" w:lineRule="exact"/>
              <w:rPr>
                <w:rFonts w:ascii="Arial"/>
                <w:sz w:val="18"/>
              </w:rPr>
            </w:pPr>
          </w:p>
        </w:tc>
        <w:tc>
          <w:tcPr>
            <w:tcW w:w="240" w:type="dxa"/>
            <w:vMerge w:val="continue"/>
            <w:tcBorders>
              <w:top w:val="nil"/>
              <w:bottom w:val="nil"/>
            </w:tcBorders>
            <w:vAlign w:val="top"/>
          </w:tcPr>
          <w:p>
            <w:pPr>
              <w:rPr>
                <w:rFonts w:ascii="Arial"/>
                <w:sz w:val="21"/>
              </w:rPr>
            </w:pPr>
          </w:p>
        </w:tc>
        <w:tc>
          <w:tcPr>
            <w:tcW w:w="3037" w:type="dxa"/>
            <w:gridSpan w:val="3"/>
            <w:vAlign w:val="top"/>
          </w:tcPr>
          <w:p>
            <w:pPr>
              <w:pStyle w:val="6"/>
              <w:spacing w:before="27" w:line="187" w:lineRule="auto"/>
              <w:ind w:left="104"/>
              <w:rPr>
                <w:sz w:val="18"/>
                <w:szCs w:val="18"/>
              </w:rPr>
            </w:pPr>
            <w:r>
              <w:rPr>
                <w:sz w:val="18"/>
                <w:szCs w:val="18"/>
              </w:rPr>
              <w:t>(一)管理费分摊</w:t>
            </w:r>
          </w:p>
        </w:tc>
        <w:tc>
          <w:tcPr>
            <w:tcW w:w="3302" w:type="dxa"/>
            <w:gridSpan w:val="3"/>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824" w:type="dxa"/>
            <w:vAlign w:val="top"/>
          </w:tcPr>
          <w:p>
            <w:pPr>
              <w:spacing w:line="200" w:lineRule="exact"/>
              <w:rPr>
                <w:rFonts w:ascii="Arial"/>
                <w:sz w:val="17"/>
              </w:rPr>
            </w:pPr>
          </w:p>
        </w:tc>
        <w:tc>
          <w:tcPr>
            <w:tcW w:w="949" w:type="dxa"/>
            <w:vAlign w:val="top"/>
          </w:tcPr>
          <w:p>
            <w:pPr>
              <w:spacing w:line="200" w:lineRule="exact"/>
              <w:rPr>
                <w:rFonts w:ascii="Arial"/>
                <w:sz w:val="17"/>
              </w:rPr>
            </w:pPr>
          </w:p>
        </w:tc>
        <w:tc>
          <w:tcPr>
            <w:tcW w:w="1169" w:type="dxa"/>
            <w:vAlign w:val="top"/>
          </w:tcPr>
          <w:p>
            <w:pPr>
              <w:spacing w:line="200" w:lineRule="exact"/>
              <w:rPr>
                <w:rFonts w:ascii="Arial"/>
                <w:sz w:val="17"/>
              </w:rPr>
            </w:pPr>
          </w:p>
        </w:tc>
        <w:tc>
          <w:tcPr>
            <w:tcW w:w="1699" w:type="dxa"/>
            <w:vAlign w:val="top"/>
          </w:tcPr>
          <w:p>
            <w:pPr>
              <w:spacing w:line="200" w:lineRule="exact"/>
              <w:rPr>
                <w:rFonts w:ascii="Arial"/>
                <w:sz w:val="17"/>
              </w:rPr>
            </w:pPr>
          </w:p>
        </w:tc>
        <w:tc>
          <w:tcPr>
            <w:tcW w:w="1159" w:type="dxa"/>
            <w:vAlign w:val="top"/>
          </w:tcPr>
          <w:p>
            <w:pPr>
              <w:spacing w:line="200" w:lineRule="exact"/>
              <w:rPr>
                <w:rFonts w:ascii="Arial"/>
                <w:sz w:val="17"/>
              </w:rPr>
            </w:pPr>
          </w:p>
        </w:tc>
        <w:tc>
          <w:tcPr>
            <w:tcW w:w="240" w:type="dxa"/>
            <w:vMerge w:val="continue"/>
            <w:tcBorders>
              <w:top w:val="nil"/>
              <w:bottom w:val="nil"/>
            </w:tcBorders>
            <w:vAlign w:val="top"/>
          </w:tcPr>
          <w:p>
            <w:pPr>
              <w:rPr>
                <w:rFonts w:ascii="Arial"/>
                <w:sz w:val="21"/>
              </w:rPr>
            </w:pPr>
          </w:p>
        </w:tc>
        <w:tc>
          <w:tcPr>
            <w:tcW w:w="2308" w:type="dxa"/>
            <w:gridSpan w:val="2"/>
            <w:vAlign w:val="top"/>
          </w:tcPr>
          <w:p>
            <w:pPr>
              <w:pStyle w:val="6"/>
              <w:spacing w:before="28" w:line="176" w:lineRule="auto"/>
              <w:ind w:left="204"/>
              <w:rPr>
                <w:sz w:val="18"/>
                <w:szCs w:val="18"/>
              </w:rPr>
            </w:pPr>
            <w:r>
              <w:rPr>
                <w:spacing w:val="2"/>
                <w:sz w:val="18"/>
                <w:szCs w:val="18"/>
              </w:rPr>
              <w:t>(二)其它</w:t>
            </w:r>
          </w:p>
        </w:tc>
        <w:tc>
          <w:tcPr>
            <w:tcW w:w="729" w:type="dxa"/>
            <w:vAlign w:val="top"/>
          </w:tcPr>
          <w:p>
            <w:pPr>
              <w:spacing w:line="200" w:lineRule="exact"/>
              <w:rPr>
                <w:rFonts w:ascii="Arial"/>
                <w:sz w:val="17"/>
              </w:rPr>
            </w:pPr>
          </w:p>
        </w:tc>
        <w:tc>
          <w:tcPr>
            <w:tcW w:w="3302" w:type="dxa"/>
            <w:gridSpan w:val="3"/>
            <w:vAlign w:val="top"/>
          </w:tcPr>
          <w:p>
            <w:pPr>
              <w:spacing w:line="200"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824" w:type="dxa"/>
            <w:vAlign w:val="top"/>
          </w:tcPr>
          <w:p>
            <w:pPr>
              <w:spacing w:line="218" w:lineRule="exact"/>
              <w:rPr>
                <w:rFonts w:ascii="Arial"/>
                <w:sz w:val="19"/>
              </w:rPr>
            </w:pPr>
          </w:p>
        </w:tc>
        <w:tc>
          <w:tcPr>
            <w:tcW w:w="949" w:type="dxa"/>
            <w:vAlign w:val="top"/>
          </w:tcPr>
          <w:p>
            <w:pPr>
              <w:spacing w:line="218" w:lineRule="exact"/>
              <w:rPr>
                <w:rFonts w:ascii="Arial"/>
                <w:sz w:val="19"/>
              </w:rPr>
            </w:pPr>
          </w:p>
        </w:tc>
        <w:tc>
          <w:tcPr>
            <w:tcW w:w="1169" w:type="dxa"/>
            <w:vAlign w:val="top"/>
          </w:tcPr>
          <w:p>
            <w:pPr>
              <w:spacing w:line="218" w:lineRule="exact"/>
              <w:rPr>
                <w:rFonts w:ascii="Arial"/>
                <w:sz w:val="19"/>
              </w:rPr>
            </w:pPr>
          </w:p>
        </w:tc>
        <w:tc>
          <w:tcPr>
            <w:tcW w:w="1699" w:type="dxa"/>
            <w:vAlign w:val="top"/>
          </w:tcPr>
          <w:p>
            <w:pPr>
              <w:spacing w:line="218" w:lineRule="exact"/>
              <w:rPr>
                <w:rFonts w:ascii="Arial"/>
                <w:sz w:val="19"/>
              </w:rPr>
            </w:pPr>
          </w:p>
        </w:tc>
        <w:tc>
          <w:tcPr>
            <w:tcW w:w="1159" w:type="dxa"/>
            <w:vAlign w:val="top"/>
          </w:tcPr>
          <w:p>
            <w:pPr>
              <w:spacing w:line="218" w:lineRule="exact"/>
              <w:rPr>
                <w:rFonts w:ascii="Arial"/>
                <w:sz w:val="19"/>
              </w:rPr>
            </w:pPr>
          </w:p>
        </w:tc>
        <w:tc>
          <w:tcPr>
            <w:tcW w:w="240" w:type="dxa"/>
            <w:vMerge w:val="continue"/>
            <w:tcBorders>
              <w:top w:val="nil"/>
            </w:tcBorders>
            <w:vAlign w:val="top"/>
          </w:tcPr>
          <w:p>
            <w:pPr>
              <w:rPr>
                <w:rFonts w:ascii="Arial"/>
                <w:sz w:val="21"/>
              </w:rPr>
            </w:pPr>
          </w:p>
        </w:tc>
        <w:tc>
          <w:tcPr>
            <w:tcW w:w="3037" w:type="dxa"/>
            <w:gridSpan w:val="3"/>
            <w:vAlign w:val="top"/>
          </w:tcPr>
          <w:p>
            <w:pPr>
              <w:pStyle w:val="6"/>
              <w:spacing w:before="36" w:line="187" w:lineRule="auto"/>
              <w:ind w:left="104"/>
              <w:rPr>
                <w:sz w:val="18"/>
                <w:szCs w:val="18"/>
              </w:rPr>
            </w:pPr>
            <w:r>
              <w:rPr>
                <w:spacing w:val="-2"/>
                <w:sz w:val="18"/>
                <w:szCs w:val="18"/>
              </w:rPr>
              <w:t>五、项目成本合计</w:t>
            </w:r>
          </w:p>
        </w:tc>
        <w:tc>
          <w:tcPr>
            <w:tcW w:w="3302" w:type="dxa"/>
            <w:gridSpan w:val="3"/>
            <w:vAlign w:val="top"/>
          </w:tcPr>
          <w:p>
            <w:pPr>
              <w:spacing w:line="21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3379" w:type="dxa"/>
            <w:gridSpan w:val="12"/>
            <w:vAlign w:val="top"/>
          </w:tcPr>
          <w:p>
            <w:pPr>
              <w:pStyle w:val="6"/>
              <w:spacing w:before="228" w:line="180" w:lineRule="auto"/>
              <w:ind w:left="114"/>
              <w:rPr>
                <w:sz w:val="18"/>
                <w:szCs w:val="18"/>
              </w:rPr>
            </w:pPr>
            <w:r>
              <w:rPr>
                <w:sz w:val="18"/>
                <w:szCs w:val="18"/>
              </w:rPr>
              <w:t>说明：1.小时工资是指提交项目医院的平均小时工资(含福利、社保);2.工时是指参与完成医疗服务项目人员的实际用时；</w:t>
            </w:r>
            <w:r>
              <w:rPr>
                <w:spacing w:val="-1"/>
                <w:sz w:val="18"/>
                <w:szCs w:val="18"/>
              </w:rPr>
              <w:t>3.使用年限为折旧年限</w:t>
            </w:r>
          </w:p>
        </w:tc>
      </w:tr>
    </w:tbl>
    <w:p>
      <w:pPr>
        <w:pStyle w:val="2"/>
        <w:spacing w:line="14" w:lineRule="auto"/>
        <w:rPr>
          <w:sz w:val="2"/>
        </w:rPr>
      </w:pPr>
    </w:p>
    <w:p>
      <w:pPr>
        <w:spacing w:line="14" w:lineRule="auto"/>
        <w:rPr>
          <w:sz w:val="2"/>
          <w:szCs w:val="2"/>
        </w:rPr>
        <w:sectPr>
          <w:type w:val="continuous"/>
          <w:pgSz w:w="16740" w:h="11840"/>
          <w:pgMar w:top="1006" w:right="1854" w:bottom="978" w:left="1495" w:header="0" w:footer="839" w:gutter="0"/>
          <w:cols w:equalWidth="0" w:num="1">
            <w:col w:w="13390"/>
          </w:cols>
        </w:sectPr>
      </w:pPr>
    </w:p>
    <w:p>
      <w:pPr>
        <w:pStyle w:val="2"/>
        <w:spacing w:line="312" w:lineRule="auto"/>
      </w:pPr>
    </w:p>
    <w:p>
      <w:pPr>
        <w:pStyle w:val="2"/>
        <w:spacing w:line="312" w:lineRule="auto"/>
      </w:pPr>
    </w:p>
    <w:p>
      <w:pPr>
        <w:spacing w:before="124" w:line="227" w:lineRule="auto"/>
        <w:ind w:left="6255"/>
        <w:rPr>
          <w:rFonts w:ascii="楷体" w:hAnsi="楷体" w:eastAsia="楷体" w:cs="楷体"/>
          <w:sz w:val="38"/>
          <w:szCs w:val="38"/>
        </w:rPr>
      </w:pPr>
      <w:r>
        <w:rPr>
          <w:rFonts w:ascii="楷体" w:hAnsi="楷体" w:eastAsia="楷体" w:cs="楷体"/>
          <w:b/>
          <w:bCs/>
          <w:spacing w:val="6"/>
          <w:sz w:val="38"/>
          <w:szCs w:val="38"/>
        </w:rPr>
        <w:t>填表说明</w:t>
      </w:r>
    </w:p>
    <w:p>
      <w:pPr>
        <w:spacing w:before="92" w:line="222" w:lineRule="auto"/>
        <w:ind w:left="653"/>
        <w:outlineLvl w:val="6"/>
        <w:rPr>
          <w:rFonts w:ascii="黑体" w:hAnsi="黑体" w:eastAsia="黑体" w:cs="黑体"/>
          <w:sz w:val="28"/>
          <w:szCs w:val="28"/>
        </w:rPr>
      </w:pPr>
      <w:r>
        <w:rPr>
          <w:rFonts w:ascii="黑体" w:hAnsi="黑体" w:eastAsia="黑体" w:cs="黑体"/>
          <w:b/>
          <w:bCs/>
          <w:spacing w:val="-6"/>
          <w:sz w:val="28"/>
          <w:szCs w:val="28"/>
        </w:rPr>
        <w:t>一、人工成本</w:t>
      </w:r>
    </w:p>
    <w:p>
      <w:pPr>
        <w:spacing w:before="60" w:line="455" w:lineRule="exact"/>
        <w:ind w:left="780"/>
        <w:rPr>
          <w:rFonts w:ascii="楷体" w:hAnsi="楷体" w:eastAsia="楷体" w:cs="楷体"/>
          <w:sz w:val="28"/>
          <w:szCs w:val="28"/>
        </w:rPr>
      </w:pPr>
      <w:r>
        <w:rPr>
          <w:rFonts w:ascii="楷体" w:hAnsi="楷体" w:eastAsia="楷体" w:cs="楷体"/>
          <w:spacing w:val="4"/>
          <w:position w:val="12"/>
          <w:sz w:val="28"/>
          <w:szCs w:val="28"/>
        </w:rPr>
        <w:t>(一)工资、福利额：工资、福利额包含基本工资、津贴补贴、绩效工资、社会保障费、其他收入等。</w:t>
      </w:r>
    </w:p>
    <w:p>
      <w:pPr>
        <w:spacing w:before="1" w:line="225" w:lineRule="auto"/>
        <w:ind w:left="780"/>
        <w:rPr>
          <w:rFonts w:ascii="仿宋" w:hAnsi="仿宋" w:eastAsia="仿宋" w:cs="仿宋"/>
          <w:sz w:val="28"/>
          <w:szCs w:val="28"/>
        </w:rPr>
      </w:pPr>
      <w:r>
        <w:rPr>
          <w:rFonts w:ascii="楷体" w:hAnsi="楷体" w:eastAsia="楷体" w:cs="楷体"/>
          <w:spacing w:val="2"/>
          <w:sz w:val="28"/>
          <w:szCs w:val="28"/>
        </w:rPr>
        <w:t>(二)工时</w:t>
      </w:r>
      <w:r>
        <w:rPr>
          <w:rFonts w:ascii="仿宋" w:hAnsi="仿宋" w:eastAsia="仿宋" w:cs="仿宋"/>
          <w:spacing w:val="2"/>
          <w:sz w:val="28"/>
          <w:szCs w:val="28"/>
        </w:rPr>
        <w:t>：参与完成医疗服务项目人员的实际用时。</w:t>
      </w:r>
    </w:p>
    <w:p>
      <w:pPr>
        <w:spacing w:before="57" w:line="268" w:lineRule="auto"/>
        <w:ind w:right="21" w:firstLine="649"/>
        <w:jc w:val="both"/>
        <w:rPr>
          <w:rFonts w:ascii="仿宋" w:hAnsi="仿宋" w:eastAsia="仿宋" w:cs="仿宋"/>
          <w:sz w:val="28"/>
          <w:szCs w:val="28"/>
        </w:rPr>
      </w:pPr>
      <w:r>
        <w:rPr>
          <w:rFonts w:ascii="仿宋" w:hAnsi="仿宋" w:eastAsia="仿宋" w:cs="仿宋"/>
          <w:spacing w:val="14"/>
          <w:sz w:val="28"/>
          <w:szCs w:val="28"/>
        </w:rPr>
        <w:t>计算公式：小时工资、福利额(元/小时)=【上年度卫生健</w:t>
      </w:r>
      <w:r>
        <w:rPr>
          <w:rFonts w:ascii="仿宋" w:hAnsi="仿宋" w:eastAsia="仿宋" w:cs="仿宋"/>
          <w:spacing w:val="13"/>
          <w:sz w:val="28"/>
          <w:szCs w:val="28"/>
        </w:rPr>
        <w:t>康财务年报“医院收入费用明细表(国卫财03-2</w:t>
      </w:r>
      <w:r>
        <w:rPr>
          <w:rFonts w:ascii="仿宋" w:hAnsi="仿宋" w:eastAsia="仿宋" w:cs="仿宋"/>
          <w:sz w:val="28"/>
          <w:szCs w:val="28"/>
        </w:rPr>
        <w:t xml:space="preserve"> </w:t>
      </w:r>
      <w:r>
        <w:rPr>
          <w:rFonts w:ascii="仿宋" w:hAnsi="仿宋" w:eastAsia="仿宋" w:cs="仿宋"/>
          <w:spacing w:val="2"/>
          <w:sz w:val="28"/>
          <w:szCs w:val="28"/>
        </w:rPr>
        <w:t>表)”中的“业务活动费用”项下的“其他经费”中的“工资福利费用”除以该年平均在册医务人员总</w:t>
      </w:r>
      <w:r>
        <w:rPr>
          <w:rFonts w:ascii="仿宋" w:hAnsi="仿宋" w:eastAsia="仿宋" w:cs="仿宋"/>
          <w:spacing w:val="1"/>
          <w:sz w:val="28"/>
          <w:szCs w:val="28"/>
        </w:rPr>
        <w:t>人数】÷(12</w:t>
      </w:r>
      <w:r>
        <w:rPr>
          <w:rFonts w:ascii="仿宋" w:hAnsi="仿宋" w:eastAsia="仿宋" w:cs="仿宋"/>
          <w:sz w:val="28"/>
          <w:szCs w:val="28"/>
        </w:rPr>
        <w:t xml:space="preserve"> </w:t>
      </w:r>
      <w:r>
        <w:rPr>
          <w:rFonts w:ascii="仿宋" w:hAnsi="仿宋" w:eastAsia="仿宋" w:cs="仿宋"/>
          <w:spacing w:val="-5"/>
          <w:sz w:val="28"/>
          <w:szCs w:val="28"/>
        </w:rPr>
        <w:t>个月×22天×8小时)。</w:t>
      </w:r>
    </w:p>
    <w:p>
      <w:pPr>
        <w:spacing w:before="68" w:line="222" w:lineRule="auto"/>
        <w:ind w:left="653"/>
        <w:outlineLvl w:val="6"/>
        <w:rPr>
          <w:rFonts w:ascii="黑体" w:hAnsi="黑体" w:eastAsia="黑体" w:cs="黑体"/>
          <w:sz w:val="28"/>
          <w:szCs w:val="28"/>
        </w:rPr>
      </w:pPr>
      <w:r>
        <w:rPr>
          <w:rFonts w:ascii="黑体" w:hAnsi="黑体" w:eastAsia="黑体" w:cs="黑体"/>
          <w:b/>
          <w:bCs/>
          <w:spacing w:val="-18"/>
          <w:sz w:val="28"/>
          <w:szCs w:val="28"/>
        </w:rPr>
        <w:t>二、</w:t>
      </w:r>
      <w:r>
        <w:rPr>
          <w:rFonts w:ascii="黑体" w:hAnsi="黑体" w:eastAsia="黑体" w:cs="黑体"/>
          <w:spacing w:val="-50"/>
          <w:sz w:val="28"/>
          <w:szCs w:val="28"/>
        </w:rPr>
        <w:t xml:space="preserve"> </w:t>
      </w:r>
      <w:r>
        <w:rPr>
          <w:rFonts w:ascii="黑体" w:hAnsi="黑体" w:eastAsia="黑体" w:cs="黑体"/>
          <w:b/>
          <w:bCs/>
          <w:spacing w:val="-18"/>
          <w:sz w:val="28"/>
          <w:szCs w:val="28"/>
        </w:rPr>
        <w:t>医用卫生材料</w:t>
      </w:r>
    </w:p>
    <w:p>
      <w:pPr>
        <w:spacing w:before="69" w:line="263" w:lineRule="auto"/>
        <w:ind w:firstLine="780"/>
        <w:rPr>
          <w:rFonts w:ascii="仿宋" w:hAnsi="仿宋" w:eastAsia="仿宋" w:cs="仿宋"/>
          <w:sz w:val="28"/>
          <w:szCs w:val="28"/>
        </w:rPr>
      </w:pPr>
      <w:r>
        <w:rPr>
          <w:rFonts w:ascii="仿宋" w:hAnsi="仿宋" w:eastAsia="仿宋" w:cs="仿宋"/>
          <w:spacing w:val="4"/>
          <w:sz w:val="28"/>
          <w:szCs w:val="28"/>
        </w:rPr>
        <w:t>(一)卫生材料：指该医疗服务价格项目应当使用的、市场价格和使用数量相</w:t>
      </w:r>
      <w:r>
        <w:rPr>
          <w:rFonts w:ascii="仿宋" w:hAnsi="仿宋" w:eastAsia="仿宋" w:cs="仿宋"/>
          <w:spacing w:val="3"/>
          <w:sz w:val="28"/>
          <w:szCs w:val="28"/>
        </w:rPr>
        <w:t>对稳定的一次性医用卫生材料，</w:t>
      </w:r>
      <w:r>
        <w:rPr>
          <w:rFonts w:ascii="仿宋" w:hAnsi="仿宋" w:eastAsia="仿宋" w:cs="仿宋"/>
          <w:sz w:val="28"/>
          <w:szCs w:val="28"/>
        </w:rPr>
        <w:t xml:space="preserve"> </w:t>
      </w:r>
      <w:r>
        <w:rPr>
          <w:rFonts w:ascii="仿宋" w:hAnsi="仿宋" w:eastAsia="仿宋" w:cs="仿宋"/>
          <w:spacing w:val="2"/>
          <w:sz w:val="28"/>
          <w:szCs w:val="28"/>
        </w:rPr>
        <w:t>如：输液器、输血器、注射器、采血针、普通输液</w:t>
      </w:r>
      <w:r>
        <w:rPr>
          <w:rFonts w:ascii="仿宋" w:hAnsi="仿宋" w:eastAsia="仿宋" w:cs="仿宋"/>
          <w:spacing w:val="1"/>
          <w:sz w:val="28"/>
          <w:szCs w:val="28"/>
        </w:rPr>
        <w:t>胶贴、普通采血管、连接管、吸引器、采血管、普通缝合线及一</w:t>
      </w:r>
      <w:r>
        <w:rPr>
          <w:rFonts w:ascii="仿宋" w:hAnsi="仿宋" w:eastAsia="仿宋" w:cs="仿宋"/>
          <w:sz w:val="28"/>
          <w:szCs w:val="28"/>
        </w:rPr>
        <w:t xml:space="preserve"> </w:t>
      </w:r>
      <w:r>
        <w:rPr>
          <w:rFonts w:ascii="仿宋" w:hAnsi="仿宋" w:eastAsia="仿宋" w:cs="仿宋"/>
          <w:spacing w:val="-7"/>
          <w:sz w:val="28"/>
          <w:szCs w:val="28"/>
        </w:rPr>
        <w:t>次性手术包等。</w:t>
      </w:r>
    </w:p>
    <w:p>
      <w:pPr>
        <w:spacing w:before="107" w:line="221" w:lineRule="auto"/>
        <w:ind w:left="649"/>
        <w:rPr>
          <w:rFonts w:ascii="仿宋" w:hAnsi="仿宋" w:eastAsia="仿宋" w:cs="仿宋"/>
          <w:sz w:val="28"/>
          <w:szCs w:val="28"/>
        </w:rPr>
      </w:pPr>
      <w:r>
        <w:rPr>
          <w:rFonts w:ascii="仿宋" w:hAnsi="仿宋" w:eastAsia="仿宋" w:cs="仿宋"/>
          <w:spacing w:val="-5"/>
          <w:sz w:val="28"/>
          <w:szCs w:val="28"/>
        </w:rPr>
        <w:t>计算公式：应摊金额=实际消耗数量×单价</w:t>
      </w:r>
    </w:p>
    <w:p>
      <w:pPr>
        <w:spacing w:before="46" w:line="261" w:lineRule="auto"/>
        <w:ind w:right="51" w:firstLine="780"/>
        <w:rPr>
          <w:rFonts w:ascii="宋体" w:hAnsi="宋体" w:eastAsia="宋体" w:cs="宋体"/>
          <w:sz w:val="28"/>
          <w:szCs w:val="28"/>
        </w:rPr>
      </w:pPr>
      <w:r>
        <w:rPr>
          <w:rFonts w:ascii="华文新魏" w:hAnsi="华文新魏" w:eastAsia="华文新魏" w:cs="华文新魏"/>
          <w:spacing w:val="3"/>
          <w:sz w:val="28"/>
          <w:szCs w:val="28"/>
        </w:rPr>
        <w:t>(二)低值易耗品</w:t>
      </w:r>
      <w:r>
        <w:rPr>
          <w:rFonts w:ascii="仿宋" w:hAnsi="仿宋" w:eastAsia="仿宋" w:cs="仿宋"/>
          <w:spacing w:val="3"/>
          <w:sz w:val="28"/>
          <w:szCs w:val="28"/>
        </w:rPr>
        <w:t>：指医疗机构提供医疗服务过程中消耗的低值卫生材料。如：碘酒、酒精、棉球、棉花、棉</w:t>
      </w:r>
      <w:r>
        <w:rPr>
          <w:rFonts w:ascii="仿宋" w:hAnsi="仿宋" w:eastAsia="仿宋" w:cs="仿宋"/>
          <w:spacing w:val="17"/>
          <w:sz w:val="28"/>
          <w:szCs w:val="28"/>
        </w:rPr>
        <w:t xml:space="preserve"> </w:t>
      </w:r>
      <w:r>
        <w:rPr>
          <w:rFonts w:ascii="仿宋" w:hAnsi="仿宋" w:eastAsia="仿宋" w:cs="仿宋"/>
          <w:spacing w:val="1"/>
          <w:sz w:val="28"/>
          <w:szCs w:val="28"/>
        </w:rPr>
        <w:t>签、纱布、普通敷料、帽子、口罩、鞋套、袜套、手套、手术衣、绷带、检查垫、压舌板、止血带、消毒液、弯盘</w:t>
      </w:r>
      <w:r>
        <w:rPr>
          <w:rFonts w:ascii="仿宋" w:hAnsi="仿宋" w:eastAsia="仿宋" w:cs="仿宋"/>
          <w:spacing w:val="17"/>
          <w:sz w:val="28"/>
          <w:szCs w:val="28"/>
        </w:rPr>
        <w:t xml:space="preserve"> </w:t>
      </w:r>
      <w:r>
        <w:rPr>
          <w:rFonts w:ascii="宋体" w:hAnsi="宋体" w:eastAsia="宋体" w:cs="宋体"/>
          <w:spacing w:val="-14"/>
          <w:sz w:val="28"/>
          <w:szCs w:val="28"/>
        </w:rPr>
        <w:t>等。</w:t>
      </w:r>
    </w:p>
    <w:p>
      <w:pPr>
        <w:spacing w:before="93" w:line="221" w:lineRule="auto"/>
        <w:ind w:left="649"/>
        <w:rPr>
          <w:rFonts w:ascii="仿宋" w:hAnsi="仿宋" w:eastAsia="仿宋" w:cs="仿宋"/>
          <w:sz w:val="28"/>
          <w:szCs w:val="28"/>
        </w:rPr>
      </w:pPr>
      <w:r>
        <w:rPr>
          <w:rFonts w:ascii="仿宋" w:hAnsi="仿宋" w:eastAsia="仿宋" w:cs="仿宋"/>
          <w:spacing w:val="-6"/>
          <w:sz w:val="28"/>
          <w:szCs w:val="28"/>
        </w:rPr>
        <w:t>计算公式：应摊金额=实际消耗数量×单价</w:t>
      </w:r>
    </w:p>
    <w:p>
      <w:pPr>
        <w:spacing w:before="56" w:line="222" w:lineRule="auto"/>
        <w:ind w:left="780"/>
        <w:rPr>
          <w:rFonts w:ascii="仿宋" w:hAnsi="仿宋" w:eastAsia="仿宋" w:cs="仿宋"/>
          <w:sz w:val="28"/>
          <w:szCs w:val="28"/>
        </w:rPr>
      </w:pPr>
      <w:r>
        <w:rPr>
          <w:rFonts w:ascii="仿宋" w:hAnsi="仿宋" w:eastAsia="仿宋" w:cs="仿宋"/>
          <w:spacing w:val="9"/>
          <w:sz w:val="28"/>
          <w:szCs w:val="28"/>
        </w:rPr>
        <w:t>(注：实际消耗数量为每人每次实际耗用量，如一瓶酒精，可用20人次，</w:t>
      </w:r>
      <w:r>
        <w:rPr>
          <w:rFonts w:ascii="仿宋" w:hAnsi="仿宋" w:eastAsia="仿宋" w:cs="仿宋"/>
          <w:spacing w:val="8"/>
          <w:sz w:val="28"/>
          <w:szCs w:val="28"/>
        </w:rPr>
        <w:t>则消耗数量为1/20瓶。)</w:t>
      </w:r>
    </w:p>
    <w:p>
      <w:pPr>
        <w:spacing w:before="92" w:line="251" w:lineRule="auto"/>
        <w:ind w:right="52" w:firstLine="780"/>
        <w:rPr>
          <w:rFonts w:ascii="仿宋" w:hAnsi="仿宋" w:eastAsia="仿宋" w:cs="仿宋"/>
          <w:sz w:val="28"/>
          <w:szCs w:val="28"/>
        </w:rPr>
      </w:pPr>
      <w:r>
        <w:rPr>
          <w:rFonts w:ascii="仿宋" w:hAnsi="仿宋" w:eastAsia="仿宋" w:cs="仿宋"/>
          <w:spacing w:val="9"/>
          <w:sz w:val="28"/>
          <w:szCs w:val="28"/>
        </w:rPr>
        <w:t>(三)试剂：诊疗项目中供多人使用的药品(不含</w:t>
      </w:r>
      <w:r>
        <w:rPr>
          <w:rFonts w:ascii="仿宋" w:hAnsi="仿宋" w:eastAsia="仿宋" w:cs="仿宋"/>
          <w:spacing w:val="8"/>
          <w:sz w:val="28"/>
          <w:szCs w:val="28"/>
        </w:rPr>
        <w:t>患者处方独立领取的药品)及其他消耗品等，如：眼科检查</w:t>
      </w:r>
      <w:r>
        <w:rPr>
          <w:rFonts w:ascii="仿宋" w:hAnsi="仿宋" w:eastAsia="仿宋" w:cs="仿宋"/>
          <w:sz w:val="28"/>
          <w:szCs w:val="28"/>
        </w:rPr>
        <w:t xml:space="preserve"> 时用的阿托品等。包括检测试剂、散装局麻药品、染色剂、耦合剂、保存液</w:t>
      </w:r>
      <w:r>
        <w:rPr>
          <w:rFonts w:ascii="仿宋" w:hAnsi="仿宋" w:eastAsia="仿宋" w:cs="仿宋"/>
          <w:spacing w:val="-1"/>
          <w:sz w:val="28"/>
          <w:szCs w:val="28"/>
        </w:rPr>
        <w:t>等。</w:t>
      </w:r>
    </w:p>
    <w:p>
      <w:pPr>
        <w:spacing w:line="251" w:lineRule="auto"/>
        <w:rPr>
          <w:rFonts w:ascii="仿宋" w:hAnsi="仿宋" w:eastAsia="仿宋" w:cs="仿宋"/>
          <w:sz w:val="28"/>
          <w:szCs w:val="28"/>
        </w:rPr>
        <w:sectPr>
          <w:footerReference r:id="rId26" w:type="default"/>
          <w:pgSz w:w="16730" w:h="11830"/>
          <w:pgMar w:top="1005" w:right="1299" w:bottom="1066" w:left="1309" w:header="0" w:footer="929" w:gutter="0"/>
          <w:cols w:space="720" w:num="1"/>
        </w:sectPr>
      </w:pPr>
    </w:p>
    <w:p>
      <w:pPr>
        <w:pStyle w:val="2"/>
        <w:spacing w:line="296" w:lineRule="auto"/>
      </w:pPr>
    </w:p>
    <w:p>
      <w:pPr>
        <w:pStyle w:val="2"/>
        <w:spacing w:line="296" w:lineRule="auto"/>
      </w:pPr>
    </w:p>
    <w:p>
      <w:pPr>
        <w:pStyle w:val="2"/>
        <w:spacing w:line="297" w:lineRule="auto"/>
      </w:pPr>
    </w:p>
    <w:p>
      <w:pPr>
        <w:spacing w:before="88" w:line="221" w:lineRule="auto"/>
        <w:ind w:left="980"/>
        <w:rPr>
          <w:rFonts w:ascii="仿宋" w:hAnsi="仿宋" w:eastAsia="仿宋" w:cs="仿宋"/>
          <w:sz w:val="27"/>
          <w:szCs w:val="27"/>
        </w:rPr>
      </w:pPr>
      <w:r>
        <w:rPr>
          <w:rFonts w:ascii="仿宋" w:hAnsi="仿宋" w:eastAsia="仿宋" w:cs="仿宋"/>
          <w:spacing w:val="5"/>
          <w:sz w:val="27"/>
          <w:szCs w:val="27"/>
        </w:rPr>
        <w:t>计算公式：应摊金额=实际消耗数量×单价</w:t>
      </w:r>
    </w:p>
    <w:p>
      <w:pPr>
        <w:spacing w:before="115" w:line="259" w:lineRule="auto"/>
        <w:ind w:left="720" w:right="1501" w:firstLine="39"/>
        <w:rPr>
          <w:rFonts w:ascii="仿宋" w:hAnsi="仿宋" w:eastAsia="仿宋" w:cs="仿宋"/>
          <w:sz w:val="27"/>
          <w:szCs w:val="27"/>
        </w:rPr>
      </w:pPr>
      <w:r>
        <w:rPr>
          <w:rFonts w:ascii="仿宋" w:hAnsi="仿宋" w:eastAsia="仿宋" w:cs="仿宋"/>
          <w:spacing w:val="17"/>
          <w:sz w:val="27"/>
          <w:szCs w:val="27"/>
        </w:rPr>
        <w:t>(注：实际消耗数量为每人每次实际耗用量，如一个试剂盒可检测5人份，则消耗数量为1/5。)</w:t>
      </w:r>
      <w:r>
        <w:rPr>
          <w:rFonts w:ascii="仿宋" w:hAnsi="仿宋" w:eastAsia="仿宋" w:cs="仿宋"/>
          <w:spacing w:val="11"/>
          <w:sz w:val="27"/>
          <w:szCs w:val="27"/>
        </w:rPr>
        <w:t xml:space="preserve"> </w:t>
      </w:r>
      <w:r>
        <w:rPr>
          <w:rFonts w:ascii="楷体" w:hAnsi="楷体" w:eastAsia="楷体" w:cs="楷体"/>
          <w:spacing w:val="13"/>
          <w:sz w:val="27"/>
          <w:szCs w:val="27"/>
        </w:rPr>
        <w:t>(四)水电燃料</w:t>
      </w:r>
      <w:r>
        <w:rPr>
          <w:rFonts w:ascii="仿宋" w:hAnsi="仿宋" w:eastAsia="仿宋" w:cs="仿宋"/>
          <w:spacing w:val="13"/>
          <w:sz w:val="27"/>
          <w:szCs w:val="27"/>
        </w:rPr>
        <w:t>：水电燃料消耗按实际消耗计算</w:t>
      </w:r>
      <w:r>
        <w:rPr>
          <w:rFonts w:ascii="仿宋" w:hAnsi="仿宋" w:eastAsia="仿宋" w:cs="仿宋"/>
          <w:spacing w:val="12"/>
          <w:sz w:val="27"/>
          <w:szCs w:val="27"/>
        </w:rPr>
        <w:t>，计算公式：应摊金额=实际消耗数量×单价</w:t>
      </w:r>
    </w:p>
    <w:p>
      <w:pPr>
        <w:spacing w:before="72" w:line="222" w:lineRule="auto"/>
        <w:ind w:left="653"/>
        <w:outlineLvl w:val="6"/>
        <w:rPr>
          <w:rFonts w:ascii="黑体" w:hAnsi="黑体" w:eastAsia="黑体" w:cs="黑体"/>
          <w:sz w:val="27"/>
          <w:szCs w:val="27"/>
        </w:rPr>
      </w:pPr>
      <w:r>
        <w:rPr>
          <w:rFonts w:ascii="黑体" w:hAnsi="黑体" w:eastAsia="黑体" w:cs="黑体"/>
          <w:b/>
          <w:bCs/>
          <w:spacing w:val="-6"/>
          <w:sz w:val="27"/>
          <w:szCs w:val="27"/>
        </w:rPr>
        <w:t>三、</w:t>
      </w:r>
      <w:r>
        <w:rPr>
          <w:rFonts w:ascii="黑体" w:hAnsi="黑体" w:eastAsia="黑体" w:cs="黑体"/>
          <w:spacing w:val="-51"/>
          <w:sz w:val="27"/>
          <w:szCs w:val="27"/>
        </w:rPr>
        <w:t xml:space="preserve"> </w:t>
      </w:r>
      <w:r>
        <w:rPr>
          <w:rFonts w:ascii="黑体" w:hAnsi="黑体" w:eastAsia="黑体" w:cs="黑体"/>
          <w:b/>
          <w:bCs/>
          <w:spacing w:val="-6"/>
          <w:sz w:val="27"/>
          <w:szCs w:val="27"/>
        </w:rPr>
        <w:t>固定资产折旧</w:t>
      </w:r>
    </w:p>
    <w:p>
      <w:pPr>
        <w:spacing w:before="103" w:line="222" w:lineRule="auto"/>
        <w:ind w:left="759"/>
        <w:rPr>
          <w:rFonts w:ascii="楷体" w:hAnsi="楷体" w:eastAsia="楷体" w:cs="楷体"/>
          <w:sz w:val="27"/>
          <w:szCs w:val="27"/>
        </w:rPr>
      </w:pPr>
      <w:r>
        <w:rPr>
          <w:rFonts w:ascii="楷体" w:hAnsi="楷体" w:eastAsia="楷体" w:cs="楷体"/>
          <w:spacing w:val="17"/>
          <w:sz w:val="27"/>
          <w:szCs w:val="27"/>
        </w:rPr>
        <w:t>(一)医疗仪器设备折旧：</w:t>
      </w:r>
    </w:p>
    <w:p>
      <w:pPr>
        <w:spacing w:before="119" w:line="243" w:lineRule="auto"/>
        <w:ind w:left="759" w:right="2535" w:hanging="109"/>
        <w:rPr>
          <w:rFonts w:ascii="楷体" w:hAnsi="楷体" w:eastAsia="楷体" w:cs="楷体"/>
          <w:sz w:val="27"/>
          <w:szCs w:val="27"/>
        </w:rPr>
      </w:pPr>
      <w:r>
        <w:rPr>
          <w:rFonts w:ascii="仿宋" w:hAnsi="仿宋" w:eastAsia="仿宋" w:cs="仿宋"/>
          <w:spacing w:val="2"/>
          <w:sz w:val="27"/>
          <w:szCs w:val="27"/>
        </w:rPr>
        <w:t>计算公式：应摊金额=医疗仪器设备原值÷使用年限÷12个月÷22天÷8小时×设备使用时间</w:t>
      </w:r>
      <w:r>
        <w:rPr>
          <w:rFonts w:ascii="仿宋" w:hAnsi="仿宋" w:eastAsia="仿宋" w:cs="仿宋"/>
          <w:spacing w:val="18"/>
          <w:sz w:val="27"/>
          <w:szCs w:val="27"/>
        </w:rPr>
        <w:t xml:space="preserve"> </w:t>
      </w:r>
      <w:r>
        <w:rPr>
          <w:rFonts w:ascii="楷体" w:hAnsi="楷体" w:eastAsia="楷体" w:cs="楷体"/>
          <w:spacing w:val="26"/>
          <w:sz w:val="27"/>
          <w:szCs w:val="27"/>
        </w:rPr>
        <w:t>(二)房屋及其他折旧</w:t>
      </w:r>
    </w:p>
    <w:p>
      <w:pPr>
        <w:spacing w:before="118" w:line="221" w:lineRule="auto"/>
        <w:ind w:left="650"/>
        <w:rPr>
          <w:rFonts w:ascii="仿宋" w:hAnsi="仿宋" w:eastAsia="仿宋" w:cs="仿宋"/>
          <w:sz w:val="27"/>
          <w:szCs w:val="27"/>
        </w:rPr>
      </w:pPr>
      <w:r>
        <w:rPr>
          <w:rFonts w:ascii="仿宋" w:hAnsi="仿宋" w:eastAsia="仿宋" w:cs="仿宋"/>
          <w:spacing w:val="-7"/>
          <w:sz w:val="27"/>
          <w:szCs w:val="27"/>
        </w:rPr>
        <w:t>1.房屋折旧</w:t>
      </w:r>
    </w:p>
    <w:p>
      <w:pPr>
        <w:spacing w:before="70" w:line="262" w:lineRule="auto"/>
        <w:ind w:right="3" w:firstLine="650"/>
        <w:rPr>
          <w:rFonts w:ascii="宋体" w:hAnsi="宋体" w:eastAsia="宋体" w:cs="宋体"/>
          <w:sz w:val="27"/>
          <w:szCs w:val="27"/>
        </w:rPr>
      </w:pPr>
      <w:r>
        <w:rPr>
          <w:rFonts w:ascii="仿宋" w:hAnsi="仿宋" w:eastAsia="仿宋" w:cs="仿宋"/>
          <w:spacing w:val="3"/>
          <w:sz w:val="27"/>
          <w:szCs w:val="27"/>
        </w:rPr>
        <w:t>计算公式：应摊金额=房屋总造价÷房屋总面积</w:t>
      </w:r>
      <w:r>
        <w:rPr>
          <w:rFonts w:ascii="仿宋" w:hAnsi="仿宋" w:eastAsia="仿宋" w:cs="仿宋"/>
          <w:spacing w:val="-47"/>
          <w:sz w:val="27"/>
          <w:szCs w:val="27"/>
        </w:rPr>
        <w:t xml:space="preserve"> </w:t>
      </w:r>
      <w:r>
        <w:rPr>
          <w:rFonts w:ascii="Times New Roman" w:hAnsi="Times New Roman" w:eastAsia="Times New Roman" w:cs="Times New Roman"/>
          <w:spacing w:val="3"/>
          <w:sz w:val="27"/>
          <w:szCs w:val="27"/>
        </w:rPr>
        <w:t xml:space="preserve">(m²)÷    </w:t>
      </w:r>
      <w:r>
        <w:rPr>
          <w:rFonts w:ascii="仿宋" w:hAnsi="仿宋" w:eastAsia="仿宋" w:cs="仿宋"/>
          <w:spacing w:val="3"/>
          <w:sz w:val="27"/>
          <w:szCs w:val="27"/>
        </w:rPr>
        <w:t>使用年限÷12个月+22天÷8小时×实际使用面积×实际使</w:t>
      </w:r>
      <w:r>
        <w:rPr>
          <w:rFonts w:ascii="仿宋" w:hAnsi="仿宋" w:eastAsia="仿宋" w:cs="仿宋"/>
          <w:sz w:val="27"/>
          <w:szCs w:val="27"/>
        </w:rPr>
        <w:t xml:space="preserve"> </w:t>
      </w:r>
      <w:r>
        <w:rPr>
          <w:rFonts w:ascii="宋体" w:hAnsi="宋体" w:eastAsia="宋体" w:cs="宋体"/>
          <w:spacing w:val="8"/>
          <w:sz w:val="27"/>
          <w:szCs w:val="27"/>
        </w:rPr>
        <w:t>用时间</w:t>
      </w:r>
    </w:p>
    <w:p>
      <w:pPr>
        <w:spacing w:before="111" w:line="221" w:lineRule="auto"/>
        <w:ind w:left="620"/>
        <w:rPr>
          <w:rFonts w:ascii="仿宋" w:hAnsi="仿宋" w:eastAsia="仿宋" w:cs="仿宋"/>
          <w:sz w:val="27"/>
          <w:szCs w:val="27"/>
        </w:rPr>
      </w:pPr>
      <w:r>
        <w:rPr>
          <w:rFonts w:ascii="仿宋" w:hAnsi="仿宋" w:eastAsia="仿宋" w:cs="仿宋"/>
          <w:spacing w:val="-6"/>
          <w:sz w:val="27"/>
          <w:szCs w:val="27"/>
        </w:rPr>
        <w:t>2.其他折旧</w:t>
      </w:r>
    </w:p>
    <w:p>
      <w:pPr>
        <w:spacing w:before="117" w:line="222" w:lineRule="auto"/>
        <w:ind w:left="650"/>
        <w:rPr>
          <w:rFonts w:ascii="仿宋" w:hAnsi="仿宋" w:eastAsia="仿宋" w:cs="仿宋"/>
          <w:sz w:val="27"/>
          <w:szCs w:val="27"/>
        </w:rPr>
      </w:pPr>
      <w:r>
        <w:rPr>
          <w:rFonts w:ascii="仿宋" w:hAnsi="仿宋" w:eastAsia="仿宋" w:cs="仿宋"/>
          <w:spacing w:val="1"/>
          <w:sz w:val="27"/>
          <w:szCs w:val="27"/>
        </w:rPr>
        <w:t>计算公式：应摊金额=资产原值÷使用年限÷12个月÷22天÷8小时×实</w:t>
      </w:r>
      <w:r>
        <w:rPr>
          <w:rFonts w:ascii="仿宋" w:hAnsi="仿宋" w:eastAsia="仿宋" w:cs="仿宋"/>
          <w:sz w:val="27"/>
          <w:szCs w:val="27"/>
        </w:rPr>
        <w:t>际使用时间</w:t>
      </w:r>
    </w:p>
    <w:p>
      <w:pPr>
        <w:spacing w:before="86" w:line="222" w:lineRule="auto"/>
        <w:ind w:left="653"/>
        <w:outlineLvl w:val="6"/>
        <w:rPr>
          <w:rFonts w:ascii="黑体" w:hAnsi="黑体" w:eastAsia="黑体" w:cs="黑体"/>
          <w:sz w:val="27"/>
          <w:szCs w:val="27"/>
        </w:rPr>
      </w:pPr>
      <w:r>
        <w:rPr>
          <w:rFonts w:ascii="黑体" w:hAnsi="黑体" w:eastAsia="黑体" w:cs="黑体"/>
          <w:b/>
          <w:bCs/>
          <w:spacing w:val="-8"/>
          <w:sz w:val="27"/>
          <w:szCs w:val="27"/>
        </w:rPr>
        <w:t>四、</w:t>
      </w:r>
      <w:r>
        <w:rPr>
          <w:rFonts w:ascii="黑体" w:hAnsi="黑体" w:eastAsia="黑体" w:cs="黑体"/>
          <w:spacing w:val="-51"/>
          <w:sz w:val="27"/>
          <w:szCs w:val="27"/>
        </w:rPr>
        <w:t xml:space="preserve"> </w:t>
      </w:r>
      <w:r>
        <w:rPr>
          <w:rFonts w:ascii="黑体" w:hAnsi="黑体" w:eastAsia="黑体" w:cs="黑体"/>
          <w:b/>
          <w:bCs/>
          <w:spacing w:val="-8"/>
          <w:sz w:val="27"/>
          <w:szCs w:val="27"/>
        </w:rPr>
        <w:t>管理费及其他</w:t>
      </w:r>
    </w:p>
    <w:p>
      <w:pPr>
        <w:spacing w:before="76" w:line="222" w:lineRule="auto"/>
        <w:ind w:left="759"/>
        <w:rPr>
          <w:rFonts w:ascii="仿宋" w:hAnsi="仿宋" w:eastAsia="仿宋" w:cs="仿宋"/>
          <w:sz w:val="27"/>
          <w:szCs w:val="27"/>
        </w:rPr>
      </w:pPr>
      <w:r>
        <w:rPr>
          <w:rFonts w:ascii="华文新魏" w:hAnsi="华文新魏" w:eastAsia="华文新魏" w:cs="华文新魏"/>
          <w:spacing w:val="13"/>
          <w:sz w:val="27"/>
          <w:szCs w:val="27"/>
        </w:rPr>
        <w:t>( 一</w:t>
      </w:r>
      <w:r>
        <w:rPr>
          <w:rFonts w:ascii="华文新魏" w:hAnsi="华文新魏" w:eastAsia="华文新魏" w:cs="华文新魏"/>
          <w:spacing w:val="-15"/>
          <w:sz w:val="27"/>
          <w:szCs w:val="27"/>
        </w:rPr>
        <w:t xml:space="preserve"> </w:t>
      </w:r>
      <w:r>
        <w:rPr>
          <w:rFonts w:ascii="华文新魏" w:hAnsi="华文新魏" w:eastAsia="华文新魏" w:cs="华文新魏"/>
          <w:spacing w:val="13"/>
          <w:sz w:val="27"/>
          <w:szCs w:val="27"/>
        </w:rPr>
        <w:t>)管理费分摊</w:t>
      </w:r>
      <w:r>
        <w:rPr>
          <w:rFonts w:ascii="仿宋" w:hAnsi="仿宋" w:eastAsia="仿宋" w:cs="仿宋"/>
          <w:spacing w:val="13"/>
          <w:sz w:val="27"/>
          <w:szCs w:val="27"/>
        </w:rPr>
        <w:t>：根据上年度上报卫生系统统计报表的管</w:t>
      </w:r>
      <w:r>
        <w:rPr>
          <w:rFonts w:ascii="仿宋" w:hAnsi="仿宋" w:eastAsia="仿宋" w:cs="仿宋"/>
          <w:spacing w:val="12"/>
          <w:sz w:val="27"/>
          <w:szCs w:val="27"/>
        </w:rPr>
        <w:t>理费用率计算项目的管理费。</w:t>
      </w:r>
    </w:p>
    <w:p>
      <w:pPr>
        <w:spacing w:before="116" w:line="224" w:lineRule="auto"/>
        <w:ind w:left="759"/>
        <w:rPr>
          <w:rFonts w:ascii="仿宋" w:hAnsi="仿宋" w:eastAsia="仿宋" w:cs="仿宋"/>
          <w:sz w:val="27"/>
          <w:szCs w:val="27"/>
        </w:rPr>
      </w:pPr>
      <w:r>
        <w:rPr>
          <w:rFonts w:ascii="楷体" w:hAnsi="楷体" w:eastAsia="楷体" w:cs="楷体"/>
          <w:spacing w:val="19"/>
          <w:sz w:val="27"/>
          <w:szCs w:val="27"/>
        </w:rPr>
        <w:t>(二)计算公式</w:t>
      </w:r>
      <w:r>
        <w:rPr>
          <w:rFonts w:ascii="仿宋" w:hAnsi="仿宋" w:eastAsia="仿宋" w:cs="仿宋"/>
          <w:spacing w:val="19"/>
          <w:sz w:val="27"/>
          <w:szCs w:val="27"/>
        </w:rPr>
        <w:t>：管理费分摊=(劳务支出+材料消耗支出+固定资产折旧费用)×</w:t>
      </w:r>
      <w:r>
        <w:rPr>
          <w:rFonts w:ascii="仿宋" w:hAnsi="仿宋" w:eastAsia="仿宋" w:cs="仿宋"/>
          <w:spacing w:val="18"/>
          <w:sz w:val="27"/>
          <w:szCs w:val="27"/>
        </w:rPr>
        <w:t>管理费用率</w:t>
      </w:r>
    </w:p>
    <w:p>
      <w:pPr>
        <w:spacing w:before="82" w:line="258" w:lineRule="auto"/>
        <w:ind w:left="10" w:firstLine="643"/>
        <w:rPr>
          <w:rFonts w:ascii="仿宋" w:hAnsi="仿宋" w:eastAsia="仿宋" w:cs="仿宋"/>
          <w:sz w:val="27"/>
          <w:szCs w:val="27"/>
        </w:rPr>
      </w:pPr>
      <w:r>
        <w:rPr>
          <w:rFonts w:ascii="仿宋" w:hAnsi="仿宋" w:eastAsia="仿宋" w:cs="仿宋"/>
          <w:b/>
          <w:bCs/>
          <w:spacing w:val="10"/>
          <w:sz w:val="27"/>
          <w:szCs w:val="27"/>
        </w:rPr>
        <w:t>五、</w:t>
      </w:r>
      <w:r>
        <w:rPr>
          <w:rFonts w:ascii="仿宋" w:hAnsi="仿宋" w:eastAsia="仿宋" w:cs="仿宋"/>
          <w:spacing w:val="10"/>
          <w:sz w:val="27"/>
          <w:szCs w:val="27"/>
        </w:rPr>
        <w:t>新增项目使用社会捐赠和使用政府性资金购买的大型检查治疗设备时，测算项目成</w:t>
      </w:r>
      <w:r>
        <w:rPr>
          <w:rFonts w:ascii="仿宋" w:hAnsi="仿宋" w:eastAsia="仿宋" w:cs="仿宋"/>
          <w:spacing w:val="9"/>
          <w:sz w:val="27"/>
          <w:szCs w:val="27"/>
        </w:rPr>
        <w:t>本应按公益性原则扣除</w:t>
      </w:r>
      <w:r>
        <w:rPr>
          <w:rFonts w:ascii="仿宋" w:hAnsi="仿宋" w:eastAsia="仿宋" w:cs="仿宋"/>
          <w:sz w:val="27"/>
          <w:szCs w:val="27"/>
        </w:rPr>
        <w:t xml:space="preserve"> </w:t>
      </w:r>
      <w:r>
        <w:rPr>
          <w:rFonts w:ascii="仿宋" w:hAnsi="仿宋" w:eastAsia="仿宋" w:cs="仿宋"/>
          <w:spacing w:val="8"/>
          <w:sz w:val="27"/>
          <w:szCs w:val="27"/>
        </w:rPr>
        <w:t>设备折旧、投资回报、还本付息等费用。</w:t>
      </w:r>
    </w:p>
    <w:p>
      <w:pPr>
        <w:spacing w:line="258" w:lineRule="auto"/>
        <w:rPr>
          <w:rFonts w:ascii="仿宋" w:hAnsi="仿宋" w:eastAsia="仿宋" w:cs="仿宋"/>
          <w:sz w:val="27"/>
          <w:szCs w:val="27"/>
        </w:rPr>
        <w:sectPr>
          <w:footerReference r:id="rId27" w:type="default"/>
          <w:pgSz w:w="16870" w:h="12040"/>
          <w:pgMar w:top="1023" w:right="1498" w:bottom="1066" w:left="1279" w:header="0" w:footer="929" w:gutter="0"/>
          <w:cols w:space="720" w:num="1"/>
        </w:sectPr>
      </w:pPr>
    </w:p>
    <w:p>
      <w:pPr>
        <w:pStyle w:val="2"/>
        <w:spacing w:line="259" w:lineRule="auto"/>
      </w:pPr>
    </w:p>
    <w:p>
      <w:pPr>
        <w:pStyle w:val="2"/>
        <w:spacing w:line="260" w:lineRule="auto"/>
      </w:pPr>
    </w:p>
    <w:p>
      <w:pPr>
        <w:pStyle w:val="2"/>
        <w:spacing w:line="260" w:lineRule="auto"/>
      </w:pPr>
    </w:p>
    <w:p>
      <w:pPr>
        <w:spacing w:before="117" w:line="219" w:lineRule="auto"/>
        <w:ind w:left="5020"/>
        <w:rPr>
          <w:rFonts w:ascii="宋体" w:hAnsi="宋体" w:eastAsia="宋体" w:cs="宋体"/>
          <w:sz w:val="36"/>
          <w:szCs w:val="36"/>
        </w:rPr>
      </w:pPr>
      <w:r>
        <w:rPr>
          <w:rFonts w:ascii="宋体" w:hAnsi="宋体" w:eastAsia="宋体" w:cs="宋体"/>
          <w:b/>
          <w:bCs/>
          <w:spacing w:val="-7"/>
          <w:sz w:val="36"/>
          <w:szCs w:val="36"/>
        </w:rPr>
        <w:t>医用耗材详细信息参考模板</w:t>
      </w:r>
    </w:p>
    <w:p>
      <w:pPr>
        <w:spacing w:before="209"/>
      </w:pPr>
    </w:p>
    <w:tbl>
      <w:tblPr>
        <w:tblStyle w:val="5"/>
        <w:tblW w:w="142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1369"/>
        <w:gridCol w:w="1429"/>
        <w:gridCol w:w="1139"/>
        <w:gridCol w:w="729"/>
        <w:gridCol w:w="750"/>
        <w:gridCol w:w="1659"/>
        <w:gridCol w:w="1009"/>
        <w:gridCol w:w="1269"/>
        <w:gridCol w:w="800"/>
        <w:gridCol w:w="789"/>
        <w:gridCol w:w="839"/>
        <w:gridCol w:w="78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85" w:type="dxa"/>
            <w:textDirection w:val="tbRlV"/>
            <w:vAlign w:val="top"/>
          </w:tcPr>
          <w:p>
            <w:pPr>
              <w:pStyle w:val="6"/>
              <w:spacing w:before="130" w:line="217" w:lineRule="auto"/>
              <w:ind w:left="173"/>
              <w:rPr>
                <w:sz w:val="22"/>
                <w:szCs w:val="22"/>
              </w:rPr>
            </w:pPr>
            <w:r>
              <w:rPr>
                <w:sz w:val="22"/>
                <w:szCs w:val="22"/>
              </w:rPr>
              <w:t>序</w:t>
            </w:r>
            <w:r>
              <w:rPr>
                <w:spacing w:val="27"/>
                <w:sz w:val="22"/>
                <w:szCs w:val="22"/>
              </w:rPr>
              <w:t xml:space="preserve"> </w:t>
            </w:r>
            <w:r>
              <w:rPr>
                <w:sz w:val="22"/>
                <w:szCs w:val="22"/>
              </w:rPr>
              <w:t>号</w:t>
            </w:r>
          </w:p>
        </w:tc>
        <w:tc>
          <w:tcPr>
            <w:tcW w:w="1369" w:type="dxa"/>
            <w:vAlign w:val="top"/>
          </w:tcPr>
          <w:p>
            <w:pPr>
              <w:spacing w:line="290" w:lineRule="auto"/>
              <w:rPr>
                <w:rFonts w:ascii="Arial"/>
                <w:sz w:val="21"/>
              </w:rPr>
            </w:pPr>
          </w:p>
          <w:p>
            <w:pPr>
              <w:pStyle w:val="6"/>
              <w:spacing w:before="72" w:line="219" w:lineRule="auto"/>
              <w:ind w:left="129"/>
              <w:rPr>
                <w:sz w:val="22"/>
                <w:szCs w:val="22"/>
              </w:rPr>
            </w:pPr>
            <w:r>
              <w:rPr>
                <w:spacing w:val="2"/>
                <w:sz w:val="22"/>
                <w:szCs w:val="22"/>
              </w:rPr>
              <w:t>注册证编号</w:t>
            </w:r>
          </w:p>
        </w:tc>
        <w:tc>
          <w:tcPr>
            <w:tcW w:w="1429" w:type="dxa"/>
            <w:vAlign w:val="top"/>
          </w:tcPr>
          <w:p>
            <w:pPr>
              <w:spacing w:line="292" w:lineRule="auto"/>
              <w:rPr>
                <w:rFonts w:ascii="Arial"/>
                <w:sz w:val="21"/>
              </w:rPr>
            </w:pPr>
          </w:p>
          <w:p>
            <w:pPr>
              <w:pStyle w:val="6"/>
              <w:spacing w:before="71" w:line="221" w:lineRule="auto"/>
              <w:ind w:left="170"/>
              <w:rPr>
                <w:sz w:val="22"/>
                <w:szCs w:val="22"/>
              </w:rPr>
            </w:pPr>
            <w:r>
              <w:rPr>
                <w:spacing w:val="-2"/>
                <w:sz w:val="22"/>
                <w:szCs w:val="22"/>
              </w:rPr>
              <w:t>注册人名称</w:t>
            </w:r>
          </w:p>
        </w:tc>
        <w:tc>
          <w:tcPr>
            <w:tcW w:w="1139" w:type="dxa"/>
            <w:vAlign w:val="top"/>
          </w:tcPr>
          <w:p>
            <w:pPr>
              <w:spacing w:line="290" w:lineRule="auto"/>
              <w:rPr>
                <w:rFonts w:ascii="Arial"/>
                <w:sz w:val="21"/>
              </w:rPr>
            </w:pPr>
          </w:p>
          <w:p>
            <w:pPr>
              <w:pStyle w:val="6"/>
              <w:spacing w:before="72" w:line="219" w:lineRule="auto"/>
              <w:ind w:left="91"/>
              <w:rPr>
                <w:sz w:val="22"/>
                <w:szCs w:val="22"/>
              </w:rPr>
            </w:pPr>
            <w:r>
              <w:rPr>
                <w:spacing w:val="-2"/>
                <w:sz w:val="22"/>
                <w:szCs w:val="22"/>
              </w:rPr>
              <w:t>产品名称</w:t>
            </w:r>
          </w:p>
        </w:tc>
        <w:tc>
          <w:tcPr>
            <w:tcW w:w="729" w:type="dxa"/>
            <w:vAlign w:val="top"/>
          </w:tcPr>
          <w:p>
            <w:pPr>
              <w:pStyle w:val="6"/>
              <w:spacing w:before="202" w:line="236" w:lineRule="auto"/>
              <w:ind w:left="132" w:right="127"/>
              <w:rPr>
                <w:sz w:val="22"/>
                <w:szCs w:val="22"/>
              </w:rPr>
            </w:pPr>
            <w:r>
              <w:rPr>
                <w:spacing w:val="3"/>
                <w:sz w:val="22"/>
                <w:szCs w:val="22"/>
              </w:rPr>
              <w:t>管理</w:t>
            </w:r>
            <w:r>
              <w:rPr>
                <w:sz w:val="22"/>
                <w:szCs w:val="22"/>
              </w:rPr>
              <w:t xml:space="preserve"> </w:t>
            </w:r>
            <w:r>
              <w:rPr>
                <w:spacing w:val="9"/>
                <w:sz w:val="22"/>
                <w:szCs w:val="22"/>
              </w:rPr>
              <w:t>类别</w:t>
            </w:r>
          </w:p>
        </w:tc>
        <w:tc>
          <w:tcPr>
            <w:tcW w:w="750" w:type="dxa"/>
            <w:vAlign w:val="top"/>
          </w:tcPr>
          <w:p>
            <w:pPr>
              <w:pStyle w:val="6"/>
              <w:spacing w:before="205" w:line="235" w:lineRule="auto"/>
              <w:ind w:left="143" w:right="142"/>
              <w:rPr>
                <w:sz w:val="22"/>
                <w:szCs w:val="22"/>
              </w:rPr>
            </w:pPr>
            <w:r>
              <w:rPr>
                <w:spacing w:val="6"/>
                <w:sz w:val="22"/>
                <w:szCs w:val="22"/>
              </w:rPr>
              <w:t>型号</w:t>
            </w:r>
            <w:r>
              <w:rPr>
                <w:sz w:val="22"/>
                <w:szCs w:val="22"/>
              </w:rPr>
              <w:t xml:space="preserve"> </w:t>
            </w:r>
            <w:r>
              <w:rPr>
                <w:spacing w:val="-3"/>
                <w:sz w:val="22"/>
                <w:szCs w:val="22"/>
              </w:rPr>
              <w:t>规格</w:t>
            </w:r>
          </w:p>
        </w:tc>
        <w:tc>
          <w:tcPr>
            <w:tcW w:w="1659" w:type="dxa"/>
            <w:vAlign w:val="top"/>
          </w:tcPr>
          <w:p>
            <w:pPr>
              <w:pStyle w:val="6"/>
              <w:spacing w:before="205" w:line="244" w:lineRule="auto"/>
              <w:ind w:left="163" w:right="175" w:firstLine="49"/>
              <w:rPr>
                <w:sz w:val="22"/>
                <w:szCs w:val="22"/>
              </w:rPr>
            </w:pPr>
            <w:r>
              <w:rPr>
                <w:spacing w:val="1"/>
                <w:sz w:val="22"/>
                <w:szCs w:val="22"/>
              </w:rPr>
              <w:t xml:space="preserve">结构及组成/ </w:t>
            </w:r>
            <w:r>
              <w:rPr>
                <w:spacing w:val="-2"/>
                <w:sz w:val="22"/>
                <w:szCs w:val="22"/>
              </w:rPr>
              <w:t>主要组成成分</w:t>
            </w:r>
          </w:p>
        </w:tc>
        <w:tc>
          <w:tcPr>
            <w:tcW w:w="1009" w:type="dxa"/>
            <w:vAlign w:val="top"/>
          </w:tcPr>
          <w:p>
            <w:pPr>
              <w:pStyle w:val="6"/>
              <w:spacing w:before="25" w:line="221" w:lineRule="auto"/>
              <w:ind w:left="164"/>
              <w:rPr>
                <w:sz w:val="22"/>
                <w:szCs w:val="22"/>
              </w:rPr>
            </w:pPr>
            <w:r>
              <w:rPr>
                <w:spacing w:val="4"/>
                <w:sz w:val="22"/>
                <w:szCs w:val="22"/>
              </w:rPr>
              <w:t>适用范</w:t>
            </w:r>
          </w:p>
          <w:p>
            <w:pPr>
              <w:pStyle w:val="6"/>
              <w:spacing w:before="76" w:line="220" w:lineRule="auto"/>
              <w:ind w:left="114"/>
              <w:rPr>
                <w:sz w:val="22"/>
                <w:szCs w:val="22"/>
              </w:rPr>
            </w:pPr>
            <w:r>
              <w:rPr>
                <w:spacing w:val="3"/>
                <w:sz w:val="22"/>
                <w:szCs w:val="22"/>
              </w:rPr>
              <w:t>围/预期</w:t>
            </w:r>
          </w:p>
          <w:p>
            <w:pPr>
              <w:pStyle w:val="6"/>
              <w:spacing w:before="39" w:line="213" w:lineRule="auto"/>
              <w:ind w:left="274"/>
              <w:rPr>
                <w:sz w:val="22"/>
                <w:szCs w:val="22"/>
              </w:rPr>
            </w:pPr>
            <w:r>
              <w:rPr>
                <w:spacing w:val="5"/>
                <w:sz w:val="22"/>
                <w:szCs w:val="22"/>
              </w:rPr>
              <w:t>用途</w:t>
            </w:r>
          </w:p>
        </w:tc>
        <w:tc>
          <w:tcPr>
            <w:tcW w:w="1269" w:type="dxa"/>
            <w:vAlign w:val="top"/>
          </w:tcPr>
          <w:p>
            <w:pPr>
              <w:pStyle w:val="6"/>
              <w:spacing w:before="34" w:line="219" w:lineRule="auto"/>
              <w:ind w:left="185"/>
              <w:rPr>
                <w:sz w:val="22"/>
                <w:szCs w:val="22"/>
              </w:rPr>
            </w:pPr>
            <w:r>
              <w:rPr>
                <w:spacing w:val="-2"/>
                <w:sz w:val="22"/>
                <w:szCs w:val="22"/>
              </w:rPr>
              <w:t>产品储存</w:t>
            </w:r>
          </w:p>
          <w:p>
            <w:pPr>
              <w:pStyle w:val="6"/>
              <w:spacing w:before="69" w:line="219" w:lineRule="auto"/>
              <w:ind w:left="185"/>
              <w:rPr>
                <w:sz w:val="22"/>
                <w:szCs w:val="22"/>
              </w:rPr>
            </w:pPr>
            <w:r>
              <w:rPr>
                <w:spacing w:val="2"/>
                <w:sz w:val="22"/>
                <w:szCs w:val="22"/>
              </w:rPr>
              <w:t>条件及有</w:t>
            </w:r>
          </w:p>
          <w:p>
            <w:pPr>
              <w:pStyle w:val="6"/>
              <w:spacing w:before="39" w:line="214" w:lineRule="auto"/>
              <w:ind w:left="405"/>
              <w:rPr>
                <w:sz w:val="22"/>
                <w:szCs w:val="22"/>
              </w:rPr>
            </w:pPr>
            <w:r>
              <w:rPr>
                <w:spacing w:val="7"/>
                <w:sz w:val="22"/>
                <w:szCs w:val="22"/>
              </w:rPr>
              <w:t>效期</w:t>
            </w:r>
          </w:p>
        </w:tc>
        <w:tc>
          <w:tcPr>
            <w:tcW w:w="800" w:type="dxa"/>
            <w:vAlign w:val="top"/>
          </w:tcPr>
          <w:p>
            <w:pPr>
              <w:pStyle w:val="6"/>
              <w:spacing w:before="205" w:line="235" w:lineRule="auto"/>
              <w:ind w:left="176" w:right="148"/>
              <w:rPr>
                <w:sz w:val="22"/>
                <w:szCs w:val="22"/>
              </w:rPr>
            </w:pPr>
            <w:r>
              <w:rPr>
                <w:spacing w:val="4"/>
                <w:sz w:val="22"/>
                <w:szCs w:val="22"/>
              </w:rPr>
              <w:t>审批</w:t>
            </w:r>
            <w:r>
              <w:rPr>
                <w:sz w:val="22"/>
                <w:szCs w:val="22"/>
              </w:rPr>
              <w:t xml:space="preserve"> </w:t>
            </w:r>
            <w:r>
              <w:rPr>
                <w:spacing w:val="12"/>
                <w:sz w:val="22"/>
                <w:szCs w:val="22"/>
              </w:rPr>
              <w:t>部门</w:t>
            </w:r>
          </w:p>
        </w:tc>
        <w:tc>
          <w:tcPr>
            <w:tcW w:w="789" w:type="dxa"/>
            <w:vAlign w:val="top"/>
          </w:tcPr>
          <w:p>
            <w:pPr>
              <w:pStyle w:val="6"/>
              <w:spacing w:before="195" w:line="309" w:lineRule="exact"/>
              <w:ind w:left="166"/>
              <w:rPr>
                <w:sz w:val="22"/>
                <w:szCs w:val="22"/>
              </w:rPr>
            </w:pPr>
            <w:r>
              <w:rPr>
                <w:spacing w:val="-2"/>
                <w:position w:val="6"/>
                <w:sz w:val="22"/>
                <w:szCs w:val="22"/>
              </w:rPr>
              <w:t>批准</w:t>
            </w:r>
          </w:p>
          <w:p>
            <w:pPr>
              <w:pStyle w:val="6"/>
              <w:spacing w:line="220" w:lineRule="auto"/>
              <w:ind w:left="166"/>
              <w:rPr>
                <w:sz w:val="22"/>
                <w:szCs w:val="22"/>
              </w:rPr>
            </w:pPr>
            <w:r>
              <w:rPr>
                <w:spacing w:val="12"/>
                <w:sz w:val="22"/>
                <w:szCs w:val="22"/>
              </w:rPr>
              <w:t>日期</w:t>
            </w:r>
          </w:p>
        </w:tc>
        <w:tc>
          <w:tcPr>
            <w:tcW w:w="839" w:type="dxa"/>
            <w:vAlign w:val="top"/>
          </w:tcPr>
          <w:p>
            <w:pPr>
              <w:pStyle w:val="6"/>
              <w:spacing w:before="214" w:line="310" w:lineRule="exact"/>
              <w:ind w:left="197"/>
              <w:rPr>
                <w:sz w:val="22"/>
                <w:szCs w:val="22"/>
              </w:rPr>
            </w:pPr>
            <w:r>
              <w:rPr>
                <w:spacing w:val="-3"/>
                <w:position w:val="6"/>
                <w:sz w:val="22"/>
                <w:szCs w:val="22"/>
              </w:rPr>
              <w:t>生效</w:t>
            </w:r>
          </w:p>
          <w:p>
            <w:pPr>
              <w:pStyle w:val="6"/>
              <w:spacing w:line="220" w:lineRule="auto"/>
              <w:ind w:left="197"/>
              <w:rPr>
                <w:sz w:val="22"/>
                <w:szCs w:val="22"/>
              </w:rPr>
            </w:pPr>
            <w:r>
              <w:rPr>
                <w:spacing w:val="12"/>
                <w:sz w:val="22"/>
                <w:szCs w:val="22"/>
              </w:rPr>
              <w:t>日期</w:t>
            </w:r>
          </w:p>
        </w:tc>
        <w:tc>
          <w:tcPr>
            <w:tcW w:w="789" w:type="dxa"/>
            <w:vAlign w:val="top"/>
          </w:tcPr>
          <w:p>
            <w:pPr>
              <w:pStyle w:val="6"/>
              <w:spacing w:before="194" w:line="330" w:lineRule="exact"/>
              <w:ind w:left="168"/>
              <w:rPr>
                <w:sz w:val="22"/>
                <w:szCs w:val="22"/>
              </w:rPr>
            </w:pPr>
            <w:r>
              <w:rPr>
                <w:spacing w:val="-3"/>
                <w:position w:val="7"/>
                <w:sz w:val="22"/>
                <w:szCs w:val="22"/>
              </w:rPr>
              <w:t>有效</w:t>
            </w:r>
          </w:p>
          <w:p>
            <w:pPr>
              <w:pStyle w:val="6"/>
              <w:spacing w:line="220" w:lineRule="auto"/>
              <w:ind w:left="168"/>
              <w:rPr>
                <w:sz w:val="22"/>
                <w:szCs w:val="22"/>
              </w:rPr>
            </w:pPr>
            <w:r>
              <w:rPr>
                <w:spacing w:val="5"/>
                <w:sz w:val="22"/>
                <w:szCs w:val="22"/>
              </w:rPr>
              <w:t>期至</w:t>
            </w:r>
          </w:p>
        </w:tc>
        <w:tc>
          <w:tcPr>
            <w:tcW w:w="1234" w:type="dxa"/>
            <w:vAlign w:val="top"/>
          </w:tcPr>
          <w:p>
            <w:pPr>
              <w:pStyle w:val="6"/>
              <w:spacing w:before="54" w:line="220" w:lineRule="auto"/>
              <w:ind w:left="169"/>
              <w:rPr>
                <w:sz w:val="22"/>
                <w:szCs w:val="22"/>
              </w:rPr>
            </w:pPr>
            <w:r>
              <w:rPr>
                <w:spacing w:val="1"/>
                <w:sz w:val="22"/>
                <w:szCs w:val="22"/>
              </w:rPr>
              <w:t>国家医保</w:t>
            </w:r>
          </w:p>
          <w:p>
            <w:pPr>
              <w:pStyle w:val="6"/>
              <w:spacing w:before="25" w:line="219" w:lineRule="auto"/>
              <w:ind w:left="169"/>
              <w:rPr>
                <w:sz w:val="22"/>
                <w:szCs w:val="22"/>
              </w:rPr>
            </w:pPr>
            <w:r>
              <w:rPr>
                <w:spacing w:val="1"/>
                <w:sz w:val="22"/>
                <w:szCs w:val="22"/>
              </w:rPr>
              <w:t>医用耗材</w:t>
            </w:r>
          </w:p>
          <w:p>
            <w:pPr>
              <w:pStyle w:val="6"/>
              <w:spacing w:before="69" w:line="207" w:lineRule="auto"/>
              <w:ind w:left="389"/>
              <w:rPr>
                <w:sz w:val="22"/>
                <w:szCs w:val="22"/>
              </w:rPr>
            </w:pPr>
            <w:r>
              <w:rPr>
                <w:spacing w:val="5"/>
                <w:sz w:val="22"/>
                <w:szCs w:val="22"/>
              </w:rPr>
              <w:t>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85" w:type="dxa"/>
            <w:vAlign w:val="top"/>
          </w:tcPr>
          <w:p>
            <w:pPr>
              <w:pStyle w:val="6"/>
              <w:spacing w:before="109" w:line="167" w:lineRule="auto"/>
              <w:ind w:left="174"/>
              <w:rPr>
                <w:sz w:val="22"/>
                <w:szCs w:val="22"/>
              </w:rPr>
            </w:pPr>
            <w:r>
              <w:rPr>
                <w:sz w:val="22"/>
                <w:szCs w:val="22"/>
              </w:rPr>
              <w:t>1</w:t>
            </w:r>
          </w:p>
        </w:tc>
        <w:tc>
          <w:tcPr>
            <w:tcW w:w="1369" w:type="dxa"/>
            <w:vAlign w:val="top"/>
          </w:tcPr>
          <w:p>
            <w:pPr>
              <w:rPr>
                <w:rFonts w:ascii="Arial"/>
                <w:sz w:val="21"/>
              </w:rPr>
            </w:pPr>
          </w:p>
        </w:tc>
        <w:tc>
          <w:tcPr>
            <w:tcW w:w="1429" w:type="dxa"/>
            <w:vAlign w:val="top"/>
          </w:tcPr>
          <w:p>
            <w:pPr>
              <w:rPr>
                <w:rFonts w:ascii="Arial"/>
                <w:sz w:val="21"/>
              </w:rPr>
            </w:pPr>
          </w:p>
        </w:tc>
        <w:tc>
          <w:tcPr>
            <w:tcW w:w="1139" w:type="dxa"/>
            <w:vAlign w:val="top"/>
          </w:tcPr>
          <w:p>
            <w:pPr>
              <w:rPr>
                <w:rFonts w:ascii="Arial"/>
                <w:sz w:val="21"/>
              </w:rPr>
            </w:pPr>
          </w:p>
        </w:tc>
        <w:tc>
          <w:tcPr>
            <w:tcW w:w="729" w:type="dxa"/>
            <w:vAlign w:val="top"/>
          </w:tcPr>
          <w:p>
            <w:pPr>
              <w:rPr>
                <w:rFonts w:ascii="Arial"/>
                <w:sz w:val="21"/>
              </w:rPr>
            </w:pPr>
          </w:p>
        </w:tc>
        <w:tc>
          <w:tcPr>
            <w:tcW w:w="750" w:type="dxa"/>
            <w:vAlign w:val="top"/>
          </w:tcPr>
          <w:p>
            <w:pPr>
              <w:rPr>
                <w:rFonts w:ascii="Arial"/>
                <w:sz w:val="21"/>
              </w:rPr>
            </w:pPr>
          </w:p>
        </w:tc>
        <w:tc>
          <w:tcPr>
            <w:tcW w:w="1659" w:type="dxa"/>
            <w:vAlign w:val="top"/>
          </w:tcPr>
          <w:p>
            <w:pPr>
              <w:rPr>
                <w:rFonts w:ascii="Arial"/>
                <w:sz w:val="21"/>
              </w:rPr>
            </w:pPr>
          </w:p>
        </w:tc>
        <w:tc>
          <w:tcPr>
            <w:tcW w:w="1009" w:type="dxa"/>
            <w:vAlign w:val="top"/>
          </w:tcPr>
          <w:p>
            <w:pPr>
              <w:rPr>
                <w:rFonts w:ascii="Arial"/>
                <w:sz w:val="21"/>
              </w:rPr>
            </w:pPr>
          </w:p>
        </w:tc>
        <w:tc>
          <w:tcPr>
            <w:tcW w:w="1269" w:type="dxa"/>
            <w:vAlign w:val="top"/>
          </w:tcPr>
          <w:p>
            <w:pPr>
              <w:rPr>
                <w:rFonts w:ascii="Arial"/>
                <w:sz w:val="21"/>
              </w:rPr>
            </w:pPr>
          </w:p>
        </w:tc>
        <w:tc>
          <w:tcPr>
            <w:tcW w:w="800" w:type="dxa"/>
            <w:vAlign w:val="top"/>
          </w:tcPr>
          <w:p>
            <w:pPr>
              <w:rPr>
                <w:rFonts w:ascii="Arial"/>
                <w:sz w:val="21"/>
              </w:rPr>
            </w:pPr>
          </w:p>
        </w:tc>
        <w:tc>
          <w:tcPr>
            <w:tcW w:w="789" w:type="dxa"/>
            <w:vAlign w:val="top"/>
          </w:tcPr>
          <w:p>
            <w:pPr>
              <w:rPr>
                <w:rFonts w:ascii="Arial"/>
                <w:sz w:val="21"/>
              </w:rPr>
            </w:pPr>
          </w:p>
        </w:tc>
        <w:tc>
          <w:tcPr>
            <w:tcW w:w="839" w:type="dxa"/>
            <w:vAlign w:val="top"/>
          </w:tcPr>
          <w:p>
            <w:pPr>
              <w:rPr>
                <w:rFonts w:ascii="Arial"/>
                <w:sz w:val="21"/>
              </w:rPr>
            </w:pPr>
          </w:p>
        </w:tc>
        <w:tc>
          <w:tcPr>
            <w:tcW w:w="789" w:type="dxa"/>
            <w:vAlign w:val="top"/>
          </w:tcPr>
          <w:p>
            <w:pPr>
              <w:rPr>
                <w:rFonts w:ascii="Arial"/>
                <w:sz w:val="21"/>
              </w:rPr>
            </w:pPr>
          </w:p>
        </w:tc>
        <w:tc>
          <w:tcPr>
            <w:tcW w:w="123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485" w:type="dxa"/>
            <w:vAlign w:val="top"/>
          </w:tcPr>
          <w:p>
            <w:pPr>
              <w:pStyle w:val="6"/>
              <w:spacing w:before="111" w:line="165" w:lineRule="auto"/>
              <w:ind w:left="174"/>
              <w:rPr>
                <w:sz w:val="22"/>
                <w:szCs w:val="22"/>
              </w:rPr>
            </w:pPr>
            <w:r>
              <w:rPr>
                <w:sz w:val="22"/>
                <w:szCs w:val="22"/>
              </w:rPr>
              <w:t>2</w:t>
            </w:r>
          </w:p>
        </w:tc>
        <w:tc>
          <w:tcPr>
            <w:tcW w:w="1369" w:type="dxa"/>
            <w:vAlign w:val="top"/>
          </w:tcPr>
          <w:p>
            <w:pPr>
              <w:rPr>
                <w:rFonts w:ascii="Arial"/>
                <w:sz w:val="21"/>
              </w:rPr>
            </w:pPr>
          </w:p>
        </w:tc>
        <w:tc>
          <w:tcPr>
            <w:tcW w:w="1429" w:type="dxa"/>
            <w:vAlign w:val="top"/>
          </w:tcPr>
          <w:p>
            <w:pPr>
              <w:rPr>
                <w:rFonts w:ascii="Arial"/>
                <w:sz w:val="21"/>
              </w:rPr>
            </w:pPr>
          </w:p>
        </w:tc>
        <w:tc>
          <w:tcPr>
            <w:tcW w:w="1139" w:type="dxa"/>
            <w:vAlign w:val="top"/>
          </w:tcPr>
          <w:p>
            <w:pPr>
              <w:rPr>
                <w:rFonts w:ascii="Arial"/>
                <w:sz w:val="21"/>
              </w:rPr>
            </w:pPr>
          </w:p>
        </w:tc>
        <w:tc>
          <w:tcPr>
            <w:tcW w:w="729" w:type="dxa"/>
            <w:vAlign w:val="top"/>
          </w:tcPr>
          <w:p>
            <w:pPr>
              <w:rPr>
                <w:rFonts w:ascii="Arial"/>
                <w:sz w:val="21"/>
              </w:rPr>
            </w:pPr>
          </w:p>
        </w:tc>
        <w:tc>
          <w:tcPr>
            <w:tcW w:w="750" w:type="dxa"/>
            <w:vAlign w:val="top"/>
          </w:tcPr>
          <w:p>
            <w:pPr>
              <w:rPr>
                <w:rFonts w:ascii="Arial"/>
                <w:sz w:val="21"/>
              </w:rPr>
            </w:pPr>
          </w:p>
        </w:tc>
        <w:tc>
          <w:tcPr>
            <w:tcW w:w="1659" w:type="dxa"/>
            <w:vAlign w:val="top"/>
          </w:tcPr>
          <w:p>
            <w:pPr>
              <w:rPr>
                <w:rFonts w:ascii="Arial"/>
                <w:sz w:val="21"/>
              </w:rPr>
            </w:pPr>
          </w:p>
        </w:tc>
        <w:tc>
          <w:tcPr>
            <w:tcW w:w="1009" w:type="dxa"/>
            <w:vAlign w:val="top"/>
          </w:tcPr>
          <w:p>
            <w:pPr>
              <w:rPr>
                <w:rFonts w:ascii="Arial"/>
                <w:sz w:val="21"/>
              </w:rPr>
            </w:pPr>
          </w:p>
        </w:tc>
        <w:tc>
          <w:tcPr>
            <w:tcW w:w="1269" w:type="dxa"/>
            <w:vAlign w:val="top"/>
          </w:tcPr>
          <w:p>
            <w:pPr>
              <w:rPr>
                <w:rFonts w:ascii="Arial"/>
                <w:sz w:val="21"/>
              </w:rPr>
            </w:pPr>
          </w:p>
        </w:tc>
        <w:tc>
          <w:tcPr>
            <w:tcW w:w="800" w:type="dxa"/>
            <w:vAlign w:val="top"/>
          </w:tcPr>
          <w:p>
            <w:pPr>
              <w:rPr>
                <w:rFonts w:ascii="Arial"/>
                <w:sz w:val="21"/>
              </w:rPr>
            </w:pPr>
          </w:p>
        </w:tc>
        <w:tc>
          <w:tcPr>
            <w:tcW w:w="789" w:type="dxa"/>
            <w:vAlign w:val="top"/>
          </w:tcPr>
          <w:p>
            <w:pPr>
              <w:rPr>
                <w:rFonts w:ascii="Arial"/>
                <w:sz w:val="21"/>
              </w:rPr>
            </w:pPr>
          </w:p>
        </w:tc>
        <w:tc>
          <w:tcPr>
            <w:tcW w:w="839" w:type="dxa"/>
            <w:vAlign w:val="top"/>
          </w:tcPr>
          <w:p>
            <w:pPr>
              <w:rPr>
                <w:rFonts w:ascii="Arial"/>
                <w:sz w:val="21"/>
              </w:rPr>
            </w:pPr>
          </w:p>
        </w:tc>
        <w:tc>
          <w:tcPr>
            <w:tcW w:w="789" w:type="dxa"/>
            <w:vAlign w:val="top"/>
          </w:tcPr>
          <w:p>
            <w:pPr>
              <w:rPr>
                <w:rFonts w:ascii="Arial"/>
                <w:sz w:val="21"/>
              </w:rPr>
            </w:pPr>
          </w:p>
        </w:tc>
        <w:tc>
          <w:tcPr>
            <w:tcW w:w="123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85" w:type="dxa"/>
            <w:vAlign w:val="top"/>
          </w:tcPr>
          <w:p>
            <w:pPr>
              <w:pStyle w:val="6"/>
              <w:spacing w:before="136" w:line="94" w:lineRule="exact"/>
              <w:ind w:left="204"/>
              <w:rPr>
                <w:sz w:val="6"/>
                <w:szCs w:val="6"/>
              </w:rPr>
            </w:pPr>
            <w:r>
              <w:rPr>
                <w:position w:val="1"/>
                <w:sz w:val="6"/>
                <w:szCs w:val="6"/>
              </w:rPr>
              <w:t>…</w:t>
            </w:r>
          </w:p>
        </w:tc>
        <w:tc>
          <w:tcPr>
            <w:tcW w:w="1369" w:type="dxa"/>
            <w:vAlign w:val="top"/>
          </w:tcPr>
          <w:p>
            <w:pPr>
              <w:rPr>
                <w:rFonts w:ascii="Arial"/>
                <w:sz w:val="21"/>
              </w:rPr>
            </w:pPr>
          </w:p>
        </w:tc>
        <w:tc>
          <w:tcPr>
            <w:tcW w:w="1429" w:type="dxa"/>
            <w:vAlign w:val="top"/>
          </w:tcPr>
          <w:p>
            <w:pPr>
              <w:rPr>
                <w:rFonts w:ascii="Arial"/>
                <w:sz w:val="21"/>
              </w:rPr>
            </w:pPr>
          </w:p>
        </w:tc>
        <w:tc>
          <w:tcPr>
            <w:tcW w:w="1139" w:type="dxa"/>
            <w:vAlign w:val="top"/>
          </w:tcPr>
          <w:p>
            <w:pPr>
              <w:rPr>
                <w:rFonts w:ascii="Arial"/>
                <w:sz w:val="21"/>
              </w:rPr>
            </w:pPr>
          </w:p>
        </w:tc>
        <w:tc>
          <w:tcPr>
            <w:tcW w:w="729" w:type="dxa"/>
            <w:vAlign w:val="top"/>
          </w:tcPr>
          <w:p>
            <w:pPr>
              <w:rPr>
                <w:rFonts w:ascii="Arial"/>
                <w:sz w:val="21"/>
              </w:rPr>
            </w:pPr>
          </w:p>
        </w:tc>
        <w:tc>
          <w:tcPr>
            <w:tcW w:w="750" w:type="dxa"/>
            <w:vAlign w:val="top"/>
          </w:tcPr>
          <w:p>
            <w:pPr>
              <w:rPr>
                <w:rFonts w:ascii="Arial"/>
                <w:sz w:val="21"/>
              </w:rPr>
            </w:pPr>
          </w:p>
        </w:tc>
        <w:tc>
          <w:tcPr>
            <w:tcW w:w="1659" w:type="dxa"/>
            <w:vAlign w:val="top"/>
          </w:tcPr>
          <w:p>
            <w:pPr>
              <w:rPr>
                <w:rFonts w:ascii="Arial"/>
                <w:sz w:val="21"/>
              </w:rPr>
            </w:pPr>
          </w:p>
        </w:tc>
        <w:tc>
          <w:tcPr>
            <w:tcW w:w="1009" w:type="dxa"/>
            <w:vAlign w:val="top"/>
          </w:tcPr>
          <w:p>
            <w:pPr>
              <w:rPr>
                <w:rFonts w:ascii="Arial"/>
                <w:sz w:val="21"/>
              </w:rPr>
            </w:pPr>
          </w:p>
        </w:tc>
        <w:tc>
          <w:tcPr>
            <w:tcW w:w="1269" w:type="dxa"/>
            <w:vAlign w:val="top"/>
          </w:tcPr>
          <w:p>
            <w:pPr>
              <w:rPr>
                <w:rFonts w:ascii="Arial"/>
                <w:sz w:val="21"/>
              </w:rPr>
            </w:pPr>
          </w:p>
        </w:tc>
        <w:tc>
          <w:tcPr>
            <w:tcW w:w="800" w:type="dxa"/>
            <w:vAlign w:val="top"/>
          </w:tcPr>
          <w:p>
            <w:pPr>
              <w:rPr>
                <w:rFonts w:ascii="Arial"/>
                <w:sz w:val="21"/>
              </w:rPr>
            </w:pPr>
          </w:p>
        </w:tc>
        <w:tc>
          <w:tcPr>
            <w:tcW w:w="789" w:type="dxa"/>
            <w:vAlign w:val="top"/>
          </w:tcPr>
          <w:p>
            <w:pPr>
              <w:rPr>
                <w:rFonts w:ascii="Arial"/>
                <w:sz w:val="21"/>
              </w:rPr>
            </w:pPr>
          </w:p>
        </w:tc>
        <w:tc>
          <w:tcPr>
            <w:tcW w:w="839" w:type="dxa"/>
            <w:vAlign w:val="top"/>
          </w:tcPr>
          <w:p>
            <w:pPr>
              <w:rPr>
                <w:rFonts w:ascii="Arial"/>
                <w:sz w:val="21"/>
              </w:rPr>
            </w:pPr>
          </w:p>
        </w:tc>
        <w:tc>
          <w:tcPr>
            <w:tcW w:w="789" w:type="dxa"/>
            <w:vAlign w:val="top"/>
          </w:tcPr>
          <w:p>
            <w:pPr>
              <w:rPr>
                <w:rFonts w:ascii="Arial"/>
                <w:sz w:val="21"/>
              </w:rPr>
            </w:pPr>
          </w:p>
        </w:tc>
        <w:tc>
          <w:tcPr>
            <w:tcW w:w="1234" w:type="dxa"/>
            <w:vAlign w:val="top"/>
          </w:tcPr>
          <w:p>
            <w:pPr>
              <w:rPr>
                <w:rFonts w:ascii="Arial"/>
                <w:sz w:val="21"/>
              </w:rPr>
            </w:pPr>
          </w:p>
        </w:tc>
      </w:tr>
    </w:tbl>
    <w:p>
      <w:pPr>
        <w:pStyle w:val="2"/>
      </w:pPr>
    </w:p>
    <w:p>
      <w:pPr>
        <w:sectPr>
          <w:footerReference r:id="rId28" w:type="default"/>
          <w:pgSz w:w="16710" w:h="11840"/>
          <w:pgMar w:top="1006" w:right="1355" w:bottom="1085" w:left="1055" w:header="0" w:footer="936" w:gutter="0"/>
          <w:cols w:space="720" w:num="1"/>
        </w:sectPr>
      </w:pPr>
    </w:p>
    <w:p>
      <w:pPr>
        <w:spacing w:before="100" w:line="219" w:lineRule="auto"/>
        <w:ind w:left="2564"/>
        <w:rPr>
          <w:rFonts w:ascii="宋体" w:hAnsi="宋体" w:eastAsia="宋体" w:cs="宋体"/>
          <w:sz w:val="39"/>
          <w:szCs w:val="39"/>
        </w:rPr>
      </w:pPr>
      <w:r>
        <w:rPr>
          <w:rFonts w:ascii="宋体" w:hAnsi="宋体" w:eastAsia="宋体" w:cs="宋体"/>
          <w:b/>
          <w:bCs/>
          <w:spacing w:val="2"/>
          <w:sz w:val="39"/>
          <w:szCs w:val="39"/>
        </w:rPr>
        <w:t>名词解释及材料要求</w:t>
      </w:r>
    </w:p>
    <w:p>
      <w:pPr>
        <w:pStyle w:val="2"/>
        <w:spacing w:line="302" w:lineRule="auto"/>
      </w:pPr>
    </w:p>
    <w:p>
      <w:pPr>
        <w:pStyle w:val="2"/>
        <w:spacing w:line="303" w:lineRule="auto"/>
      </w:pPr>
    </w:p>
    <w:p>
      <w:pPr>
        <w:spacing w:before="87" w:line="222" w:lineRule="auto"/>
        <w:ind w:left="772"/>
        <w:outlineLvl w:val="6"/>
        <w:rPr>
          <w:rFonts w:ascii="黑体" w:hAnsi="黑体" w:eastAsia="黑体" w:cs="黑体"/>
          <w:sz w:val="27"/>
          <w:szCs w:val="27"/>
        </w:rPr>
      </w:pPr>
      <w:r>
        <w:rPr>
          <w:rFonts w:ascii="黑体" w:hAnsi="黑体" w:eastAsia="黑体" w:cs="黑体"/>
          <w:b/>
          <w:bCs/>
          <w:spacing w:val="4"/>
          <w:sz w:val="27"/>
          <w:szCs w:val="27"/>
        </w:rPr>
        <w:t>一、名词解释</w:t>
      </w:r>
    </w:p>
    <w:p>
      <w:pPr>
        <w:spacing w:before="107" w:line="227" w:lineRule="auto"/>
        <w:ind w:left="939"/>
        <w:rPr>
          <w:rFonts w:ascii="楷体" w:hAnsi="楷体" w:eastAsia="楷体" w:cs="楷体"/>
          <w:sz w:val="27"/>
          <w:szCs w:val="27"/>
        </w:rPr>
      </w:pPr>
      <w:r>
        <w:rPr>
          <w:rFonts w:ascii="楷体" w:hAnsi="楷体" w:eastAsia="楷体" w:cs="楷体"/>
          <w:spacing w:val="16"/>
          <w:sz w:val="27"/>
          <w:szCs w:val="27"/>
        </w:rPr>
        <w:t>(一)卫生技术规范确认材料。</w:t>
      </w:r>
    </w:p>
    <w:p>
      <w:pPr>
        <w:spacing w:before="174" w:line="220" w:lineRule="auto"/>
        <w:jc w:val="right"/>
        <w:rPr>
          <w:rFonts w:ascii="仿宋" w:hAnsi="仿宋" w:eastAsia="仿宋" w:cs="仿宋"/>
          <w:sz w:val="27"/>
          <w:szCs w:val="27"/>
        </w:rPr>
      </w:pPr>
      <w:r>
        <w:rPr>
          <w:rFonts w:ascii="仿宋" w:hAnsi="仿宋" w:eastAsia="仿宋" w:cs="仿宋"/>
          <w:spacing w:val="23"/>
          <w:sz w:val="27"/>
          <w:szCs w:val="27"/>
        </w:rPr>
        <w:t>符合《新增(修订)价格项目信息资料》第1款</w:t>
      </w:r>
      <w:r>
        <w:rPr>
          <w:rFonts w:ascii="仿宋" w:hAnsi="仿宋" w:eastAsia="仿宋" w:cs="仿宋"/>
          <w:spacing w:val="22"/>
          <w:sz w:val="27"/>
          <w:szCs w:val="27"/>
        </w:rPr>
        <w:t>“合规性信息”</w:t>
      </w:r>
    </w:p>
    <w:p>
      <w:pPr>
        <w:spacing w:before="209" w:line="221" w:lineRule="auto"/>
        <w:ind w:left="139"/>
        <w:rPr>
          <w:rFonts w:ascii="仿宋" w:hAnsi="仿宋" w:eastAsia="仿宋" w:cs="仿宋"/>
          <w:sz w:val="27"/>
          <w:szCs w:val="27"/>
        </w:rPr>
      </w:pPr>
      <w:r>
        <w:rPr>
          <w:rFonts w:ascii="仿宋" w:hAnsi="仿宋" w:eastAsia="仿宋" w:cs="仿宋"/>
          <w:spacing w:val="12"/>
          <w:sz w:val="27"/>
          <w:szCs w:val="27"/>
        </w:rPr>
        <w:t>或卫生健康行政部门同意备案的书面意见</w:t>
      </w:r>
    </w:p>
    <w:p>
      <w:pPr>
        <w:spacing w:before="105" w:line="223" w:lineRule="auto"/>
        <w:ind w:left="939"/>
        <w:rPr>
          <w:rFonts w:ascii="楷体" w:hAnsi="楷体" w:eastAsia="楷体" w:cs="楷体"/>
          <w:sz w:val="27"/>
          <w:szCs w:val="27"/>
        </w:rPr>
      </w:pPr>
      <w:r>
        <w:rPr>
          <w:rFonts w:ascii="楷体" w:hAnsi="楷体" w:eastAsia="楷体" w:cs="楷体"/>
          <w:spacing w:val="16"/>
          <w:sz w:val="27"/>
          <w:szCs w:val="27"/>
        </w:rPr>
        <w:t>(二)新增项目价值评估报告。</w:t>
      </w:r>
    </w:p>
    <w:p>
      <w:pPr>
        <w:spacing w:before="196" w:line="362" w:lineRule="auto"/>
        <w:ind w:left="139" w:right="74" w:firstLine="629"/>
        <w:jc w:val="both"/>
        <w:rPr>
          <w:rFonts w:ascii="仿宋" w:hAnsi="仿宋" w:eastAsia="仿宋" w:cs="仿宋"/>
          <w:sz w:val="27"/>
          <w:szCs w:val="27"/>
        </w:rPr>
      </w:pPr>
      <w:r>
        <w:rPr>
          <w:rFonts w:ascii="仿宋" w:hAnsi="仿宋" w:eastAsia="仿宋" w:cs="仿宋"/>
          <w:spacing w:val="11"/>
          <w:sz w:val="27"/>
          <w:szCs w:val="27"/>
        </w:rPr>
        <w:t xml:space="preserve">提交新增医疗服务价格项目须提供本办法设置的评估指标体系 </w:t>
      </w:r>
      <w:r>
        <w:rPr>
          <w:rFonts w:ascii="仿宋" w:hAnsi="仿宋" w:eastAsia="仿宋" w:cs="仿宋"/>
          <w:spacing w:val="8"/>
          <w:sz w:val="27"/>
          <w:szCs w:val="27"/>
        </w:rPr>
        <w:t xml:space="preserve">进行评价出具的价值评估报告。在报告内阐述医疗服务价格项目的临 </w:t>
      </w:r>
      <w:r>
        <w:rPr>
          <w:rFonts w:ascii="仿宋" w:hAnsi="仿宋" w:eastAsia="仿宋" w:cs="仿宋"/>
          <w:spacing w:val="7"/>
          <w:sz w:val="27"/>
          <w:szCs w:val="27"/>
        </w:rPr>
        <w:t>床需求和意义，详细说明其在临床价值、社会价值、经济价值等维度</w:t>
      </w:r>
    </w:p>
    <w:p>
      <w:pPr>
        <w:spacing w:before="1" w:line="220" w:lineRule="auto"/>
        <w:ind w:left="139"/>
        <w:rPr>
          <w:rFonts w:ascii="仿宋" w:hAnsi="仿宋" w:eastAsia="仿宋" w:cs="仿宋"/>
          <w:sz w:val="27"/>
          <w:szCs w:val="27"/>
        </w:rPr>
      </w:pPr>
      <w:r>
        <w:rPr>
          <w:rFonts w:ascii="仿宋" w:hAnsi="仿宋" w:eastAsia="仿宋" w:cs="仿宋"/>
          <w:spacing w:val="9"/>
          <w:sz w:val="27"/>
          <w:szCs w:val="27"/>
        </w:rPr>
        <w:t>所涉及的指标体系的内涵和作用。并提供原件和有关佐证材料。</w:t>
      </w:r>
    </w:p>
    <w:p>
      <w:pPr>
        <w:spacing w:before="198" w:line="360" w:lineRule="auto"/>
        <w:ind w:left="139" w:right="76" w:firstLine="629"/>
        <w:jc w:val="both"/>
        <w:rPr>
          <w:rFonts w:ascii="仿宋" w:hAnsi="仿宋" w:eastAsia="仿宋" w:cs="仿宋"/>
          <w:sz w:val="27"/>
          <w:szCs w:val="27"/>
        </w:rPr>
      </w:pPr>
      <w:r>
        <w:rPr>
          <w:rFonts w:ascii="仿宋" w:hAnsi="仿宋" w:eastAsia="仿宋" w:cs="仿宋"/>
          <w:spacing w:val="15"/>
          <w:sz w:val="27"/>
          <w:szCs w:val="27"/>
        </w:rPr>
        <w:t>1.需医疗机构作出的特别说明。存在《广</w:t>
      </w:r>
      <w:r>
        <w:rPr>
          <w:rFonts w:ascii="仿宋" w:hAnsi="仿宋" w:eastAsia="仿宋" w:cs="仿宋"/>
          <w:spacing w:val="14"/>
          <w:sz w:val="27"/>
          <w:szCs w:val="27"/>
        </w:rPr>
        <w:t>东省新增(修订)价格</w:t>
      </w:r>
      <w:r>
        <w:rPr>
          <w:rFonts w:ascii="仿宋" w:hAnsi="仿宋" w:eastAsia="仿宋" w:cs="仿宋"/>
          <w:sz w:val="27"/>
          <w:szCs w:val="27"/>
        </w:rPr>
        <w:t xml:space="preserve"> </w:t>
      </w:r>
      <w:r>
        <w:rPr>
          <w:rFonts w:ascii="仿宋" w:hAnsi="仿宋" w:eastAsia="仿宋" w:cs="仿宋"/>
          <w:spacing w:val="1"/>
          <w:sz w:val="27"/>
          <w:szCs w:val="27"/>
        </w:rPr>
        <w:t>项目信息资料》3.2条款“项目预期价格”内容情形之一的，在价值评</w:t>
      </w:r>
      <w:r>
        <w:rPr>
          <w:rFonts w:ascii="仿宋" w:hAnsi="仿宋" w:eastAsia="仿宋" w:cs="仿宋"/>
          <w:sz w:val="27"/>
          <w:szCs w:val="27"/>
        </w:rPr>
        <w:t xml:space="preserve"> </w:t>
      </w:r>
      <w:r>
        <w:rPr>
          <w:rFonts w:ascii="仿宋" w:hAnsi="仿宋" w:eastAsia="仿宋" w:cs="仿宋"/>
          <w:spacing w:val="8"/>
          <w:sz w:val="27"/>
          <w:szCs w:val="27"/>
        </w:rPr>
        <w:t>估报告中，提交项目的医疗机构需单独以新增项目价值评估报告分报</w:t>
      </w:r>
    </w:p>
    <w:p>
      <w:pPr>
        <w:spacing w:line="220" w:lineRule="auto"/>
        <w:ind w:left="139"/>
        <w:rPr>
          <w:rFonts w:ascii="仿宋" w:hAnsi="仿宋" w:eastAsia="仿宋" w:cs="仿宋"/>
          <w:sz w:val="27"/>
          <w:szCs w:val="27"/>
        </w:rPr>
      </w:pPr>
      <w:r>
        <w:rPr>
          <w:rFonts w:ascii="仿宋" w:hAnsi="仿宋" w:eastAsia="仿宋" w:cs="仿宋"/>
          <w:spacing w:val="9"/>
          <w:sz w:val="27"/>
          <w:szCs w:val="27"/>
        </w:rPr>
        <w:t>告的形式作出特别说明。并提供原件和有关佐证材料。</w:t>
      </w:r>
    </w:p>
    <w:p>
      <w:pPr>
        <w:spacing w:before="198" w:line="358" w:lineRule="auto"/>
        <w:ind w:left="139" w:right="57" w:firstLine="629"/>
        <w:jc w:val="both"/>
        <w:rPr>
          <w:rFonts w:ascii="仿宋" w:hAnsi="仿宋" w:eastAsia="仿宋" w:cs="仿宋"/>
          <w:sz w:val="27"/>
          <w:szCs w:val="27"/>
        </w:rPr>
      </w:pPr>
      <w:r>
        <w:rPr>
          <w:rFonts w:ascii="仿宋" w:hAnsi="仿宋" w:eastAsia="仿宋" w:cs="仿宋"/>
          <w:spacing w:val="15"/>
          <w:sz w:val="27"/>
          <w:szCs w:val="27"/>
        </w:rPr>
        <w:t>2.需生产企业作出的特别说明。存在《广东省新增(修订)价格</w:t>
      </w:r>
      <w:r>
        <w:rPr>
          <w:rFonts w:ascii="仿宋" w:hAnsi="仿宋" w:eastAsia="仿宋" w:cs="仿宋"/>
          <w:spacing w:val="10"/>
          <w:sz w:val="27"/>
          <w:szCs w:val="27"/>
        </w:rPr>
        <w:t xml:space="preserve"> </w:t>
      </w:r>
      <w:r>
        <w:rPr>
          <w:rFonts w:ascii="仿宋" w:hAnsi="仿宋" w:eastAsia="仿宋" w:cs="仿宋"/>
          <w:spacing w:val="-2"/>
          <w:sz w:val="27"/>
          <w:szCs w:val="27"/>
        </w:rPr>
        <w:t>项目信息资料》3.3</w:t>
      </w:r>
      <w:r>
        <w:rPr>
          <w:rFonts w:ascii="仿宋" w:hAnsi="仿宋" w:eastAsia="仿宋" w:cs="仿宋"/>
          <w:spacing w:val="-43"/>
          <w:sz w:val="27"/>
          <w:szCs w:val="27"/>
        </w:rPr>
        <w:t xml:space="preserve"> </w:t>
      </w:r>
      <w:r>
        <w:rPr>
          <w:rFonts w:ascii="仿宋" w:hAnsi="仿宋" w:eastAsia="仿宋" w:cs="仿宋"/>
          <w:spacing w:val="-2"/>
          <w:sz w:val="27"/>
          <w:szCs w:val="27"/>
        </w:rPr>
        <w:t>条款“设备耗材费用”内容</w:t>
      </w:r>
      <w:r>
        <w:rPr>
          <w:rFonts w:ascii="仿宋" w:hAnsi="仿宋" w:eastAsia="仿宋" w:cs="仿宋"/>
          <w:spacing w:val="-3"/>
          <w:sz w:val="27"/>
          <w:szCs w:val="27"/>
        </w:rPr>
        <w:t xml:space="preserve">情形之一的，在价值评 </w:t>
      </w:r>
      <w:r>
        <w:rPr>
          <w:rFonts w:ascii="仿宋" w:hAnsi="仿宋" w:eastAsia="仿宋" w:cs="仿宋"/>
          <w:spacing w:val="7"/>
          <w:sz w:val="27"/>
          <w:szCs w:val="27"/>
        </w:rPr>
        <w:t>估报告中，生产企业对产品采购价格的合理性</w:t>
      </w:r>
      <w:r>
        <w:rPr>
          <w:rFonts w:ascii="仿宋" w:hAnsi="仿宋" w:eastAsia="仿宋" w:cs="仿宋"/>
          <w:spacing w:val="6"/>
          <w:sz w:val="27"/>
          <w:szCs w:val="27"/>
        </w:rPr>
        <w:t>必要性等情况需以独立</w:t>
      </w:r>
    </w:p>
    <w:p>
      <w:pPr>
        <w:spacing w:line="220" w:lineRule="auto"/>
        <w:ind w:left="139"/>
        <w:rPr>
          <w:rFonts w:ascii="仿宋" w:hAnsi="仿宋" w:eastAsia="仿宋" w:cs="仿宋"/>
          <w:sz w:val="27"/>
          <w:szCs w:val="27"/>
        </w:rPr>
      </w:pPr>
      <w:r>
        <w:rPr>
          <w:rFonts w:ascii="仿宋" w:hAnsi="仿宋" w:eastAsia="仿宋" w:cs="仿宋"/>
          <w:spacing w:val="9"/>
          <w:sz w:val="27"/>
          <w:szCs w:val="27"/>
        </w:rPr>
        <w:t>报告的形式出具正式的书面说明。并提供原件和有关佐证材料。</w:t>
      </w:r>
    </w:p>
    <w:p>
      <w:pPr>
        <w:spacing w:before="122" w:line="227" w:lineRule="auto"/>
        <w:ind w:left="939"/>
        <w:rPr>
          <w:rFonts w:ascii="楷体" w:hAnsi="楷体" w:eastAsia="楷体" w:cs="楷体"/>
          <w:sz w:val="27"/>
          <w:szCs w:val="27"/>
        </w:rPr>
      </w:pPr>
      <w:r>
        <w:rPr>
          <w:rFonts w:ascii="楷体" w:hAnsi="楷体" w:eastAsia="楷体" w:cs="楷体"/>
          <w:spacing w:val="18"/>
          <w:sz w:val="27"/>
          <w:szCs w:val="27"/>
        </w:rPr>
        <w:t>(三)大型医用设备。</w:t>
      </w:r>
    </w:p>
    <w:p>
      <w:pPr>
        <w:spacing w:before="178" w:line="361" w:lineRule="auto"/>
        <w:ind w:left="139" w:right="75" w:firstLine="629"/>
        <w:rPr>
          <w:rFonts w:ascii="仿宋" w:hAnsi="仿宋" w:eastAsia="仿宋" w:cs="仿宋"/>
          <w:sz w:val="27"/>
          <w:szCs w:val="27"/>
        </w:rPr>
      </w:pPr>
      <w:r>
        <w:rPr>
          <w:rFonts w:ascii="仿宋" w:hAnsi="仿宋" w:eastAsia="仿宋" w:cs="仿宋"/>
          <w:spacing w:val="10"/>
          <w:sz w:val="27"/>
          <w:szCs w:val="27"/>
        </w:rPr>
        <w:t>甲类大型医用设备由国家卫生健康委负责配置管理，</w:t>
      </w:r>
      <w:r>
        <w:rPr>
          <w:rFonts w:ascii="仿宋" w:hAnsi="仿宋" w:eastAsia="仿宋" w:cs="仿宋"/>
          <w:spacing w:val="9"/>
          <w:sz w:val="27"/>
          <w:szCs w:val="27"/>
        </w:rPr>
        <w:t>乙类大型</w:t>
      </w:r>
      <w:r>
        <w:rPr>
          <w:rFonts w:ascii="仿宋" w:hAnsi="仿宋" w:eastAsia="仿宋" w:cs="仿宋"/>
          <w:sz w:val="27"/>
          <w:szCs w:val="27"/>
        </w:rPr>
        <w:t xml:space="preserve">  </w:t>
      </w:r>
      <w:r>
        <w:rPr>
          <w:rFonts w:ascii="仿宋" w:hAnsi="仿宋" w:eastAsia="仿宋" w:cs="仿宋"/>
          <w:spacing w:val="8"/>
          <w:sz w:val="27"/>
          <w:szCs w:val="27"/>
        </w:rPr>
        <w:t>医用设备由省级卫生健康委负责配置管理。分类目录详见国家卫生健</w:t>
      </w:r>
    </w:p>
    <w:p>
      <w:pPr>
        <w:spacing w:line="220" w:lineRule="auto"/>
        <w:ind w:left="139"/>
        <w:rPr>
          <w:rFonts w:ascii="仿宋" w:hAnsi="仿宋" w:eastAsia="仿宋" w:cs="仿宋"/>
          <w:sz w:val="27"/>
          <w:szCs w:val="27"/>
        </w:rPr>
      </w:pPr>
      <w:r>
        <w:rPr>
          <w:rFonts w:ascii="仿宋" w:hAnsi="仿宋" w:eastAsia="仿宋" w:cs="仿宋"/>
          <w:spacing w:val="8"/>
          <w:sz w:val="27"/>
          <w:szCs w:val="27"/>
        </w:rPr>
        <w:t>康委发布的大型医用设备配置许可管理目录。</w:t>
      </w:r>
    </w:p>
    <w:p>
      <w:pPr>
        <w:spacing w:before="118" w:line="224" w:lineRule="auto"/>
        <w:ind w:left="939"/>
        <w:rPr>
          <w:rFonts w:ascii="楷体" w:hAnsi="楷体" w:eastAsia="楷体" w:cs="楷体"/>
          <w:sz w:val="27"/>
          <w:szCs w:val="27"/>
        </w:rPr>
      </w:pPr>
      <w:r>
        <w:rPr>
          <w:rFonts w:ascii="楷体" w:hAnsi="楷体" w:eastAsia="楷体" w:cs="楷体"/>
          <w:spacing w:val="18"/>
          <w:sz w:val="27"/>
          <w:szCs w:val="27"/>
        </w:rPr>
        <w:t>(四)医用耗材的详细信息。</w:t>
      </w:r>
    </w:p>
    <w:p>
      <w:pPr>
        <w:spacing w:before="185" w:line="508" w:lineRule="exact"/>
        <w:ind w:left="768"/>
        <w:rPr>
          <w:rFonts w:ascii="仿宋" w:hAnsi="仿宋" w:eastAsia="仿宋" w:cs="仿宋"/>
          <w:sz w:val="27"/>
          <w:szCs w:val="27"/>
        </w:rPr>
      </w:pPr>
      <w:r>
        <w:rPr>
          <w:rFonts w:ascii="仿宋" w:hAnsi="仿宋" w:eastAsia="仿宋" w:cs="仿宋"/>
          <w:spacing w:val="11"/>
          <w:position w:val="17"/>
          <w:sz w:val="27"/>
          <w:szCs w:val="27"/>
        </w:rPr>
        <w:t>项目涉及使用医用耗材的，须提供除外收费及成本测算表中主</w:t>
      </w:r>
    </w:p>
    <w:p>
      <w:pPr>
        <w:spacing w:line="220" w:lineRule="auto"/>
        <w:ind w:left="139"/>
        <w:rPr>
          <w:rFonts w:ascii="仿宋" w:hAnsi="仿宋" w:eastAsia="仿宋" w:cs="仿宋"/>
          <w:sz w:val="27"/>
          <w:szCs w:val="27"/>
        </w:rPr>
      </w:pPr>
      <w:r>
        <w:rPr>
          <w:rFonts w:ascii="仿宋" w:hAnsi="仿宋" w:eastAsia="仿宋" w:cs="仿宋"/>
          <w:spacing w:val="8"/>
          <w:sz w:val="27"/>
          <w:szCs w:val="27"/>
        </w:rPr>
        <w:t>要的医用耗材的详细信息，以表格形式汇总耗材资料。</w:t>
      </w:r>
    </w:p>
    <w:p>
      <w:pPr>
        <w:spacing w:before="140" w:line="222" w:lineRule="auto"/>
        <w:ind w:left="772"/>
        <w:outlineLvl w:val="6"/>
        <w:rPr>
          <w:rFonts w:ascii="黑体" w:hAnsi="黑体" w:eastAsia="黑体" w:cs="黑体"/>
          <w:sz w:val="27"/>
          <w:szCs w:val="27"/>
        </w:rPr>
      </w:pPr>
      <w:r>
        <w:rPr>
          <w:rFonts w:ascii="黑体" w:hAnsi="黑体" w:eastAsia="黑体" w:cs="黑体"/>
          <w:b/>
          <w:bCs/>
          <w:spacing w:val="8"/>
          <w:sz w:val="27"/>
          <w:szCs w:val="27"/>
        </w:rPr>
        <w:t>二、相关佐证材料</w:t>
      </w:r>
    </w:p>
    <w:p>
      <w:pPr>
        <w:spacing w:line="222" w:lineRule="auto"/>
        <w:rPr>
          <w:rFonts w:ascii="黑体" w:hAnsi="黑体" w:eastAsia="黑体" w:cs="黑体"/>
          <w:sz w:val="27"/>
          <w:szCs w:val="27"/>
        </w:rPr>
        <w:sectPr>
          <w:footerReference r:id="rId29" w:type="default"/>
          <w:pgSz w:w="12140" w:h="16910"/>
          <w:pgMar w:top="1437" w:right="1756" w:bottom="1086" w:left="1821" w:header="0" w:footer="949" w:gutter="0"/>
          <w:cols w:space="720" w:num="1"/>
        </w:sectPr>
      </w:pPr>
    </w:p>
    <w:p>
      <w:pPr>
        <w:spacing w:before="165" w:line="530" w:lineRule="exact"/>
        <w:ind w:left="676"/>
        <w:rPr>
          <w:rFonts w:ascii="仿宋" w:hAnsi="仿宋" w:eastAsia="仿宋" w:cs="仿宋"/>
          <w:sz w:val="27"/>
          <w:szCs w:val="27"/>
        </w:rPr>
      </w:pPr>
      <w:r>
        <w:rPr>
          <w:rFonts w:ascii="仿宋" w:hAnsi="仿宋" w:eastAsia="仿宋" w:cs="仿宋"/>
          <w:spacing w:val="10"/>
          <w:position w:val="19"/>
          <w:sz w:val="27"/>
          <w:szCs w:val="27"/>
        </w:rPr>
        <w:t>有助于通过审核的相关佐证材料，由提交机构自愿提供，包括</w:t>
      </w:r>
    </w:p>
    <w:p>
      <w:pPr>
        <w:spacing w:line="220" w:lineRule="auto"/>
        <w:ind w:left="27"/>
        <w:rPr>
          <w:rFonts w:ascii="仿宋" w:hAnsi="仿宋" w:eastAsia="仿宋" w:cs="仿宋"/>
          <w:sz w:val="27"/>
          <w:szCs w:val="27"/>
        </w:rPr>
      </w:pPr>
      <w:r>
        <w:rPr>
          <w:rFonts w:ascii="仿宋" w:hAnsi="仿宋" w:eastAsia="仿宋" w:cs="仿宋"/>
          <w:spacing w:val="-3"/>
          <w:sz w:val="27"/>
          <w:szCs w:val="27"/>
        </w:rPr>
        <w:t>但不限于以下材料：</w:t>
      </w:r>
    </w:p>
    <w:p>
      <w:pPr>
        <w:spacing w:before="130" w:line="225" w:lineRule="auto"/>
        <w:ind w:left="826"/>
        <w:rPr>
          <w:rFonts w:ascii="楷体" w:hAnsi="楷体" w:eastAsia="楷体" w:cs="楷体"/>
          <w:sz w:val="27"/>
          <w:szCs w:val="27"/>
        </w:rPr>
      </w:pPr>
      <w:r>
        <w:rPr>
          <w:rFonts w:ascii="楷体" w:hAnsi="楷体" w:eastAsia="楷体" w:cs="楷体"/>
          <w:spacing w:val="24"/>
          <w:sz w:val="27"/>
          <w:szCs w:val="27"/>
        </w:rPr>
        <w:t>(一)国内外临床诊疗指南/规范</w:t>
      </w:r>
    </w:p>
    <w:p>
      <w:pPr>
        <w:spacing w:before="162" w:line="362" w:lineRule="auto"/>
        <w:ind w:left="27" w:right="84" w:firstLine="649"/>
        <w:rPr>
          <w:rFonts w:ascii="仿宋" w:hAnsi="仿宋" w:eastAsia="仿宋" w:cs="仿宋"/>
          <w:sz w:val="27"/>
          <w:szCs w:val="27"/>
        </w:rPr>
      </w:pPr>
      <w:r>
        <w:rPr>
          <w:rFonts w:ascii="仿宋" w:hAnsi="仿宋" w:eastAsia="仿宋" w:cs="仿宋"/>
          <w:spacing w:val="14"/>
          <w:sz w:val="27"/>
          <w:szCs w:val="27"/>
        </w:rPr>
        <w:t>1. 国内临床诊疗指南/规范是指由国家卫生健康委员会、国家</w:t>
      </w:r>
      <w:r>
        <w:rPr>
          <w:rFonts w:ascii="仿宋" w:hAnsi="仿宋" w:eastAsia="仿宋" w:cs="仿宋"/>
          <w:spacing w:val="2"/>
          <w:sz w:val="27"/>
          <w:szCs w:val="27"/>
        </w:rPr>
        <w:t xml:space="preserve"> </w:t>
      </w:r>
      <w:r>
        <w:rPr>
          <w:rFonts w:ascii="仿宋" w:hAnsi="仿宋" w:eastAsia="仿宋" w:cs="仿宋"/>
          <w:spacing w:val="7"/>
          <w:sz w:val="27"/>
          <w:szCs w:val="27"/>
        </w:rPr>
        <w:t>中医药管理局等政府部门或中华医学会、中华中医药学会等权威学会</w:t>
      </w:r>
      <w:r>
        <w:rPr>
          <w:rFonts w:ascii="仿宋" w:hAnsi="仿宋" w:eastAsia="仿宋" w:cs="仿宋"/>
          <w:spacing w:val="5"/>
          <w:sz w:val="27"/>
          <w:szCs w:val="27"/>
        </w:rPr>
        <w:t xml:space="preserve"> </w:t>
      </w:r>
      <w:r>
        <w:rPr>
          <w:rFonts w:ascii="仿宋" w:hAnsi="仿宋" w:eastAsia="仿宋" w:cs="仿宋"/>
          <w:spacing w:val="8"/>
          <w:sz w:val="27"/>
          <w:szCs w:val="27"/>
        </w:rPr>
        <w:t>发布的，用来指导临床医务人员诊断治疗行</w:t>
      </w:r>
      <w:r>
        <w:rPr>
          <w:rFonts w:ascii="仿宋" w:hAnsi="仿宋" w:eastAsia="仿宋" w:cs="仿宋"/>
          <w:spacing w:val="7"/>
          <w:sz w:val="27"/>
          <w:szCs w:val="27"/>
        </w:rPr>
        <w:t>为的文件。提交项目者需</w:t>
      </w:r>
    </w:p>
    <w:p>
      <w:pPr>
        <w:spacing w:line="221" w:lineRule="auto"/>
        <w:ind w:left="27"/>
        <w:rPr>
          <w:rFonts w:ascii="仿宋" w:hAnsi="仿宋" w:eastAsia="仿宋" w:cs="仿宋"/>
          <w:sz w:val="27"/>
          <w:szCs w:val="27"/>
        </w:rPr>
      </w:pPr>
      <w:r>
        <w:rPr>
          <w:rFonts w:ascii="仿宋" w:hAnsi="仿宋" w:eastAsia="仿宋" w:cs="仿宋"/>
          <w:spacing w:val="15"/>
          <w:sz w:val="27"/>
          <w:szCs w:val="27"/>
        </w:rPr>
        <w:t>提供指南/规范的封面、相关内容页的复印件。</w:t>
      </w:r>
    </w:p>
    <w:p>
      <w:pPr>
        <w:pStyle w:val="2"/>
        <w:spacing w:before="187" w:line="362" w:lineRule="auto"/>
        <w:ind w:left="27" w:right="108" w:firstLine="649"/>
        <w:rPr>
          <w:rFonts w:ascii="仿宋" w:hAnsi="仿宋" w:eastAsia="仿宋" w:cs="仿宋"/>
          <w:sz w:val="27"/>
          <w:szCs w:val="27"/>
        </w:rPr>
      </w:pPr>
      <w:r>
        <w:rPr>
          <w:rFonts w:ascii="仿宋" w:hAnsi="仿宋" w:eastAsia="仿宋" w:cs="仿宋"/>
          <w:spacing w:val="15"/>
          <w:sz w:val="27"/>
          <w:szCs w:val="27"/>
        </w:rPr>
        <w:t>2.国外临床诊疗指南/规范是指由美国国立卫生研</w:t>
      </w:r>
      <w:r>
        <w:rPr>
          <w:rFonts w:ascii="仿宋" w:hAnsi="仿宋" w:eastAsia="仿宋" w:cs="仿宋"/>
          <w:spacing w:val="14"/>
          <w:sz w:val="27"/>
          <w:szCs w:val="27"/>
        </w:rPr>
        <w:t>究院</w:t>
      </w:r>
      <w:r>
        <w:rPr>
          <w:spacing w:val="14"/>
          <w:sz w:val="27"/>
          <w:szCs w:val="27"/>
        </w:rPr>
        <w:t>(</w:t>
      </w:r>
      <w:r>
        <w:rPr>
          <w:sz w:val="27"/>
          <w:szCs w:val="27"/>
        </w:rPr>
        <w:t>NIH</w:t>
      </w:r>
      <w:r>
        <w:rPr>
          <w:spacing w:val="14"/>
          <w:sz w:val="27"/>
          <w:szCs w:val="27"/>
        </w:rPr>
        <w:t>)</w:t>
      </w:r>
      <w:r>
        <w:rPr>
          <w:rFonts w:ascii="宋体" w:hAnsi="宋体" w:eastAsia="宋体" w:cs="宋体"/>
          <w:spacing w:val="14"/>
          <w:sz w:val="27"/>
          <w:szCs w:val="27"/>
        </w:rPr>
        <w:t>、</w:t>
      </w:r>
      <w:r>
        <w:rPr>
          <w:rFonts w:ascii="宋体" w:hAnsi="宋体" w:eastAsia="宋体" w:cs="宋体"/>
          <w:sz w:val="27"/>
          <w:szCs w:val="27"/>
        </w:rPr>
        <w:t xml:space="preserve"> </w:t>
      </w:r>
      <w:r>
        <w:rPr>
          <w:rFonts w:ascii="仿宋" w:hAnsi="仿宋" w:eastAsia="仿宋" w:cs="仿宋"/>
          <w:spacing w:val="7"/>
          <w:sz w:val="27"/>
          <w:szCs w:val="27"/>
        </w:rPr>
        <w:t>日本厚生劳动省等国外权威机构发布的、用来指导临床医务人员诊断</w:t>
      </w:r>
      <w:r>
        <w:rPr>
          <w:rFonts w:ascii="仿宋" w:hAnsi="仿宋" w:eastAsia="仿宋" w:cs="仿宋"/>
          <w:spacing w:val="10"/>
          <w:sz w:val="27"/>
          <w:szCs w:val="27"/>
        </w:rPr>
        <w:t xml:space="preserve"> </w:t>
      </w:r>
      <w:r>
        <w:rPr>
          <w:rFonts w:ascii="仿宋" w:hAnsi="仿宋" w:eastAsia="仿宋" w:cs="仿宋"/>
          <w:spacing w:val="12"/>
          <w:sz w:val="27"/>
          <w:szCs w:val="27"/>
        </w:rPr>
        <w:t>治疗行为的文件。提交项目者需提供指南/规范的封面、相关内容页</w:t>
      </w:r>
    </w:p>
    <w:p>
      <w:pPr>
        <w:spacing w:before="1" w:line="221" w:lineRule="auto"/>
        <w:ind w:left="27"/>
        <w:rPr>
          <w:rFonts w:ascii="仿宋" w:hAnsi="仿宋" w:eastAsia="仿宋" w:cs="仿宋"/>
          <w:sz w:val="27"/>
          <w:szCs w:val="27"/>
        </w:rPr>
      </w:pPr>
      <w:r>
        <w:rPr>
          <w:rFonts w:ascii="仿宋" w:hAnsi="仿宋" w:eastAsia="仿宋" w:cs="仿宋"/>
          <w:spacing w:val="-1"/>
          <w:sz w:val="27"/>
          <w:szCs w:val="27"/>
        </w:rPr>
        <w:t>的复印件。</w:t>
      </w:r>
    </w:p>
    <w:p>
      <w:pPr>
        <w:spacing w:before="106" w:line="225" w:lineRule="auto"/>
        <w:ind w:left="826"/>
        <w:rPr>
          <w:rFonts w:ascii="楷体" w:hAnsi="楷体" w:eastAsia="楷体" w:cs="楷体"/>
          <w:sz w:val="27"/>
          <w:szCs w:val="27"/>
        </w:rPr>
      </w:pPr>
      <w:r>
        <w:rPr>
          <w:rFonts w:ascii="楷体" w:hAnsi="楷体" w:eastAsia="楷体" w:cs="楷体"/>
          <w:spacing w:val="20"/>
          <w:sz w:val="27"/>
          <w:szCs w:val="27"/>
        </w:rPr>
        <w:t>(二)中医适宜技术</w:t>
      </w:r>
    </w:p>
    <w:p>
      <w:pPr>
        <w:spacing w:before="212" w:line="497" w:lineRule="exact"/>
        <w:ind w:left="676"/>
        <w:rPr>
          <w:rFonts w:ascii="仿宋" w:hAnsi="仿宋" w:eastAsia="仿宋" w:cs="仿宋"/>
          <w:sz w:val="27"/>
          <w:szCs w:val="27"/>
        </w:rPr>
      </w:pPr>
      <w:r>
        <w:rPr>
          <w:rFonts w:ascii="仿宋" w:hAnsi="仿宋" w:eastAsia="仿宋" w:cs="仿宋"/>
          <w:spacing w:val="10"/>
          <w:position w:val="16"/>
          <w:sz w:val="27"/>
          <w:szCs w:val="27"/>
        </w:rPr>
        <w:t>是指纳入国家中医药管理局中医临床适宜技术推广计划项目的</w:t>
      </w:r>
    </w:p>
    <w:p>
      <w:pPr>
        <w:spacing w:line="220" w:lineRule="auto"/>
        <w:ind w:left="27"/>
        <w:rPr>
          <w:rFonts w:ascii="仿宋" w:hAnsi="仿宋" w:eastAsia="仿宋" w:cs="仿宋"/>
          <w:sz w:val="27"/>
          <w:szCs w:val="27"/>
        </w:rPr>
      </w:pPr>
      <w:r>
        <w:rPr>
          <w:rFonts w:ascii="仿宋" w:hAnsi="仿宋" w:eastAsia="仿宋" w:cs="仿宋"/>
          <w:spacing w:val="8"/>
          <w:sz w:val="27"/>
          <w:szCs w:val="27"/>
        </w:rPr>
        <w:t>中医医疗技术。提交项目者需提供相应佐证</w:t>
      </w:r>
      <w:r>
        <w:rPr>
          <w:rFonts w:ascii="仿宋" w:hAnsi="仿宋" w:eastAsia="仿宋" w:cs="仿宋"/>
          <w:spacing w:val="7"/>
          <w:sz w:val="27"/>
          <w:szCs w:val="27"/>
        </w:rPr>
        <w:t>材料。</w:t>
      </w:r>
    </w:p>
    <w:p>
      <w:pPr>
        <w:spacing w:before="110" w:line="225" w:lineRule="auto"/>
        <w:ind w:left="826"/>
        <w:rPr>
          <w:rFonts w:ascii="楷体" w:hAnsi="楷体" w:eastAsia="楷体" w:cs="楷体"/>
          <w:sz w:val="27"/>
          <w:szCs w:val="27"/>
        </w:rPr>
      </w:pPr>
      <w:r>
        <w:rPr>
          <w:rFonts w:ascii="楷体" w:hAnsi="楷体" w:eastAsia="楷体" w:cs="楷体"/>
          <w:spacing w:val="22"/>
          <w:sz w:val="27"/>
          <w:szCs w:val="27"/>
        </w:rPr>
        <w:t>(三)外省已有立项</w:t>
      </w:r>
    </w:p>
    <w:p>
      <w:pPr>
        <w:spacing w:before="179" w:line="541" w:lineRule="exact"/>
        <w:ind w:left="676"/>
        <w:rPr>
          <w:rFonts w:ascii="仿宋" w:hAnsi="仿宋" w:eastAsia="仿宋" w:cs="仿宋"/>
          <w:sz w:val="27"/>
          <w:szCs w:val="27"/>
        </w:rPr>
      </w:pPr>
      <w:r>
        <w:rPr>
          <w:rFonts w:ascii="仿宋" w:hAnsi="仿宋" w:eastAsia="仿宋" w:cs="仿宋"/>
          <w:spacing w:val="12"/>
          <w:position w:val="20"/>
          <w:sz w:val="27"/>
          <w:szCs w:val="27"/>
        </w:rPr>
        <w:t>提交项目者需提供外省已立项目的详细资料，</w:t>
      </w:r>
      <w:r>
        <w:rPr>
          <w:rFonts w:ascii="仿宋" w:hAnsi="仿宋" w:eastAsia="仿宋" w:cs="仿宋"/>
          <w:spacing w:val="11"/>
          <w:position w:val="20"/>
          <w:sz w:val="27"/>
          <w:szCs w:val="27"/>
        </w:rPr>
        <w:t>包含省份、项目</w:t>
      </w:r>
    </w:p>
    <w:p>
      <w:pPr>
        <w:spacing w:before="1" w:line="220" w:lineRule="auto"/>
        <w:jc w:val="right"/>
        <w:rPr>
          <w:rFonts w:ascii="仿宋" w:hAnsi="仿宋" w:eastAsia="仿宋" w:cs="仿宋"/>
          <w:sz w:val="27"/>
          <w:szCs w:val="27"/>
        </w:rPr>
      </w:pPr>
      <w:r>
        <w:rPr>
          <w:rFonts w:ascii="仿宋" w:hAnsi="仿宋" w:eastAsia="仿宋" w:cs="仿宋"/>
          <w:spacing w:val="2"/>
          <w:sz w:val="27"/>
          <w:szCs w:val="27"/>
        </w:rPr>
        <w:t>编码、项目名称、项目内涵、除外内容、计价单位、参考价格等信息。</w:t>
      </w:r>
    </w:p>
    <w:p>
      <w:pPr>
        <w:spacing w:line="220" w:lineRule="auto"/>
        <w:rPr>
          <w:rFonts w:ascii="仿宋" w:hAnsi="仿宋" w:eastAsia="仿宋" w:cs="仿宋"/>
          <w:sz w:val="27"/>
          <w:szCs w:val="27"/>
        </w:rPr>
        <w:sectPr>
          <w:footerReference r:id="rId30" w:type="default"/>
          <w:pgSz w:w="12020" w:h="16830"/>
          <w:pgMar w:top="1430" w:right="1755" w:bottom="1018" w:left="1803" w:header="0" w:footer="879" w:gutter="0"/>
          <w:cols w:space="720" w:num="1"/>
        </w:sectPr>
      </w:pPr>
    </w:p>
    <w:p>
      <w:pPr>
        <w:pStyle w:val="2"/>
        <w:spacing w:line="271" w:lineRule="auto"/>
      </w:pPr>
    </w:p>
    <w:p>
      <w:pPr>
        <w:pStyle w:val="2"/>
        <w:spacing w:line="272" w:lineRule="auto"/>
      </w:pPr>
    </w:p>
    <w:p>
      <w:pPr>
        <w:spacing w:before="88" w:line="219" w:lineRule="auto"/>
        <w:ind w:left="84"/>
        <w:rPr>
          <w:rFonts w:ascii="宋体" w:hAnsi="宋体" w:eastAsia="宋体" w:cs="宋体"/>
          <w:sz w:val="27"/>
          <w:szCs w:val="27"/>
        </w:rPr>
      </w:pPr>
      <w:r>
        <w:rPr>
          <w:rFonts w:ascii="宋体" w:hAnsi="宋体" w:eastAsia="宋体" w:cs="宋体"/>
          <w:spacing w:val="7"/>
          <w:sz w:val="27"/>
          <w:szCs w:val="27"/>
        </w:rPr>
        <w:t>附件2</w:t>
      </w:r>
    </w:p>
    <w:p>
      <w:pPr>
        <w:spacing w:before="297" w:line="218" w:lineRule="auto"/>
        <w:ind w:left="3010"/>
        <w:rPr>
          <w:rFonts w:ascii="宋体" w:hAnsi="宋体" w:eastAsia="宋体" w:cs="宋体"/>
          <w:sz w:val="39"/>
          <w:szCs w:val="39"/>
        </w:rPr>
      </w:pPr>
      <w:r>
        <w:rPr>
          <w:rFonts w:ascii="宋体" w:hAnsi="宋体" w:eastAsia="宋体" w:cs="宋体"/>
          <w:b/>
          <w:bCs/>
          <w:spacing w:val="-9"/>
          <w:sz w:val="39"/>
          <w:szCs w:val="39"/>
        </w:rPr>
        <w:t>广东省医疗机构新增医疗服务价格项目价值评估指标</w:t>
      </w:r>
    </w:p>
    <w:p>
      <w:pPr>
        <w:spacing w:line="117" w:lineRule="exact"/>
      </w:pPr>
    </w:p>
    <w:tbl>
      <w:tblPr>
        <w:tblStyle w:val="5"/>
        <w:tblW w:w="147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1179"/>
        <w:gridCol w:w="1129"/>
        <w:gridCol w:w="2308"/>
        <w:gridCol w:w="9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495" w:type="dxa"/>
            <w:vAlign w:val="top"/>
          </w:tcPr>
          <w:p>
            <w:pPr>
              <w:pStyle w:val="6"/>
              <w:spacing w:before="43" w:line="208" w:lineRule="auto"/>
              <w:jc w:val="right"/>
              <w:rPr>
                <w:sz w:val="24"/>
                <w:szCs w:val="24"/>
              </w:rPr>
            </w:pPr>
            <w:r>
              <w:rPr>
                <w:b/>
                <w:bCs/>
                <w:spacing w:val="-10"/>
                <w:sz w:val="24"/>
                <w:szCs w:val="24"/>
              </w:rPr>
              <w:t>序号</w:t>
            </w:r>
          </w:p>
        </w:tc>
        <w:tc>
          <w:tcPr>
            <w:tcW w:w="1179" w:type="dxa"/>
            <w:vAlign w:val="top"/>
          </w:tcPr>
          <w:p>
            <w:pPr>
              <w:pStyle w:val="6"/>
              <w:spacing w:before="33" w:line="192" w:lineRule="auto"/>
              <w:ind w:left="43"/>
              <w:rPr>
                <w:sz w:val="27"/>
                <w:szCs w:val="27"/>
              </w:rPr>
            </w:pPr>
            <w:r>
              <w:rPr>
                <w:b/>
                <w:bCs/>
                <w:spacing w:val="-7"/>
                <w:sz w:val="27"/>
                <w:szCs w:val="27"/>
              </w:rPr>
              <w:t>一级指标</w:t>
            </w:r>
          </w:p>
        </w:tc>
        <w:tc>
          <w:tcPr>
            <w:tcW w:w="1129" w:type="dxa"/>
            <w:vAlign w:val="top"/>
          </w:tcPr>
          <w:p>
            <w:pPr>
              <w:pStyle w:val="6"/>
              <w:spacing w:before="42" w:line="209" w:lineRule="auto"/>
              <w:ind w:left="74"/>
              <w:rPr>
                <w:sz w:val="24"/>
                <w:szCs w:val="24"/>
              </w:rPr>
            </w:pPr>
            <w:r>
              <w:rPr>
                <w:b/>
                <w:bCs/>
                <w:spacing w:val="-5"/>
                <w:sz w:val="24"/>
                <w:szCs w:val="24"/>
              </w:rPr>
              <w:t>二级指标</w:t>
            </w:r>
          </w:p>
        </w:tc>
        <w:tc>
          <w:tcPr>
            <w:tcW w:w="2308" w:type="dxa"/>
            <w:vAlign w:val="top"/>
          </w:tcPr>
          <w:p>
            <w:pPr>
              <w:pStyle w:val="6"/>
              <w:spacing w:before="42" w:line="209" w:lineRule="auto"/>
              <w:ind w:left="685"/>
              <w:rPr>
                <w:sz w:val="24"/>
                <w:szCs w:val="24"/>
              </w:rPr>
            </w:pPr>
            <w:r>
              <w:rPr>
                <w:b/>
                <w:bCs/>
                <w:spacing w:val="-5"/>
                <w:sz w:val="24"/>
                <w:szCs w:val="24"/>
              </w:rPr>
              <w:t>三级指标</w:t>
            </w:r>
          </w:p>
        </w:tc>
        <w:tc>
          <w:tcPr>
            <w:tcW w:w="9668" w:type="dxa"/>
            <w:vAlign w:val="top"/>
          </w:tcPr>
          <w:p>
            <w:pPr>
              <w:pStyle w:val="6"/>
              <w:spacing w:before="41" w:line="210" w:lineRule="auto"/>
              <w:ind w:left="4367"/>
              <w:rPr>
                <w:sz w:val="24"/>
                <w:szCs w:val="24"/>
              </w:rPr>
            </w:pPr>
            <w:r>
              <w:rPr>
                <w:b/>
                <w:bCs/>
                <w:spacing w:val="-1"/>
                <w:sz w:val="24"/>
                <w:szCs w:val="24"/>
              </w:rPr>
              <w:t>指标内涵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95" w:type="dxa"/>
            <w:vAlign w:val="top"/>
          </w:tcPr>
          <w:p>
            <w:pPr>
              <w:pStyle w:val="6"/>
              <w:spacing w:before="96" w:line="178" w:lineRule="auto"/>
              <w:ind w:left="184"/>
              <w:rPr>
                <w:sz w:val="19"/>
                <w:szCs w:val="19"/>
              </w:rPr>
            </w:pPr>
            <w:r>
              <w:rPr>
                <w:sz w:val="19"/>
                <w:szCs w:val="19"/>
              </w:rPr>
              <w:t>1</w:t>
            </w:r>
          </w:p>
        </w:tc>
        <w:tc>
          <w:tcPr>
            <w:tcW w:w="1179"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8" w:lineRule="auto"/>
              <w:ind w:left="199"/>
              <w:rPr>
                <w:sz w:val="19"/>
                <w:szCs w:val="19"/>
              </w:rPr>
            </w:pPr>
            <w:r>
              <w:rPr>
                <w:spacing w:val="1"/>
                <w:sz w:val="19"/>
                <w:szCs w:val="19"/>
              </w:rPr>
              <w:t>临床价值</w:t>
            </w:r>
          </w:p>
        </w:tc>
        <w:tc>
          <w:tcPr>
            <w:tcW w:w="112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62" w:line="221" w:lineRule="auto"/>
              <w:ind w:left="270"/>
              <w:rPr>
                <w:sz w:val="19"/>
                <w:szCs w:val="19"/>
              </w:rPr>
            </w:pPr>
            <w:r>
              <w:rPr>
                <w:spacing w:val="-3"/>
                <w:sz w:val="19"/>
                <w:szCs w:val="19"/>
              </w:rPr>
              <w:t>安全性</w:t>
            </w:r>
          </w:p>
        </w:tc>
        <w:tc>
          <w:tcPr>
            <w:tcW w:w="2308" w:type="dxa"/>
            <w:vAlign w:val="top"/>
          </w:tcPr>
          <w:p>
            <w:pPr>
              <w:pStyle w:val="6"/>
              <w:spacing w:before="48" w:line="219" w:lineRule="auto"/>
              <w:ind w:left="61"/>
              <w:rPr>
                <w:sz w:val="19"/>
                <w:szCs w:val="19"/>
              </w:rPr>
            </w:pPr>
            <w:r>
              <w:rPr>
                <w:spacing w:val="-2"/>
                <w:sz w:val="19"/>
                <w:szCs w:val="19"/>
              </w:rPr>
              <w:t>不良事件发生率</w:t>
            </w:r>
          </w:p>
        </w:tc>
        <w:tc>
          <w:tcPr>
            <w:tcW w:w="9668" w:type="dxa"/>
            <w:vAlign w:val="top"/>
          </w:tcPr>
          <w:p>
            <w:pPr>
              <w:pStyle w:val="6"/>
              <w:spacing w:before="46" w:line="216" w:lineRule="auto"/>
              <w:ind w:left="73"/>
              <w:rPr>
                <w:sz w:val="19"/>
                <w:szCs w:val="19"/>
              </w:rPr>
            </w:pPr>
            <w:r>
              <w:rPr>
                <w:sz w:val="19"/>
                <w:szCs w:val="19"/>
              </w:rPr>
              <w:t>临床上的不良事件发生情况(包括并发症),与已开展同类项目相比的差异。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95" w:type="dxa"/>
            <w:vAlign w:val="top"/>
          </w:tcPr>
          <w:p>
            <w:pPr>
              <w:pStyle w:val="6"/>
              <w:spacing w:before="67" w:line="153" w:lineRule="exact"/>
              <w:ind w:left="184"/>
              <w:rPr>
                <w:sz w:val="19"/>
                <w:szCs w:val="19"/>
              </w:rPr>
            </w:pPr>
            <w:r>
              <w:rPr>
                <w:position w:val="-2"/>
                <w:sz w:val="19"/>
                <w:szCs w:val="19"/>
              </w:rPr>
              <w:t>2</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18" w:line="196" w:lineRule="auto"/>
              <w:ind w:left="61"/>
              <w:rPr>
                <w:sz w:val="19"/>
                <w:szCs w:val="19"/>
              </w:rPr>
            </w:pPr>
            <w:r>
              <w:rPr>
                <w:spacing w:val="-1"/>
                <w:sz w:val="19"/>
                <w:szCs w:val="19"/>
              </w:rPr>
              <w:t>低风险、中风险死亡率</w:t>
            </w:r>
          </w:p>
        </w:tc>
        <w:tc>
          <w:tcPr>
            <w:tcW w:w="9668" w:type="dxa"/>
            <w:vAlign w:val="top"/>
          </w:tcPr>
          <w:p>
            <w:pPr>
              <w:pStyle w:val="6"/>
              <w:spacing w:before="18" w:line="196" w:lineRule="auto"/>
              <w:ind w:left="73"/>
              <w:rPr>
                <w:sz w:val="19"/>
                <w:szCs w:val="19"/>
              </w:rPr>
            </w:pPr>
            <w:r>
              <w:rPr>
                <w:sz w:val="19"/>
                <w:szCs w:val="19"/>
              </w:rPr>
              <w:t>病情轻微、治疗方法简单、预后良好的疾病治疗的死亡情况，与已开展的同类项目相比的风</w:t>
            </w:r>
            <w:r>
              <w:rPr>
                <w:spacing w:val="-1"/>
                <w:sz w:val="19"/>
                <w:szCs w:val="19"/>
              </w:rPr>
              <w:t>险大小差异。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495" w:type="dxa"/>
            <w:vAlign w:val="top"/>
          </w:tcPr>
          <w:p>
            <w:pPr>
              <w:pStyle w:val="6"/>
              <w:spacing w:before="67" w:line="143" w:lineRule="exact"/>
              <w:ind w:left="184"/>
              <w:rPr>
                <w:sz w:val="19"/>
                <w:szCs w:val="19"/>
              </w:rPr>
            </w:pPr>
            <w:r>
              <w:rPr>
                <w:position w:val="-2"/>
                <w:sz w:val="19"/>
                <w:szCs w:val="19"/>
              </w:rPr>
              <w:t>3</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18" w:line="186" w:lineRule="auto"/>
              <w:ind w:left="61"/>
              <w:rPr>
                <w:sz w:val="19"/>
                <w:szCs w:val="19"/>
              </w:rPr>
            </w:pPr>
            <w:r>
              <w:rPr>
                <w:spacing w:val="1"/>
                <w:sz w:val="19"/>
                <w:szCs w:val="19"/>
              </w:rPr>
              <w:t>是否无创、微创操作</w:t>
            </w:r>
          </w:p>
        </w:tc>
        <w:tc>
          <w:tcPr>
            <w:tcW w:w="9668" w:type="dxa"/>
            <w:vAlign w:val="top"/>
          </w:tcPr>
          <w:p>
            <w:pPr>
              <w:pStyle w:val="6"/>
              <w:spacing w:before="18" w:line="186" w:lineRule="auto"/>
              <w:ind w:left="73"/>
              <w:rPr>
                <w:sz w:val="19"/>
                <w:szCs w:val="19"/>
              </w:rPr>
            </w:pPr>
            <w:r>
              <w:rPr>
                <w:spacing w:val="-1"/>
                <w:sz w:val="19"/>
                <w:szCs w:val="19"/>
              </w:rPr>
              <w:t>是否属于无创操作或微创操作。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95" w:type="dxa"/>
            <w:vAlign w:val="top"/>
          </w:tcPr>
          <w:p>
            <w:pPr>
              <w:pStyle w:val="6"/>
              <w:spacing w:before="67" w:line="153" w:lineRule="exact"/>
              <w:ind w:left="184"/>
              <w:rPr>
                <w:sz w:val="19"/>
                <w:szCs w:val="19"/>
              </w:rPr>
            </w:pPr>
            <w:r>
              <w:rPr>
                <w:position w:val="-2"/>
                <w:sz w:val="19"/>
                <w:szCs w:val="19"/>
              </w:rPr>
              <w:t>4</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19" w:line="195" w:lineRule="auto"/>
              <w:ind w:left="61"/>
              <w:rPr>
                <w:sz w:val="19"/>
                <w:szCs w:val="19"/>
              </w:rPr>
            </w:pPr>
            <w:r>
              <w:rPr>
                <w:spacing w:val="1"/>
                <w:sz w:val="19"/>
                <w:szCs w:val="19"/>
              </w:rPr>
              <w:t>医护人员安全性</w:t>
            </w:r>
          </w:p>
        </w:tc>
        <w:tc>
          <w:tcPr>
            <w:tcW w:w="9668" w:type="dxa"/>
            <w:vAlign w:val="top"/>
          </w:tcPr>
          <w:p>
            <w:pPr>
              <w:pStyle w:val="6"/>
              <w:spacing w:before="18" w:line="196" w:lineRule="auto"/>
              <w:ind w:left="73"/>
              <w:rPr>
                <w:sz w:val="19"/>
                <w:szCs w:val="19"/>
              </w:rPr>
            </w:pPr>
            <w:r>
              <w:rPr>
                <w:sz w:val="19"/>
                <w:szCs w:val="19"/>
              </w:rPr>
              <w:t>项目操作过程中是否为医护人员提供更多的安全保障(如辐射、毒</w:t>
            </w:r>
            <w:r>
              <w:rPr>
                <w:spacing w:val="-1"/>
                <w:sz w:val="19"/>
                <w:szCs w:val="19"/>
              </w:rPr>
              <w:t>性减少等)。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95" w:type="dxa"/>
            <w:vAlign w:val="top"/>
          </w:tcPr>
          <w:p>
            <w:pPr>
              <w:pStyle w:val="6"/>
              <w:spacing w:before="69" w:line="151" w:lineRule="exact"/>
              <w:ind w:left="184"/>
              <w:rPr>
                <w:sz w:val="19"/>
                <w:szCs w:val="19"/>
              </w:rPr>
            </w:pPr>
            <w:r>
              <w:rPr>
                <w:position w:val="-2"/>
                <w:sz w:val="19"/>
                <w:szCs w:val="19"/>
              </w:rPr>
              <w:t>5</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18" w:line="196" w:lineRule="auto"/>
              <w:ind w:left="61"/>
              <w:rPr>
                <w:sz w:val="19"/>
                <w:szCs w:val="19"/>
              </w:rPr>
            </w:pPr>
            <w:r>
              <w:rPr>
                <w:spacing w:val="-2"/>
                <w:sz w:val="19"/>
                <w:szCs w:val="19"/>
              </w:rPr>
              <w:t>项目操作失误率</w:t>
            </w:r>
          </w:p>
        </w:tc>
        <w:tc>
          <w:tcPr>
            <w:tcW w:w="9668" w:type="dxa"/>
            <w:vAlign w:val="top"/>
          </w:tcPr>
          <w:p>
            <w:pPr>
              <w:pStyle w:val="6"/>
              <w:spacing w:before="18" w:line="196" w:lineRule="auto"/>
              <w:ind w:left="73"/>
              <w:rPr>
                <w:sz w:val="19"/>
                <w:szCs w:val="19"/>
              </w:rPr>
            </w:pPr>
            <w:r>
              <w:rPr>
                <w:spacing w:val="-1"/>
                <w:sz w:val="19"/>
                <w:szCs w:val="19"/>
              </w:rPr>
              <w:t>失误率=(失误次数/总次数)*100%。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495" w:type="dxa"/>
            <w:vAlign w:val="top"/>
          </w:tcPr>
          <w:p>
            <w:pPr>
              <w:pStyle w:val="6"/>
              <w:spacing w:before="67" w:line="143" w:lineRule="exact"/>
              <w:ind w:left="184"/>
              <w:rPr>
                <w:sz w:val="19"/>
                <w:szCs w:val="19"/>
              </w:rPr>
            </w:pPr>
            <w:r>
              <w:rPr>
                <w:position w:val="-2"/>
                <w:sz w:val="19"/>
                <w:szCs w:val="19"/>
              </w:rPr>
              <w:t>6</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18" w:line="186" w:lineRule="auto"/>
              <w:ind w:left="61"/>
              <w:rPr>
                <w:sz w:val="19"/>
                <w:szCs w:val="19"/>
              </w:rPr>
            </w:pPr>
            <w:r>
              <w:rPr>
                <w:spacing w:val="-2"/>
                <w:sz w:val="19"/>
                <w:szCs w:val="19"/>
              </w:rPr>
              <w:t>感染率</w:t>
            </w:r>
          </w:p>
        </w:tc>
        <w:tc>
          <w:tcPr>
            <w:tcW w:w="9668" w:type="dxa"/>
            <w:vAlign w:val="top"/>
          </w:tcPr>
          <w:p>
            <w:pPr>
              <w:pStyle w:val="6"/>
              <w:spacing w:before="18" w:line="186" w:lineRule="auto"/>
              <w:ind w:left="73"/>
              <w:rPr>
                <w:sz w:val="19"/>
                <w:szCs w:val="19"/>
              </w:rPr>
            </w:pPr>
            <w:r>
              <w:rPr>
                <w:sz w:val="19"/>
                <w:szCs w:val="19"/>
              </w:rPr>
              <w:t>项目实施过程中患者被感染的情况，与开展的同类项目相比，感</w:t>
            </w:r>
            <w:r>
              <w:rPr>
                <w:spacing w:val="-1"/>
                <w:sz w:val="19"/>
                <w:szCs w:val="19"/>
              </w:rPr>
              <w:t>染率的差异。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95" w:type="dxa"/>
            <w:vAlign w:val="top"/>
          </w:tcPr>
          <w:p>
            <w:pPr>
              <w:pStyle w:val="6"/>
              <w:spacing w:before="138" w:line="182" w:lineRule="auto"/>
              <w:ind w:left="184"/>
              <w:rPr>
                <w:sz w:val="19"/>
                <w:szCs w:val="19"/>
              </w:rPr>
            </w:pPr>
            <w:r>
              <w:rPr>
                <w:sz w:val="19"/>
                <w:szCs w:val="19"/>
              </w:rPr>
              <w:t>7</w:t>
            </w:r>
          </w:p>
        </w:tc>
        <w:tc>
          <w:tcPr>
            <w:tcW w:w="1179" w:type="dxa"/>
            <w:vMerge w:val="continue"/>
            <w:tcBorders>
              <w:top w:val="nil"/>
              <w:bottom w:val="nil"/>
            </w:tcBorders>
            <w:vAlign w:val="top"/>
          </w:tcPr>
          <w:p>
            <w:pPr>
              <w:rPr>
                <w:rFonts w:ascii="Arial"/>
                <w:sz w:val="21"/>
              </w:rPr>
            </w:pPr>
          </w:p>
        </w:tc>
        <w:tc>
          <w:tcPr>
            <w:tcW w:w="1129" w:type="dxa"/>
            <w:vMerge w:val="continue"/>
            <w:tcBorders>
              <w:top w:val="nil"/>
            </w:tcBorders>
            <w:vAlign w:val="top"/>
          </w:tcPr>
          <w:p>
            <w:pPr>
              <w:rPr>
                <w:rFonts w:ascii="Arial"/>
                <w:sz w:val="21"/>
              </w:rPr>
            </w:pPr>
          </w:p>
        </w:tc>
        <w:tc>
          <w:tcPr>
            <w:tcW w:w="2308" w:type="dxa"/>
            <w:vAlign w:val="top"/>
          </w:tcPr>
          <w:p>
            <w:pPr>
              <w:pStyle w:val="6"/>
              <w:spacing w:before="89" w:line="220" w:lineRule="auto"/>
              <w:ind w:left="61"/>
              <w:rPr>
                <w:sz w:val="19"/>
                <w:szCs w:val="19"/>
              </w:rPr>
            </w:pPr>
            <w:r>
              <w:rPr>
                <w:spacing w:val="1"/>
                <w:sz w:val="19"/>
                <w:szCs w:val="19"/>
              </w:rPr>
              <w:t>项目的规范程度</w:t>
            </w:r>
          </w:p>
        </w:tc>
        <w:tc>
          <w:tcPr>
            <w:tcW w:w="9668" w:type="dxa"/>
            <w:vAlign w:val="top"/>
          </w:tcPr>
          <w:p>
            <w:pPr>
              <w:pStyle w:val="6"/>
              <w:spacing w:before="87" w:line="219" w:lineRule="auto"/>
              <w:ind w:left="73"/>
              <w:rPr>
                <w:sz w:val="19"/>
                <w:szCs w:val="19"/>
              </w:rPr>
            </w:pPr>
            <w:r>
              <w:rPr>
                <w:sz w:val="19"/>
                <w:szCs w:val="19"/>
              </w:rPr>
              <w:t>项目准入制度、指南与规范、质控标准、应急预案是否科学合理，项目是否列入诊疗技术规范/指南</w:t>
            </w:r>
            <w:r>
              <w:rPr>
                <w:spacing w:val="-1"/>
                <w:sz w:val="19"/>
                <w:szCs w:val="19"/>
              </w:rPr>
              <w:t>/专家共识。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95" w:type="dxa"/>
            <w:vAlign w:val="top"/>
          </w:tcPr>
          <w:p>
            <w:pPr>
              <w:pStyle w:val="6"/>
              <w:spacing w:before="218" w:line="183" w:lineRule="auto"/>
              <w:ind w:left="184"/>
              <w:rPr>
                <w:sz w:val="19"/>
                <w:szCs w:val="19"/>
              </w:rPr>
            </w:pPr>
            <w:r>
              <w:rPr>
                <w:sz w:val="19"/>
                <w:szCs w:val="19"/>
              </w:rPr>
              <w:t>8</w:t>
            </w:r>
          </w:p>
        </w:tc>
        <w:tc>
          <w:tcPr>
            <w:tcW w:w="1179" w:type="dxa"/>
            <w:vMerge w:val="continue"/>
            <w:tcBorders>
              <w:top w:val="nil"/>
              <w:bottom w:val="nil"/>
            </w:tcBorders>
            <w:vAlign w:val="top"/>
          </w:tcPr>
          <w:p>
            <w:pPr>
              <w:rPr>
                <w:rFonts w:ascii="Arial"/>
                <w:sz w:val="21"/>
              </w:rPr>
            </w:pPr>
          </w:p>
        </w:tc>
        <w:tc>
          <w:tcPr>
            <w:tcW w:w="1129" w:type="dxa"/>
            <w:vMerge w:val="restart"/>
            <w:tcBorders>
              <w:bottom w:val="nil"/>
            </w:tcBorders>
            <w:vAlign w:val="top"/>
          </w:tcPr>
          <w:p>
            <w:pPr>
              <w:spacing w:line="247" w:lineRule="auto"/>
              <w:rPr>
                <w:rFonts w:ascii="Arial"/>
                <w:sz w:val="21"/>
              </w:rPr>
            </w:pPr>
          </w:p>
          <w:p>
            <w:pPr>
              <w:spacing w:line="248" w:lineRule="auto"/>
              <w:rPr>
                <w:rFonts w:ascii="Arial"/>
                <w:sz w:val="21"/>
              </w:rPr>
            </w:pPr>
          </w:p>
          <w:p>
            <w:pPr>
              <w:pStyle w:val="6"/>
              <w:spacing w:before="62" w:line="220" w:lineRule="auto"/>
              <w:ind w:left="270"/>
              <w:rPr>
                <w:sz w:val="19"/>
                <w:szCs w:val="19"/>
              </w:rPr>
            </w:pPr>
            <w:r>
              <w:rPr>
                <w:spacing w:val="-2"/>
                <w:sz w:val="19"/>
                <w:szCs w:val="19"/>
              </w:rPr>
              <w:t>有效性</w:t>
            </w:r>
          </w:p>
        </w:tc>
        <w:tc>
          <w:tcPr>
            <w:tcW w:w="2308" w:type="dxa"/>
            <w:vAlign w:val="top"/>
          </w:tcPr>
          <w:p>
            <w:pPr>
              <w:pStyle w:val="6"/>
              <w:spacing w:before="170" w:line="220" w:lineRule="auto"/>
              <w:ind w:left="61"/>
              <w:rPr>
                <w:sz w:val="19"/>
                <w:szCs w:val="19"/>
              </w:rPr>
            </w:pPr>
            <w:r>
              <w:rPr>
                <w:spacing w:val="1"/>
                <w:sz w:val="19"/>
                <w:szCs w:val="19"/>
              </w:rPr>
              <w:t>项目应用效果</w:t>
            </w:r>
          </w:p>
        </w:tc>
        <w:tc>
          <w:tcPr>
            <w:tcW w:w="9668" w:type="dxa"/>
            <w:vAlign w:val="top"/>
          </w:tcPr>
          <w:p>
            <w:pPr>
              <w:pStyle w:val="6"/>
              <w:spacing w:before="78" w:line="214" w:lineRule="auto"/>
              <w:ind w:left="73" w:right="281"/>
              <w:rPr>
                <w:sz w:val="19"/>
                <w:szCs w:val="19"/>
              </w:rPr>
            </w:pPr>
            <w:r>
              <w:rPr>
                <w:sz w:val="19"/>
                <w:szCs w:val="19"/>
              </w:rPr>
              <w:t>根据项目选择相应指标，如诊断类项目选择灵敏度、特异度、假阳率等；治疗类项目选择症</w:t>
            </w:r>
            <w:r>
              <w:rPr>
                <w:spacing w:val="-1"/>
                <w:sz w:val="19"/>
                <w:szCs w:val="19"/>
              </w:rPr>
              <w:t>候改善度、疾病治愈</w:t>
            </w:r>
            <w:r>
              <w:rPr>
                <w:sz w:val="19"/>
                <w:szCs w:val="19"/>
              </w:rPr>
              <w:t xml:space="preserve"> </w:t>
            </w:r>
            <w:r>
              <w:rPr>
                <w:spacing w:val="-1"/>
                <w:sz w:val="19"/>
                <w:szCs w:val="19"/>
              </w:rPr>
              <w:t>率、疾病复发率、手术出血率等。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495" w:type="dxa"/>
            <w:vAlign w:val="top"/>
          </w:tcPr>
          <w:p>
            <w:pPr>
              <w:pStyle w:val="6"/>
              <w:spacing w:before="129" w:line="183" w:lineRule="auto"/>
              <w:ind w:left="184"/>
              <w:rPr>
                <w:sz w:val="19"/>
                <w:szCs w:val="19"/>
              </w:rPr>
            </w:pPr>
            <w:r>
              <w:rPr>
                <w:sz w:val="19"/>
                <w:szCs w:val="19"/>
              </w:rPr>
              <w:t>9</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80" w:line="219" w:lineRule="auto"/>
              <w:ind w:left="61"/>
              <w:rPr>
                <w:sz w:val="19"/>
                <w:szCs w:val="19"/>
              </w:rPr>
            </w:pPr>
            <w:r>
              <w:rPr>
                <w:spacing w:val="1"/>
                <w:sz w:val="19"/>
                <w:szCs w:val="19"/>
              </w:rPr>
              <w:t>同类项目疗效差异</w:t>
            </w:r>
          </w:p>
        </w:tc>
        <w:tc>
          <w:tcPr>
            <w:tcW w:w="9668" w:type="dxa"/>
            <w:vAlign w:val="top"/>
          </w:tcPr>
          <w:p>
            <w:pPr>
              <w:pStyle w:val="6"/>
              <w:spacing w:before="80" w:line="219" w:lineRule="auto"/>
              <w:ind w:left="73"/>
              <w:rPr>
                <w:sz w:val="19"/>
                <w:szCs w:val="19"/>
              </w:rPr>
            </w:pPr>
            <w:r>
              <w:rPr>
                <w:spacing w:val="-1"/>
                <w:sz w:val="19"/>
                <w:szCs w:val="19"/>
              </w:rPr>
              <w:t>与已开展的同类项目相比的疗效差异。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495" w:type="dxa"/>
            <w:vAlign w:val="top"/>
          </w:tcPr>
          <w:p>
            <w:pPr>
              <w:pStyle w:val="6"/>
              <w:spacing w:before="159" w:line="184" w:lineRule="auto"/>
              <w:ind w:left="144"/>
              <w:rPr>
                <w:sz w:val="19"/>
                <w:szCs w:val="19"/>
              </w:rPr>
            </w:pPr>
            <w:r>
              <w:rPr>
                <w:spacing w:val="-6"/>
                <w:sz w:val="19"/>
                <w:szCs w:val="19"/>
              </w:rPr>
              <w:t>10</w:t>
            </w:r>
          </w:p>
        </w:tc>
        <w:tc>
          <w:tcPr>
            <w:tcW w:w="1179" w:type="dxa"/>
            <w:vMerge w:val="continue"/>
            <w:tcBorders>
              <w:top w:val="nil"/>
            </w:tcBorders>
            <w:vAlign w:val="top"/>
          </w:tcPr>
          <w:p>
            <w:pPr>
              <w:rPr>
                <w:rFonts w:ascii="Arial"/>
                <w:sz w:val="21"/>
              </w:rPr>
            </w:pPr>
          </w:p>
        </w:tc>
        <w:tc>
          <w:tcPr>
            <w:tcW w:w="1129" w:type="dxa"/>
            <w:vMerge w:val="continue"/>
            <w:tcBorders>
              <w:top w:val="nil"/>
            </w:tcBorders>
            <w:vAlign w:val="top"/>
          </w:tcPr>
          <w:p>
            <w:pPr>
              <w:rPr>
                <w:rFonts w:ascii="Arial"/>
                <w:sz w:val="21"/>
              </w:rPr>
            </w:pPr>
          </w:p>
        </w:tc>
        <w:tc>
          <w:tcPr>
            <w:tcW w:w="2308" w:type="dxa"/>
            <w:vAlign w:val="top"/>
          </w:tcPr>
          <w:p>
            <w:pPr>
              <w:pStyle w:val="6"/>
              <w:spacing w:before="112" w:line="220" w:lineRule="auto"/>
              <w:ind w:left="61"/>
              <w:rPr>
                <w:sz w:val="19"/>
                <w:szCs w:val="19"/>
              </w:rPr>
            </w:pPr>
            <w:r>
              <w:rPr>
                <w:spacing w:val="1"/>
                <w:sz w:val="19"/>
                <w:szCs w:val="19"/>
              </w:rPr>
              <w:t>医护人员可接受程度</w:t>
            </w:r>
          </w:p>
        </w:tc>
        <w:tc>
          <w:tcPr>
            <w:tcW w:w="9668" w:type="dxa"/>
            <w:vAlign w:val="top"/>
          </w:tcPr>
          <w:p>
            <w:pPr>
              <w:pStyle w:val="6"/>
              <w:spacing w:before="111" w:line="219" w:lineRule="auto"/>
              <w:ind w:left="73"/>
              <w:rPr>
                <w:sz w:val="19"/>
                <w:szCs w:val="19"/>
              </w:rPr>
            </w:pPr>
            <w:r>
              <w:rPr>
                <w:spacing w:val="-1"/>
                <w:sz w:val="19"/>
                <w:szCs w:val="19"/>
              </w:rPr>
              <w:t>医护人员对项目是否认可并愿意使用。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495" w:type="dxa"/>
            <w:vAlign w:val="top"/>
          </w:tcPr>
          <w:p>
            <w:pPr>
              <w:pStyle w:val="6"/>
              <w:spacing w:before="250" w:line="184" w:lineRule="auto"/>
              <w:ind w:left="144"/>
              <w:rPr>
                <w:sz w:val="19"/>
                <w:szCs w:val="19"/>
              </w:rPr>
            </w:pPr>
            <w:r>
              <w:rPr>
                <w:spacing w:val="-6"/>
                <w:sz w:val="19"/>
                <w:szCs w:val="19"/>
              </w:rPr>
              <w:t>11</w:t>
            </w:r>
          </w:p>
        </w:tc>
        <w:tc>
          <w:tcPr>
            <w:tcW w:w="1179" w:type="dxa"/>
            <w:vMerge w:val="restart"/>
            <w:tcBorders>
              <w:bottom w:val="nil"/>
            </w:tcBorders>
            <w:vAlign w:val="top"/>
          </w:tcPr>
          <w:p>
            <w:pPr>
              <w:spacing w:line="327" w:lineRule="auto"/>
              <w:rPr>
                <w:rFonts w:ascii="Arial"/>
                <w:sz w:val="21"/>
              </w:rPr>
            </w:pPr>
          </w:p>
          <w:p>
            <w:pPr>
              <w:spacing w:line="328" w:lineRule="auto"/>
              <w:rPr>
                <w:rFonts w:ascii="Arial"/>
                <w:sz w:val="21"/>
              </w:rPr>
            </w:pPr>
          </w:p>
          <w:p>
            <w:pPr>
              <w:pStyle w:val="6"/>
              <w:spacing w:before="62" w:line="218" w:lineRule="auto"/>
              <w:ind w:left="199"/>
              <w:rPr>
                <w:sz w:val="19"/>
                <w:szCs w:val="19"/>
              </w:rPr>
            </w:pPr>
            <w:r>
              <w:rPr>
                <w:spacing w:val="-2"/>
                <w:sz w:val="19"/>
                <w:szCs w:val="19"/>
              </w:rPr>
              <w:t>社会价值</w:t>
            </w:r>
          </w:p>
        </w:tc>
        <w:tc>
          <w:tcPr>
            <w:tcW w:w="1129" w:type="dxa"/>
            <w:vMerge w:val="restart"/>
            <w:tcBorders>
              <w:bottom w:val="nil"/>
            </w:tcBorders>
            <w:vAlign w:val="top"/>
          </w:tcPr>
          <w:p>
            <w:pPr>
              <w:spacing w:line="328" w:lineRule="auto"/>
              <w:rPr>
                <w:rFonts w:ascii="Arial"/>
                <w:sz w:val="21"/>
              </w:rPr>
            </w:pPr>
          </w:p>
          <w:p>
            <w:pPr>
              <w:spacing w:line="329" w:lineRule="auto"/>
              <w:rPr>
                <w:rFonts w:ascii="Arial"/>
                <w:sz w:val="21"/>
              </w:rPr>
            </w:pPr>
          </w:p>
          <w:p>
            <w:pPr>
              <w:pStyle w:val="6"/>
              <w:spacing w:before="62" w:line="220" w:lineRule="auto"/>
              <w:ind w:left="270"/>
              <w:rPr>
                <w:sz w:val="19"/>
                <w:szCs w:val="19"/>
              </w:rPr>
            </w:pPr>
            <w:r>
              <w:rPr>
                <w:spacing w:val="-3"/>
                <w:sz w:val="19"/>
                <w:szCs w:val="19"/>
              </w:rPr>
              <w:t>效益性</w:t>
            </w:r>
          </w:p>
        </w:tc>
        <w:tc>
          <w:tcPr>
            <w:tcW w:w="2308" w:type="dxa"/>
            <w:vAlign w:val="top"/>
          </w:tcPr>
          <w:p>
            <w:pPr>
              <w:pStyle w:val="6"/>
              <w:spacing w:before="203" w:line="220" w:lineRule="auto"/>
              <w:ind w:left="61"/>
              <w:rPr>
                <w:sz w:val="19"/>
                <w:szCs w:val="19"/>
              </w:rPr>
            </w:pPr>
            <w:r>
              <w:rPr>
                <w:spacing w:val="2"/>
                <w:sz w:val="19"/>
                <w:szCs w:val="19"/>
              </w:rPr>
              <w:t>资源效益</w:t>
            </w:r>
          </w:p>
        </w:tc>
        <w:tc>
          <w:tcPr>
            <w:tcW w:w="9668" w:type="dxa"/>
            <w:vAlign w:val="top"/>
          </w:tcPr>
          <w:p>
            <w:pPr>
              <w:pStyle w:val="6"/>
              <w:spacing w:before="122" w:line="222" w:lineRule="auto"/>
              <w:ind w:left="72" w:right="313" w:hanging="29"/>
              <w:rPr>
                <w:sz w:val="19"/>
                <w:szCs w:val="19"/>
              </w:rPr>
            </w:pPr>
            <w:r>
              <w:rPr>
                <w:sz w:val="19"/>
                <w:szCs w:val="19"/>
              </w:rPr>
              <w:t>理论、技术是否有提升，如是否为国内首创、国外引入、对比现有的改良创新、改变现</w:t>
            </w:r>
            <w:r>
              <w:rPr>
                <w:spacing w:val="-1"/>
                <w:sz w:val="19"/>
                <w:szCs w:val="19"/>
              </w:rPr>
              <w:t>有治疗路径，以及是否促</w:t>
            </w:r>
            <w:r>
              <w:rPr>
                <w:sz w:val="19"/>
                <w:szCs w:val="19"/>
              </w:rPr>
              <w:t xml:space="preserve"> </w:t>
            </w:r>
            <w:r>
              <w:rPr>
                <w:spacing w:val="-1"/>
                <w:sz w:val="19"/>
                <w:szCs w:val="19"/>
              </w:rPr>
              <w:t>进资源的有效利用。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95" w:type="dxa"/>
            <w:vAlign w:val="top"/>
          </w:tcPr>
          <w:p>
            <w:pPr>
              <w:pStyle w:val="6"/>
              <w:spacing w:before="111" w:line="182" w:lineRule="auto"/>
              <w:ind w:left="144"/>
              <w:rPr>
                <w:sz w:val="19"/>
                <w:szCs w:val="19"/>
              </w:rPr>
            </w:pPr>
            <w:r>
              <w:rPr>
                <w:spacing w:val="-6"/>
                <w:sz w:val="19"/>
                <w:szCs w:val="19"/>
              </w:rPr>
              <w:t>12</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63" w:line="219" w:lineRule="auto"/>
              <w:ind w:left="61"/>
              <w:rPr>
                <w:sz w:val="19"/>
                <w:szCs w:val="19"/>
              </w:rPr>
            </w:pPr>
            <w:r>
              <w:rPr>
                <w:spacing w:val="-2"/>
                <w:sz w:val="19"/>
                <w:szCs w:val="19"/>
              </w:rPr>
              <w:t>服务效益</w:t>
            </w:r>
          </w:p>
        </w:tc>
        <w:tc>
          <w:tcPr>
            <w:tcW w:w="9668" w:type="dxa"/>
            <w:vAlign w:val="top"/>
          </w:tcPr>
          <w:p>
            <w:pPr>
              <w:pStyle w:val="6"/>
              <w:spacing w:before="62" w:line="218" w:lineRule="auto"/>
              <w:ind w:left="73"/>
              <w:rPr>
                <w:sz w:val="19"/>
                <w:szCs w:val="19"/>
              </w:rPr>
            </w:pPr>
            <w:r>
              <w:rPr>
                <w:spacing w:val="-1"/>
                <w:sz w:val="19"/>
                <w:szCs w:val="19"/>
              </w:rPr>
              <w:t>患者对医疗服务项目的感受和评价。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95" w:type="dxa"/>
            <w:vAlign w:val="top"/>
          </w:tcPr>
          <w:p>
            <w:pPr>
              <w:pStyle w:val="6"/>
              <w:spacing w:before="152" w:line="184" w:lineRule="auto"/>
              <w:ind w:left="144"/>
              <w:rPr>
                <w:sz w:val="19"/>
                <w:szCs w:val="19"/>
              </w:rPr>
            </w:pPr>
            <w:r>
              <w:rPr>
                <w:spacing w:val="-6"/>
                <w:sz w:val="19"/>
                <w:szCs w:val="19"/>
              </w:rPr>
              <w:t>13</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105" w:line="220" w:lineRule="auto"/>
              <w:ind w:left="61"/>
              <w:rPr>
                <w:sz w:val="19"/>
                <w:szCs w:val="19"/>
              </w:rPr>
            </w:pPr>
            <w:r>
              <w:rPr>
                <w:spacing w:val="-2"/>
                <w:sz w:val="19"/>
                <w:szCs w:val="19"/>
              </w:rPr>
              <w:t>推广效益</w:t>
            </w:r>
          </w:p>
        </w:tc>
        <w:tc>
          <w:tcPr>
            <w:tcW w:w="9668" w:type="dxa"/>
            <w:vAlign w:val="top"/>
          </w:tcPr>
          <w:p>
            <w:pPr>
              <w:pStyle w:val="6"/>
              <w:spacing w:before="103" w:line="219" w:lineRule="auto"/>
              <w:ind w:left="73"/>
              <w:rPr>
                <w:sz w:val="19"/>
                <w:szCs w:val="19"/>
              </w:rPr>
            </w:pPr>
            <w:r>
              <w:rPr>
                <w:sz w:val="19"/>
                <w:szCs w:val="19"/>
              </w:rPr>
              <w:t>使复杂手术简化、更利于新手术开展或可用于木适应症以外的其</w:t>
            </w:r>
            <w:r>
              <w:rPr>
                <w:spacing w:val="-1"/>
                <w:sz w:val="19"/>
                <w:szCs w:val="19"/>
              </w:rPr>
              <w:t>他适应症等。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95" w:type="dxa"/>
            <w:vAlign w:val="top"/>
          </w:tcPr>
          <w:p>
            <w:pPr>
              <w:pStyle w:val="6"/>
              <w:spacing w:before="113" w:line="180" w:lineRule="auto"/>
              <w:ind w:left="144"/>
              <w:rPr>
                <w:sz w:val="19"/>
                <w:szCs w:val="19"/>
              </w:rPr>
            </w:pPr>
            <w:r>
              <w:rPr>
                <w:spacing w:val="-6"/>
                <w:sz w:val="19"/>
                <w:szCs w:val="19"/>
              </w:rPr>
              <w:t>14</w:t>
            </w:r>
          </w:p>
        </w:tc>
        <w:tc>
          <w:tcPr>
            <w:tcW w:w="1179" w:type="dxa"/>
            <w:vMerge w:val="continue"/>
            <w:tcBorders>
              <w:top w:val="nil"/>
            </w:tcBorders>
            <w:vAlign w:val="top"/>
          </w:tcPr>
          <w:p>
            <w:pPr>
              <w:rPr>
                <w:rFonts w:ascii="Arial"/>
                <w:sz w:val="21"/>
              </w:rPr>
            </w:pPr>
          </w:p>
        </w:tc>
        <w:tc>
          <w:tcPr>
            <w:tcW w:w="1129" w:type="dxa"/>
            <w:vMerge w:val="continue"/>
            <w:tcBorders>
              <w:top w:val="nil"/>
            </w:tcBorders>
            <w:vAlign w:val="top"/>
          </w:tcPr>
          <w:p>
            <w:pPr>
              <w:rPr>
                <w:rFonts w:ascii="Arial"/>
                <w:sz w:val="21"/>
              </w:rPr>
            </w:pPr>
          </w:p>
        </w:tc>
        <w:tc>
          <w:tcPr>
            <w:tcW w:w="2308" w:type="dxa"/>
            <w:vAlign w:val="top"/>
          </w:tcPr>
          <w:p>
            <w:pPr>
              <w:pStyle w:val="6"/>
              <w:spacing w:before="65" w:line="219" w:lineRule="auto"/>
              <w:ind w:left="61"/>
              <w:rPr>
                <w:sz w:val="19"/>
                <w:szCs w:val="19"/>
              </w:rPr>
            </w:pPr>
            <w:r>
              <w:rPr>
                <w:spacing w:val="-2"/>
                <w:sz w:val="19"/>
                <w:szCs w:val="19"/>
              </w:rPr>
              <w:t>不可替代性</w:t>
            </w:r>
          </w:p>
        </w:tc>
        <w:tc>
          <w:tcPr>
            <w:tcW w:w="9668" w:type="dxa"/>
            <w:vAlign w:val="top"/>
          </w:tcPr>
          <w:p>
            <w:pPr>
              <w:pStyle w:val="6"/>
              <w:spacing w:before="65" w:line="219" w:lineRule="auto"/>
              <w:ind w:left="73"/>
              <w:rPr>
                <w:sz w:val="19"/>
                <w:szCs w:val="19"/>
              </w:rPr>
            </w:pPr>
            <w:r>
              <w:rPr>
                <w:spacing w:val="-1"/>
                <w:sz w:val="19"/>
                <w:szCs w:val="19"/>
              </w:rPr>
              <w:t>项目在临床上是否无可替代。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95" w:type="dxa"/>
            <w:vAlign w:val="top"/>
          </w:tcPr>
          <w:p>
            <w:pPr>
              <w:pStyle w:val="6"/>
              <w:spacing w:before="194" w:line="184" w:lineRule="auto"/>
              <w:ind w:left="144"/>
              <w:rPr>
                <w:sz w:val="19"/>
                <w:szCs w:val="19"/>
              </w:rPr>
            </w:pPr>
            <w:r>
              <w:rPr>
                <w:spacing w:val="-6"/>
                <w:sz w:val="19"/>
                <w:szCs w:val="19"/>
              </w:rPr>
              <w:t>15</w:t>
            </w:r>
          </w:p>
        </w:tc>
        <w:tc>
          <w:tcPr>
            <w:tcW w:w="1179"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8" w:lineRule="auto"/>
              <w:ind w:left="199"/>
              <w:rPr>
                <w:sz w:val="19"/>
                <w:szCs w:val="19"/>
              </w:rPr>
            </w:pPr>
            <w:r>
              <w:rPr>
                <w:spacing w:val="-2"/>
                <w:sz w:val="19"/>
                <w:szCs w:val="19"/>
              </w:rPr>
              <w:t>经济价值</w:t>
            </w:r>
          </w:p>
        </w:tc>
        <w:tc>
          <w:tcPr>
            <w:tcW w:w="1129"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1" w:line="220" w:lineRule="auto"/>
              <w:ind w:left="270"/>
              <w:rPr>
                <w:sz w:val="19"/>
                <w:szCs w:val="19"/>
              </w:rPr>
            </w:pPr>
            <w:r>
              <w:rPr>
                <w:spacing w:val="-2"/>
                <w:sz w:val="19"/>
                <w:szCs w:val="19"/>
              </w:rPr>
              <w:t>经济性</w:t>
            </w:r>
          </w:p>
        </w:tc>
        <w:tc>
          <w:tcPr>
            <w:tcW w:w="2308" w:type="dxa"/>
            <w:vAlign w:val="top"/>
          </w:tcPr>
          <w:p>
            <w:pPr>
              <w:pStyle w:val="6"/>
              <w:spacing w:before="145" w:line="218" w:lineRule="auto"/>
              <w:ind w:left="61"/>
              <w:rPr>
                <w:sz w:val="19"/>
                <w:szCs w:val="19"/>
              </w:rPr>
            </w:pPr>
            <w:r>
              <w:rPr>
                <w:spacing w:val="-2"/>
                <w:sz w:val="19"/>
                <w:szCs w:val="19"/>
              </w:rPr>
              <w:t>项目价格水平</w:t>
            </w:r>
          </w:p>
        </w:tc>
        <w:tc>
          <w:tcPr>
            <w:tcW w:w="9668" w:type="dxa"/>
            <w:vAlign w:val="top"/>
          </w:tcPr>
          <w:p>
            <w:pPr>
              <w:pStyle w:val="6"/>
              <w:spacing w:before="55" w:line="191" w:lineRule="auto"/>
              <w:ind w:left="72" w:right="288" w:hanging="29"/>
              <w:rPr>
                <w:sz w:val="19"/>
                <w:szCs w:val="19"/>
              </w:rPr>
            </w:pPr>
            <w:r>
              <w:rPr>
                <w:sz w:val="19"/>
                <w:szCs w:val="19"/>
              </w:rPr>
              <w:t>主要包括人力、设备、耗材成本，操作时长，例均医用耗材成本等的比较，以及与国内外其他地区已开展该新增</w:t>
            </w:r>
            <w:r>
              <w:rPr>
                <w:spacing w:val="15"/>
                <w:sz w:val="19"/>
                <w:szCs w:val="19"/>
              </w:rPr>
              <w:t xml:space="preserve"> </w:t>
            </w:r>
            <w:r>
              <w:rPr>
                <w:spacing w:val="-1"/>
                <w:sz w:val="19"/>
                <w:szCs w:val="19"/>
              </w:rPr>
              <w:t>项目相比的价格差异。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95" w:type="dxa"/>
            <w:vAlign w:val="top"/>
          </w:tcPr>
          <w:p>
            <w:pPr>
              <w:pStyle w:val="6"/>
              <w:spacing w:before="145" w:line="184" w:lineRule="auto"/>
              <w:ind w:left="144"/>
              <w:rPr>
                <w:sz w:val="19"/>
                <w:szCs w:val="19"/>
              </w:rPr>
            </w:pPr>
            <w:r>
              <w:rPr>
                <w:spacing w:val="-6"/>
                <w:sz w:val="19"/>
                <w:szCs w:val="19"/>
              </w:rPr>
              <w:t>16</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97" w:line="219" w:lineRule="auto"/>
              <w:ind w:left="61"/>
              <w:rPr>
                <w:sz w:val="19"/>
                <w:szCs w:val="19"/>
              </w:rPr>
            </w:pPr>
            <w:r>
              <w:rPr>
                <w:spacing w:val="2"/>
                <w:sz w:val="19"/>
                <w:szCs w:val="19"/>
              </w:rPr>
              <w:t>费用消耗</w:t>
            </w:r>
          </w:p>
        </w:tc>
        <w:tc>
          <w:tcPr>
            <w:tcW w:w="9668" w:type="dxa"/>
            <w:vAlign w:val="top"/>
          </w:tcPr>
          <w:p>
            <w:pPr>
              <w:pStyle w:val="6"/>
              <w:spacing w:before="96" w:line="218" w:lineRule="auto"/>
              <w:ind w:left="73"/>
              <w:rPr>
                <w:sz w:val="19"/>
                <w:szCs w:val="19"/>
              </w:rPr>
            </w:pPr>
            <w:r>
              <w:rPr>
                <w:sz w:val="19"/>
                <w:szCs w:val="19"/>
              </w:rPr>
              <w:t>治疗同类疾病平均医疗费用，用于评估患者次均治疗费用是否降低，对相关病种治疗总费用是</w:t>
            </w:r>
            <w:r>
              <w:rPr>
                <w:spacing w:val="-1"/>
                <w:sz w:val="19"/>
                <w:szCs w:val="19"/>
              </w:rPr>
              <w:t>否产生影响。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95" w:type="dxa"/>
            <w:vAlign w:val="top"/>
          </w:tcPr>
          <w:p>
            <w:pPr>
              <w:pStyle w:val="6"/>
              <w:spacing w:before="77" w:line="143" w:lineRule="exact"/>
              <w:ind w:left="144"/>
              <w:rPr>
                <w:sz w:val="19"/>
                <w:szCs w:val="19"/>
              </w:rPr>
            </w:pPr>
            <w:r>
              <w:rPr>
                <w:spacing w:val="-6"/>
                <w:position w:val="-2"/>
                <w:sz w:val="19"/>
                <w:szCs w:val="19"/>
              </w:rPr>
              <w:t>17</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29" w:line="185" w:lineRule="auto"/>
              <w:ind w:left="61"/>
              <w:rPr>
                <w:sz w:val="19"/>
                <w:szCs w:val="19"/>
              </w:rPr>
            </w:pPr>
            <w:r>
              <w:rPr>
                <w:spacing w:val="6"/>
                <w:sz w:val="19"/>
                <w:szCs w:val="19"/>
              </w:rPr>
              <w:t>平均住院日</w:t>
            </w:r>
          </w:p>
        </w:tc>
        <w:tc>
          <w:tcPr>
            <w:tcW w:w="9668" w:type="dxa"/>
            <w:vAlign w:val="top"/>
          </w:tcPr>
          <w:p>
            <w:pPr>
              <w:pStyle w:val="6"/>
              <w:spacing w:before="27" w:line="187" w:lineRule="auto"/>
              <w:ind w:left="73"/>
              <w:rPr>
                <w:sz w:val="19"/>
                <w:szCs w:val="19"/>
              </w:rPr>
            </w:pPr>
            <w:r>
              <w:rPr>
                <w:spacing w:val="-1"/>
                <w:sz w:val="19"/>
                <w:szCs w:val="19"/>
              </w:rPr>
              <w:t>是否缩短患者平均住院天数。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495" w:type="dxa"/>
            <w:vAlign w:val="top"/>
          </w:tcPr>
          <w:p>
            <w:pPr>
              <w:pStyle w:val="6"/>
              <w:spacing w:before="77" w:line="133" w:lineRule="exact"/>
              <w:ind w:left="144"/>
              <w:rPr>
                <w:sz w:val="19"/>
                <w:szCs w:val="19"/>
              </w:rPr>
            </w:pPr>
            <w:r>
              <w:rPr>
                <w:spacing w:val="-6"/>
                <w:position w:val="-3"/>
                <w:sz w:val="19"/>
                <w:szCs w:val="19"/>
              </w:rPr>
              <w:t>18</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26" w:line="178" w:lineRule="auto"/>
              <w:ind w:left="61"/>
              <w:rPr>
                <w:sz w:val="19"/>
                <w:szCs w:val="19"/>
              </w:rPr>
            </w:pPr>
            <w:r>
              <w:rPr>
                <w:spacing w:val="-2"/>
                <w:sz w:val="19"/>
                <w:szCs w:val="19"/>
              </w:rPr>
              <w:t>经济学评价</w:t>
            </w:r>
          </w:p>
        </w:tc>
        <w:tc>
          <w:tcPr>
            <w:tcW w:w="9668" w:type="dxa"/>
            <w:vAlign w:val="top"/>
          </w:tcPr>
          <w:p>
            <w:pPr>
              <w:pStyle w:val="6"/>
              <w:spacing w:before="27" w:line="177" w:lineRule="auto"/>
              <w:ind w:left="73"/>
              <w:rPr>
                <w:sz w:val="19"/>
                <w:szCs w:val="19"/>
              </w:rPr>
            </w:pPr>
            <w:r>
              <w:rPr>
                <w:spacing w:val="-1"/>
                <w:sz w:val="19"/>
                <w:szCs w:val="19"/>
              </w:rPr>
              <w:t>成本效益、成本效果分析。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95" w:type="dxa"/>
            <w:vAlign w:val="top"/>
          </w:tcPr>
          <w:p>
            <w:pPr>
              <w:pStyle w:val="6"/>
              <w:spacing w:before="77" w:line="143" w:lineRule="exact"/>
              <w:ind w:left="144"/>
              <w:rPr>
                <w:sz w:val="19"/>
                <w:szCs w:val="19"/>
              </w:rPr>
            </w:pPr>
            <w:r>
              <w:rPr>
                <w:spacing w:val="-6"/>
                <w:position w:val="-2"/>
                <w:sz w:val="19"/>
                <w:szCs w:val="19"/>
              </w:rPr>
              <w:t>19</w:t>
            </w:r>
          </w:p>
        </w:tc>
        <w:tc>
          <w:tcPr>
            <w:tcW w:w="1179" w:type="dxa"/>
            <w:vMerge w:val="continue"/>
            <w:tcBorders>
              <w:top w:val="nil"/>
              <w:bottom w:val="nil"/>
            </w:tcBorders>
            <w:vAlign w:val="top"/>
          </w:tcPr>
          <w:p>
            <w:pPr>
              <w:rPr>
                <w:rFonts w:ascii="Arial"/>
                <w:sz w:val="21"/>
              </w:rPr>
            </w:pPr>
          </w:p>
        </w:tc>
        <w:tc>
          <w:tcPr>
            <w:tcW w:w="1129" w:type="dxa"/>
            <w:vMerge w:val="continue"/>
            <w:tcBorders>
              <w:top w:val="nil"/>
              <w:bottom w:val="nil"/>
            </w:tcBorders>
            <w:vAlign w:val="top"/>
          </w:tcPr>
          <w:p>
            <w:pPr>
              <w:rPr>
                <w:rFonts w:ascii="Arial"/>
                <w:sz w:val="21"/>
              </w:rPr>
            </w:pPr>
          </w:p>
        </w:tc>
        <w:tc>
          <w:tcPr>
            <w:tcW w:w="2308" w:type="dxa"/>
            <w:vAlign w:val="top"/>
          </w:tcPr>
          <w:p>
            <w:pPr>
              <w:pStyle w:val="6"/>
              <w:spacing w:before="38" w:line="176" w:lineRule="auto"/>
              <w:ind w:left="61"/>
              <w:rPr>
                <w:sz w:val="19"/>
                <w:szCs w:val="19"/>
              </w:rPr>
            </w:pPr>
            <w:r>
              <w:rPr>
                <w:spacing w:val="1"/>
                <w:sz w:val="19"/>
                <w:szCs w:val="19"/>
              </w:rPr>
              <w:t>患者的可负担性</w:t>
            </w:r>
          </w:p>
        </w:tc>
        <w:tc>
          <w:tcPr>
            <w:tcW w:w="9668" w:type="dxa"/>
            <w:vAlign w:val="top"/>
          </w:tcPr>
          <w:p>
            <w:pPr>
              <w:pStyle w:val="6"/>
              <w:spacing w:before="38" w:line="176" w:lineRule="auto"/>
              <w:ind w:left="73"/>
              <w:rPr>
                <w:sz w:val="19"/>
                <w:szCs w:val="19"/>
              </w:rPr>
            </w:pPr>
            <w:r>
              <w:rPr>
                <w:spacing w:val="-1"/>
                <w:sz w:val="19"/>
                <w:szCs w:val="19"/>
              </w:rPr>
              <w:t>患者对医疗费用的可负担程度。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495" w:type="dxa"/>
            <w:vAlign w:val="top"/>
          </w:tcPr>
          <w:p>
            <w:pPr>
              <w:pStyle w:val="6"/>
              <w:spacing w:before="67" w:line="148" w:lineRule="exact"/>
              <w:ind w:left="144"/>
              <w:rPr>
                <w:sz w:val="19"/>
                <w:szCs w:val="19"/>
              </w:rPr>
            </w:pPr>
            <w:r>
              <w:rPr>
                <w:spacing w:val="-3"/>
                <w:position w:val="-2"/>
                <w:sz w:val="19"/>
                <w:szCs w:val="19"/>
              </w:rPr>
              <w:t>20</w:t>
            </w:r>
          </w:p>
        </w:tc>
        <w:tc>
          <w:tcPr>
            <w:tcW w:w="1179" w:type="dxa"/>
            <w:vMerge w:val="continue"/>
            <w:tcBorders>
              <w:top w:val="nil"/>
            </w:tcBorders>
            <w:vAlign w:val="top"/>
          </w:tcPr>
          <w:p>
            <w:pPr>
              <w:rPr>
                <w:rFonts w:ascii="Arial"/>
                <w:sz w:val="21"/>
              </w:rPr>
            </w:pPr>
          </w:p>
        </w:tc>
        <w:tc>
          <w:tcPr>
            <w:tcW w:w="1129" w:type="dxa"/>
            <w:vMerge w:val="continue"/>
            <w:tcBorders>
              <w:top w:val="nil"/>
            </w:tcBorders>
            <w:vAlign w:val="top"/>
          </w:tcPr>
          <w:p>
            <w:pPr>
              <w:rPr>
                <w:rFonts w:ascii="Arial"/>
                <w:sz w:val="21"/>
              </w:rPr>
            </w:pPr>
          </w:p>
        </w:tc>
        <w:tc>
          <w:tcPr>
            <w:tcW w:w="2308" w:type="dxa"/>
            <w:vAlign w:val="top"/>
          </w:tcPr>
          <w:p>
            <w:pPr>
              <w:pStyle w:val="6"/>
              <w:spacing w:before="28" w:line="181" w:lineRule="auto"/>
              <w:ind w:left="61"/>
              <w:rPr>
                <w:sz w:val="19"/>
                <w:szCs w:val="19"/>
              </w:rPr>
            </w:pPr>
            <w:r>
              <w:rPr>
                <w:spacing w:val="1"/>
                <w:sz w:val="19"/>
                <w:szCs w:val="19"/>
              </w:rPr>
              <w:t>医保的可负担性</w:t>
            </w:r>
          </w:p>
        </w:tc>
        <w:tc>
          <w:tcPr>
            <w:tcW w:w="9668" w:type="dxa"/>
            <w:vAlign w:val="top"/>
          </w:tcPr>
          <w:p>
            <w:pPr>
              <w:pStyle w:val="6"/>
              <w:spacing w:before="28" w:line="181" w:lineRule="auto"/>
              <w:ind w:left="73"/>
              <w:rPr>
                <w:sz w:val="19"/>
                <w:szCs w:val="19"/>
              </w:rPr>
            </w:pPr>
            <w:r>
              <w:rPr>
                <w:spacing w:val="-1"/>
                <w:sz w:val="19"/>
                <w:szCs w:val="19"/>
              </w:rPr>
              <w:t>医保对医疗费用的可负担程度。</w:t>
            </w:r>
          </w:p>
        </w:tc>
      </w:tr>
    </w:tbl>
    <w:p>
      <w:pPr>
        <w:pStyle w:val="2"/>
      </w:pPr>
    </w:p>
    <w:p>
      <w:pPr>
        <w:sectPr>
          <w:footerReference r:id="rId31" w:type="default"/>
          <w:pgSz w:w="16720" w:h="11820"/>
          <w:pgMar w:top="1004" w:right="1024" w:bottom="400" w:left="905" w:header="0" w:footer="0" w:gutter="0"/>
          <w:cols w:space="720" w:num="1"/>
        </w:sectPr>
      </w:pPr>
    </w:p>
    <w:p>
      <w:pPr>
        <w:pStyle w:val="2"/>
        <w:spacing w:line="252" w:lineRule="auto"/>
      </w:pPr>
    </w:p>
    <w:p>
      <w:pPr>
        <w:pStyle w:val="2"/>
        <w:spacing w:line="253" w:lineRule="auto"/>
      </w:pPr>
    </w:p>
    <w:p>
      <w:pPr>
        <w:pStyle w:val="2"/>
        <w:spacing w:line="253" w:lineRule="auto"/>
      </w:pPr>
    </w:p>
    <w:p>
      <w:pPr>
        <w:spacing w:before="104" w:line="224" w:lineRule="auto"/>
        <w:ind w:left="104"/>
        <w:rPr>
          <w:rFonts w:ascii="黑体" w:hAnsi="黑体" w:eastAsia="黑体" w:cs="黑体"/>
          <w:sz w:val="32"/>
          <w:szCs w:val="32"/>
        </w:rPr>
      </w:pPr>
      <w:r>
        <w:rPr>
          <w:rFonts w:ascii="黑体" w:hAnsi="黑体" w:eastAsia="黑体" w:cs="黑体"/>
          <w:spacing w:val="35"/>
          <w:sz w:val="32"/>
          <w:szCs w:val="32"/>
        </w:rPr>
        <w:t>附件3</w:t>
      </w:r>
    </w:p>
    <w:p>
      <w:pPr>
        <w:spacing w:before="128" w:line="218" w:lineRule="auto"/>
        <w:ind w:left="3554"/>
        <w:rPr>
          <w:rFonts w:ascii="宋体" w:hAnsi="宋体" w:eastAsia="宋体" w:cs="宋体"/>
          <w:sz w:val="44"/>
          <w:szCs w:val="44"/>
        </w:rPr>
      </w:pPr>
      <w:r>
        <w:rPr>
          <w:rFonts w:ascii="宋体" w:hAnsi="宋体" w:eastAsia="宋体" w:cs="宋体"/>
          <w:spacing w:val="-31"/>
          <w:sz w:val="44"/>
          <w:szCs w:val="44"/>
        </w:rPr>
        <w:t>广东省新增医疗服务价格项目转归申请表</w:t>
      </w:r>
    </w:p>
    <w:p>
      <w:pPr>
        <w:spacing w:line="41" w:lineRule="exact"/>
      </w:pPr>
    </w:p>
    <w:tbl>
      <w:tblPr>
        <w:tblStyle w:val="5"/>
        <w:tblW w:w="144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929"/>
        <w:gridCol w:w="1309"/>
        <w:gridCol w:w="939"/>
        <w:gridCol w:w="940"/>
        <w:gridCol w:w="790"/>
        <w:gridCol w:w="759"/>
        <w:gridCol w:w="1239"/>
        <w:gridCol w:w="780"/>
        <w:gridCol w:w="1219"/>
        <w:gridCol w:w="1219"/>
        <w:gridCol w:w="979"/>
        <w:gridCol w:w="1049"/>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4" w:type="dxa"/>
            <w:vMerge w:val="restart"/>
            <w:tcBorders>
              <w:bottom w:val="nil"/>
            </w:tcBorders>
            <w:vAlign w:val="top"/>
          </w:tcPr>
          <w:p>
            <w:pPr>
              <w:spacing w:line="304" w:lineRule="auto"/>
              <w:rPr>
                <w:rFonts w:ascii="Arial"/>
                <w:sz w:val="21"/>
              </w:rPr>
            </w:pPr>
          </w:p>
          <w:p>
            <w:pPr>
              <w:pStyle w:val="6"/>
              <w:spacing w:before="78" w:line="223" w:lineRule="auto"/>
              <w:ind w:left="164"/>
              <w:rPr>
                <w:sz w:val="24"/>
                <w:szCs w:val="24"/>
              </w:rPr>
            </w:pPr>
            <w:r>
              <w:rPr>
                <w:spacing w:val="5"/>
                <w:sz w:val="24"/>
                <w:szCs w:val="24"/>
              </w:rPr>
              <w:t>财务</w:t>
            </w:r>
          </w:p>
          <w:p>
            <w:pPr>
              <w:pStyle w:val="6"/>
              <w:spacing w:line="219" w:lineRule="auto"/>
              <w:ind w:left="164"/>
              <w:rPr>
                <w:sz w:val="24"/>
                <w:szCs w:val="24"/>
              </w:rPr>
            </w:pPr>
            <w:r>
              <w:rPr>
                <w:spacing w:val="5"/>
                <w:sz w:val="24"/>
                <w:szCs w:val="24"/>
              </w:rPr>
              <w:t>分类</w:t>
            </w:r>
          </w:p>
        </w:tc>
        <w:tc>
          <w:tcPr>
            <w:tcW w:w="929" w:type="dxa"/>
            <w:vMerge w:val="restart"/>
            <w:tcBorders>
              <w:bottom w:val="nil"/>
            </w:tcBorders>
            <w:vAlign w:val="top"/>
          </w:tcPr>
          <w:p>
            <w:pPr>
              <w:spacing w:line="314" w:lineRule="auto"/>
              <w:rPr>
                <w:rFonts w:ascii="Arial"/>
                <w:sz w:val="21"/>
              </w:rPr>
            </w:pPr>
          </w:p>
          <w:p>
            <w:pPr>
              <w:pStyle w:val="6"/>
              <w:spacing w:before="78" w:line="225" w:lineRule="auto"/>
              <w:ind w:left="210" w:right="182"/>
              <w:rPr>
                <w:sz w:val="24"/>
                <w:szCs w:val="24"/>
              </w:rPr>
            </w:pPr>
            <w:r>
              <w:rPr>
                <w:spacing w:val="-35"/>
                <w:sz w:val="24"/>
                <w:szCs w:val="24"/>
              </w:rPr>
              <w:t>项</w:t>
            </w:r>
            <w:r>
              <w:rPr>
                <w:spacing w:val="-6"/>
                <w:sz w:val="24"/>
                <w:szCs w:val="24"/>
              </w:rPr>
              <w:t xml:space="preserve"> </w:t>
            </w:r>
            <w:r>
              <w:rPr>
                <w:spacing w:val="-35"/>
                <w:sz w:val="24"/>
                <w:szCs w:val="24"/>
              </w:rPr>
              <w:t>目</w:t>
            </w:r>
            <w:r>
              <w:rPr>
                <w:sz w:val="24"/>
                <w:szCs w:val="24"/>
              </w:rPr>
              <w:t xml:space="preserve"> </w:t>
            </w:r>
            <w:r>
              <w:rPr>
                <w:spacing w:val="6"/>
                <w:sz w:val="24"/>
                <w:szCs w:val="24"/>
              </w:rPr>
              <w:t>编码</w:t>
            </w:r>
          </w:p>
        </w:tc>
        <w:tc>
          <w:tcPr>
            <w:tcW w:w="1309" w:type="dxa"/>
            <w:vMerge w:val="restart"/>
            <w:tcBorders>
              <w:bottom w:val="nil"/>
            </w:tcBorders>
            <w:vAlign w:val="top"/>
          </w:tcPr>
          <w:p>
            <w:pPr>
              <w:spacing w:line="454" w:lineRule="auto"/>
              <w:rPr>
                <w:rFonts w:ascii="Arial"/>
                <w:sz w:val="21"/>
              </w:rPr>
            </w:pPr>
          </w:p>
          <w:p>
            <w:pPr>
              <w:pStyle w:val="6"/>
              <w:spacing w:before="78" w:line="220" w:lineRule="auto"/>
              <w:ind w:left="141"/>
              <w:rPr>
                <w:sz w:val="24"/>
                <w:szCs w:val="24"/>
              </w:rPr>
            </w:pPr>
            <w:r>
              <w:rPr>
                <w:spacing w:val="3"/>
                <w:sz w:val="24"/>
                <w:szCs w:val="24"/>
              </w:rPr>
              <w:t>项目名称</w:t>
            </w:r>
          </w:p>
        </w:tc>
        <w:tc>
          <w:tcPr>
            <w:tcW w:w="939" w:type="dxa"/>
            <w:vMerge w:val="restart"/>
            <w:tcBorders>
              <w:bottom w:val="nil"/>
            </w:tcBorders>
            <w:vAlign w:val="top"/>
          </w:tcPr>
          <w:p>
            <w:pPr>
              <w:spacing w:line="296" w:lineRule="auto"/>
              <w:rPr>
                <w:rFonts w:ascii="Arial"/>
                <w:sz w:val="21"/>
              </w:rPr>
            </w:pPr>
          </w:p>
          <w:p>
            <w:pPr>
              <w:pStyle w:val="6"/>
              <w:spacing w:before="78" w:line="232" w:lineRule="auto"/>
              <w:ind w:left="222" w:right="180"/>
              <w:rPr>
                <w:sz w:val="24"/>
                <w:szCs w:val="24"/>
              </w:rPr>
            </w:pPr>
            <w:r>
              <w:rPr>
                <w:spacing w:val="-35"/>
                <w:sz w:val="24"/>
                <w:szCs w:val="24"/>
              </w:rPr>
              <w:t>项</w:t>
            </w:r>
            <w:r>
              <w:rPr>
                <w:spacing w:val="-6"/>
                <w:sz w:val="24"/>
                <w:szCs w:val="24"/>
              </w:rPr>
              <w:t xml:space="preserve"> </w:t>
            </w:r>
            <w:r>
              <w:rPr>
                <w:spacing w:val="-35"/>
                <w:sz w:val="24"/>
                <w:szCs w:val="24"/>
              </w:rPr>
              <w:t>目</w:t>
            </w:r>
            <w:r>
              <w:rPr>
                <w:sz w:val="24"/>
                <w:szCs w:val="24"/>
              </w:rPr>
              <w:t xml:space="preserve"> </w:t>
            </w:r>
            <w:r>
              <w:rPr>
                <w:spacing w:val="7"/>
                <w:sz w:val="24"/>
                <w:szCs w:val="24"/>
              </w:rPr>
              <w:t>内涵</w:t>
            </w:r>
          </w:p>
        </w:tc>
        <w:tc>
          <w:tcPr>
            <w:tcW w:w="940" w:type="dxa"/>
            <w:vMerge w:val="restart"/>
            <w:tcBorders>
              <w:bottom w:val="nil"/>
            </w:tcBorders>
            <w:vAlign w:val="top"/>
          </w:tcPr>
          <w:p>
            <w:pPr>
              <w:spacing w:line="294" w:lineRule="auto"/>
              <w:rPr>
                <w:rFonts w:ascii="Arial"/>
                <w:sz w:val="21"/>
              </w:rPr>
            </w:pPr>
          </w:p>
          <w:p>
            <w:pPr>
              <w:pStyle w:val="6"/>
              <w:spacing w:before="78" w:line="231" w:lineRule="auto"/>
              <w:ind w:left="223"/>
              <w:rPr>
                <w:sz w:val="24"/>
                <w:szCs w:val="24"/>
              </w:rPr>
            </w:pPr>
            <w:r>
              <w:rPr>
                <w:spacing w:val="7"/>
                <w:sz w:val="24"/>
                <w:szCs w:val="24"/>
              </w:rPr>
              <w:t>除外</w:t>
            </w:r>
          </w:p>
          <w:p>
            <w:pPr>
              <w:pStyle w:val="6"/>
              <w:spacing w:line="219" w:lineRule="auto"/>
              <w:ind w:left="223"/>
              <w:rPr>
                <w:sz w:val="24"/>
                <w:szCs w:val="24"/>
              </w:rPr>
            </w:pPr>
            <w:r>
              <w:rPr>
                <w:spacing w:val="6"/>
                <w:sz w:val="24"/>
                <w:szCs w:val="24"/>
              </w:rPr>
              <w:t>内容</w:t>
            </w:r>
          </w:p>
        </w:tc>
        <w:tc>
          <w:tcPr>
            <w:tcW w:w="790" w:type="dxa"/>
            <w:vMerge w:val="restart"/>
            <w:tcBorders>
              <w:bottom w:val="nil"/>
            </w:tcBorders>
            <w:vAlign w:val="top"/>
          </w:tcPr>
          <w:p>
            <w:pPr>
              <w:spacing w:line="304" w:lineRule="auto"/>
              <w:rPr>
                <w:rFonts w:ascii="Arial"/>
                <w:sz w:val="21"/>
              </w:rPr>
            </w:pPr>
          </w:p>
          <w:p>
            <w:pPr>
              <w:pStyle w:val="6"/>
              <w:spacing w:before="78" w:line="226" w:lineRule="auto"/>
              <w:ind w:left="143" w:right="146"/>
              <w:rPr>
                <w:sz w:val="24"/>
                <w:szCs w:val="24"/>
              </w:rPr>
            </w:pPr>
            <w:r>
              <w:rPr>
                <w:spacing w:val="-5"/>
                <w:sz w:val="24"/>
                <w:szCs w:val="24"/>
              </w:rPr>
              <w:t>计价</w:t>
            </w:r>
            <w:r>
              <w:rPr>
                <w:sz w:val="24"/>
                <w:szCs w:val="24"/>
              </w:rPr>
              <w:t xml:space="preserve"> </w:t>
            </w:r>
            <w:r>
              <w:rPr>
                <w:spacing w:val="4"/>
                <w:sz w:val="24"/>
                <w:szCs w:val="24"/>
              </w:rPr>
              <w:t>单位</w:t>
            </w:r>
          </w:p>
        </w:tc>
        <w:tc>
          <w:tcPr>
            <w:tcW w:w="759" w:type="dxa"/>
            <w:vMerge w:val="restart"/>
            <w:tcBorders>
              <w:bottom w:val="nil"/>
            </w:tcBorders>
            <w:vAlign w:val="top"/>
          </w:tcPr>
          <w:p>
            <w:pPr>
              <w:spacing w:line="454" w:lineRule="auto"/>
              <w:rPr>
                <w:rFonts w:ascii="Arial"/>
                <w:sz w:val="21"/>
              </w:rPr>
            </w:pPr>
          </w:p>
          <w:p>
            <w:pPr>
              <w:pStyle w:val="6"/>
              <w:spacing w:before="78" w:line="219" w:lineRule="auto"/>
              <w:ind w:left="153"/>
              <w:rPr>
                <w:sz w:val="24"/>
                <w:szCs w:val="24"/>
              </w:rPr>
            </w:pPr>
            <w:r>
              <w:rPr>
                <w:spacing w:val="13"/>
                <w:sz w:val="24"/>
                <w:szCs w:val="24"/>
              </w:rPr>
              <w:t>说明</w:t>
            </w:r>
          </w:p>
        </w:tc>
        <w:tc>
          <w:tcPr>
            <w:tcW w:w="1239" w:type="dxa"/>
            <w:vMerge w:val="restart"/>
            <w:tcBorders>
              <w:bottom w:val="nil"/>
            </w:tcBorders>
            <w:vAlign w:val="top"/>
          </w:tcPr>
          <w:p>
            <w:pPr>
              <w:spacing w:line="304" w:lineRule="auto"/>
              <w:rPr>
                <w:rFonts w:ascii="Arial"/>
                <w:sz w:val="21"/>
              </w:rPr>
            </w:pPr>
          </w:p>
          <w:p>
            <w:pPr>
              <w:pStyle w:val="6"/>
              <w:spacing w:before="78" w:line="225" w:lineRule="auto"/>
              <w:ind w:left="374" w:right="120" w:hanging="240"/>
              <w:rPr>
                <w:sz w:val="24"/>
                <w:szCs w:val="24"/>
              </w:rPr>
            </w:pPr>
            <w:r>
              <w:rPr>
                <w:spacing w:val="3"/>
                <w:sz w:val="24"/>
                <w:szCs w:val="24"/>
              </w:rPr>
              <w:t>全市开展</w:t>
            </w:r>
            <w:r>
              <w:rPr>
                <w:sz w:val="24"/>
                <w:szCs w:val="24"/>
              </w:rPr>
              <w:t xml:space="preserve"> </w:t>
            </w:r>
            <w:r>
              <w:rPr>
                <w:spacing w:val="-3"/>
                <w:sz w:val="24"/>
                <w:szCs w:val="24"/>
              </w:rPr>
              <w:t>例数</w:t>
            </w:r>
          </w:p>
        </w:tc>
        <w:tc>
          <w:tcPr>
            <w:tcW w:w="1999" w:type="dxa"/>
            <w:gridSpan w:val="2"/>
            <w:vAlign w:val="top"/>
          </w:tcPr>
          <w:p>
            <w:pPr>
              <w:pStyle w:val="6"/>
              <w:spacing w:before="24" w:line="226" w:lineRule="auto"/>
              <w:ind w:left="515" w:right="138" w:hanging="360"/>
              <w:rPr>
                <w:sz w:val="24"/>
                <w:szCs w:val="24"/>
              </w:rPr>
            </w:pPr>
            <w:r>
              <w:rPr>
                <w:spacing w:val="2"/>
                <w:sz w:val="24"/>
                <w:szCs w:val="24"/>
              </w:rPr>
              <w:t>开展该项目的医</w:t>
            </w:r>
            <w:r>
              <w:rPr>
                <w:sz w:val="24"/>
                <w:szCs w:val="24"/>
              </w:rPr>
              <w:t xml:space="preserve"> </w:t>
            </w:r>
            <w:r>
              <w:rPr>
                <w:spacing w:val="-2"/>
                <w:sz w:val="24"/>
                <w:szCs w:val="24"/>
              </w:rPr>
              <w:t>疗机构数</w:t>
            </w:r>
          </w:p>
        </w:tc>
        <w:tc>
          <w:tcPr>
            <w:tcW w:w="3247" w:type="dxa"/>
            <w:gridSpan w:val="3"/>
            <w:vAlign w:val="top"/>
          </w:tcPr>
          <w:p>
            <w:pPr>
              <w:pStyle w:val="6"/>
              <w:spacing w:before="192" w:line="218" w:lineRule="auto"/>
              <w:ind w:left="1256"/>
              <w:rPr>
                <w:sz w:val="24"/>
                <w:szCs w:val="24"/>
              </w:rPr>
            </w:pPr>
            <w:r>
              <w:rPr>
                <w:spacing w:val="-6"/>
                <w:sz w:val="24"/>
                <w:szCs w:val="24"/>
              </w:rPr>
              <w:t>价</w:t>
            </w:r>
            <w:r>
              <w:rPr>
                <w:spacing w:val="15"/>
                <w:sz w:val="24"/>
                <w:szCs w:val="24"/>
              </w:rPr>
              <w:t xml:space="preserve">  </w:t>
            </w:r>
            <w:r>
              <w:rPr>
                <w:spacing w:val="-6"/>
                <w:sz w:val="24"/>
                <w:szCs w:val="24"/>
              </w:rPr>
              <w:t>格</w:t>
            </w:r>
          </w:p>
        </w:tc>
        <w:tc>
          <w:tcPr>
            <w:tcW w:w="1444" w:type="dxa"/>
            <w:vAlign w:val="top"/>
          </w:tcPr>
          <w:p>
            <w:pPr>
              <w:pStyle w:val="6"/>
              <w:spacing w:before="194" w:line="219" w:lineRule="auto"/>
              <w:ind w:left="239"/>
              <w:rPr>
                <w:sz w:val="24"/>
                <w:szCs w:val="24"/>
              </w:rPr>
            </w:pPr>
            <w:r>
              <w:rPr>
                <w:spacing w:val="4"/>
                <w:sz w:val="24"/>
                <w:szCs w:val="24"/>
              </w:rPr>
              <w:t>申请类别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34" w:type="dxa"/>
            <w:vMerge w:val="continue"/>
            <w:tcBorders>
              <w:top w:val="nil"/>
            </w:tcBorders>
            <w:vAlign w:val="top"/>
          </w:tcPr>
          <w:p>
            <w:pPr>
              <w:rPr>
                <w:rFonts w:ascii="Arial"/>
                <w:sz w:val="21"/>
              </w:rPr>
            </w:pPr>
          </w:p>
        </w:tc>
        <w:tc>
          <w:tcPr>
            <w:tcW w:w="929" w:type="dxa"/>
            <w:vMerge w:val="continue"/>
            <w:tcBorders>
              <w:top w:val="nil"/>
            </w:tcBorders>
            <w:vAlign w:val="top"/>
          </w:tcPr>
          <w:p>
            <w:pPr>
              <w:rPr>
                <w:rFonts w:ascii="Arial"/>
                <w:sz w:val="21"/>
              </w:rPr>
            </w:pPr>
          </w:p>
        </w:tc>
        <w:tc>
          <w:tcPr>
            <w:tcW w:w="1309" w:type="dxa"/>
            <w:vMerge w:val="continue"/>
            <w:tcBorders>
              <w:top w:val="nil"/>
            </w:tcBorders>
            <w:vAlign w:val="top"/>
          </w:tcPr>
          <w:p>
            <w:pPr>
              <w:rPr>
                <w:rFonts w:ascii="Arial"/>
                <w:sz w:val="21"/>
              </w:rPr>
            </w:pPr>
          </w:p>
        </w:tc>
        <w:tc>
          <w:tcPr>
            <w:tcW w:w="939" w:type="dxa"/>
            <w:vMerge w:val="continue"/>
            <w:tcBorders>
              <w:top w:val="nil"/>
            </w:tcBorders>
            <w:vAlign w:val="top"/>
          </w:tcPr>
          <w:p>
            <w:pPr>
              <w:rPr>
                <w:rFonts w:ascii="Arial"/>
                <w:sz w:val="21"/>
              </w:rPr>
            </w:pPr>
          </w:p>
        </w:tc>
        <w:tc>
          <w:tcPr>
            <w:tcW w:w="940" w:type="dxa"/>
            <w:vMerge w:val="continue"/>
            <w:tcBorders>
              <w:top w:val="nil"/>
            </w:tcBorders>
            <w:vAlign w:val="top"/>
          </w:tcPr>
          <w:p>
            <w:pPr>
              <w:rPr>
                <w:rFonts w:ascii="Arial"/>
                <w:sz w:val="21"/>
              </w:rPr>
            </w:pPr>
          </w:p>
        </w:tc>
        <w:tc>
          <w:tcPr>
            <w:tcW w:w="790" w:type="dxa"/>
            <w:vMerge w:val="continue"/>
            <w:tcBorders>
              <w:top w:val="nil"/>
            </w:tcBorders>
            <w:vAlign w:val="top"/>
          </w:tcPr>
          <w:p>
            <w:pPr>
              <w:rPr>
                <w:rFonts w:ascii="Arial"/>
                <w:sz w:val="21"/>
              </w:rPr>
            </w:pPr>
          </w:p>
        </w:tc>
        <w:tc>
          <w:tcPr>
            <w:tcW w:w="759" w:type="dxa"/>
            <w:vMerge w:val="continue"/>
            <w:tcBorders>
              <w:top w:val="nil"/>
            </w:tcBorders>
            <w:vAlign w:val="top"/>
          </w:tcPr>
          <w:p>
            <w:pPr>
              <w:rPr>
                <w:rFonts w:ascii="Arial"/>
                <w:sz w:val="21"/>
              </w:rPr>
            </w:pPr>
          </w:p>
        </w:tc>
        <w:tc>
          <w:tcPr>
            <w:tcW w:w="1239" w:type="dxa"/>
            <w:vMerge w:val="continue"/>
            <w:tcBorders>
              <w:top w:val="nil"/>
            </w:tcBorders>
            <w:vAlign w:val="top"/>
          </w:tcPr>
          <w:p>
            <w:pPr>
              <w:rPr>
                <w:rFonts w:ascii="Arial"/>
                <w:sz w:val="21"/>
              </w:rPr>
            </w:pPr>
          </w:p>
        </w:tc>
        <w:tc>
          <w:tcPr>
            <w:tcW w:w="780" w:type="dxa"/>
            <w:vAlign w:val="top"/>
          </w:tcPr>
          <w:p>
            <w:pPr>
              <w:rPr>
                <w:rFonts w:ascii="Arial"/>
                <w:sz w:val="21"/>
              </w:rPr>
            </w:pPr>
          </w:p>
        </w:tc>
        <w:tc>
          <w:tcPr>
            <w:tcW w:w="1219" w:type="dxa"/>
            <w:vAlign w:val="top"/>
          </w:tcPr>
          <w:p>
            <w:pPr>
              <w:pStyle w:val="6"/>
              <w:spacing w:before="52" w:line="232" w:lineRule="auto"/>
              <w:ind w:left="245" w:right="108" w:hanging="120"/>
              <w:rPr>
                <w:sz w:val="24"/>
                <w:szCs w:val="24"/>
              </w:rPr>
            </w:pPr>
            <w:r>
              <w:rPr>
                <w:spacing w:val="3"/>
                <w:sz w:val="24"/>
                <w:szCs w:val="24"/>
              </w:rPr>
              <w:t>其中三级</w:t>
            </w:r>
            <w:r>
              <w:rPr>
                <w:spacing w:val="1"/>
                <w:sz w:val="24"/>
                <w:szCs w:val="24"/>
              </w:rPr>
              <w:t xml:space="preserve"> </w:t>
            </w:r>
            <w:r>
              <w:rPr>
                <w:spacing w:val="3"/>
                <w:sz w:val="24"/>
                <w:szCs w:val="24"/>
              </w:rPr>
              <w:t>医院数</w:t>
            </w:r>
          </w:p>
        </w:tc>
        <w:tc>
          <w:tcPr>
            <w:tcW w:w="1219" w:type="dxa"/>
            <w:vAlign w:val="top"/>
          </w:tcPr>
          <w:p>
            <w:pPr>
              <w:pStyle w:val="6"/>
              <w:spacing w:before="83" w:line="219" w:lineRule="auto"/>
              <w:ind w:left="126"/>
              <w:rPr>
                <w:sz w:val="24"/>
                <w:szCs w:val="24"/>
              </w:rPr>
            </w:pPr>
            <w:r>
              <w:rPr>
                <w:spacing w:val="-2"/>
                <w:sz w:val="24"/>
                <w:szCs w:val="24"/>
              </w:rPr>
              <w:t>全市加权</w:t>
            </w:r>
          </w:p>
          <w:p>
            <w:pPr>
              <w:pStyle w:val="6"/>
              <w:spacing w:before="12" w:line="212" w:lineRule="auto"/>
              <w:ind w:left="246"/>
              <w:rPr>
                <w:sz w:val="24"/>
                <w:szCs w:val="24"/>
              </w:rPr>
            </w:pPr>
            <w:r>
              <w:rPr>
                <w:spacing w:val="-2"/>
                <w:sz w:val="24"/>
                <w:szCs w:val="24"/>
              </w:rPr>
              <w:t>平均价</w:t>
            </w:r>
          </w:p>
        </w:tc>
        <w:tc>
          <w:tcPr>
            <w:tcW w:w="979" w:type="dxa"/>
            <w:vAlign w:val="top"/>
          </w:tcPr>
          <w:p>
            <w:pPr>
              <w:pStyle w:val="6"/>
              <w:spacing w:before="220" w:line="218" w:lineRule="auto"/>
              <w:ind w:left="137"/>
              <w:rPr>
                <w:sz w:val="24"/>
                <w:szCs w:val="24"/>
              </w:rPr>
            </w:pPr>
            <w:r>
              <w:rPr>
                <w:spacing w:val="3"/>
                <w:sz w:val="24"/>
                <w:szCs w:val="24"/>
              </w:rPr>
              <w:t>最高价</w:t>
            </w:r>
          </w:p>
        </w:tc>
        <w:tc>
          <w:tcPr>
            <w:tcW w:w="1049" w:type="dxa"/>
            <w:vAlign w:val="top"/>
          </w:tcPr>
          <w:p>
            <w:pPr>
              <w:pStyle w:val="6"/>
              <w:spacing w:before="220" w:line="218" w:lineRule="auto"/>
              <w:ind w:left="188"/>
              <w:rPr>
                <w:sz w:val="24"/>
                <w:szCs w:val="24"/>
              </w:rPr>
            </w:pPr>
            <w:r>
              <w:rPr>
                <w:spacing w:val="3"/>
                <w:sz w:val="24"/>
                <w:szCs w:val="24"/>
              </w:rPr>
              <w:t>最低价</w:t>
            </w:r>
          </w:p>
        </w:tc>
        <w:tc>
          <w:tcPr>
            <w:tcW w:w="1444" w:type="dxa"/>
            <w:vAlign w:val="top"/>
          </w:tcPr>
          <w:p>
            <w:pPr>
              <w:pStyle w:val="6"/>
              <w:spacing w:before="73" w:line="224" w:lineRule="auto"/>
              <w:ind w:left="119" w:right="92" w:firstLine="60"/>
              <w:rPr>
                <w:sz w:val="24"/>
                <w:szCs w:val="24"/>
              </w:rPr>
            </w:pPr>
            <w:r>
              <w:rPr>
                <w:spacing w:val="1"/>
                <w:sz w:val="24"/>
                <w:szCs w:val="24"/>
              </w:rPr>
              <w:t>申请保留/</w:t>
            </w:r>
            <w:r>
              <w:rPr>
                <w:spacing w:val="3"/>
                <w:sz w:val="24"/>
                <w:szCs w:val="24"/>
              </w:rPr>
              <w:t xml:space="preserve"> </w:t>
            </w:r>
            <w:r>
              <w:rPr>
                <w:spacing w:val="4"/>
                <w:sz w:val="24"/>
                <w:szCs w:val="24"/>
              </w:rPr>
              <w:t>申请不保留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34" w:type="dxa"/>
            <w:vAlign w:val="top"/>
          </w:tcPr>
          <w:p>
            <w:pPr>
              <w:rPr>
                <w:rFonts w:ascii="Arial"/>
                <w:sz w:val="21"/>
              </w:rPr>
            </w:pPr>
          </w:p>
        </w:tc>
        <w:tc>
          <w:tcPr>
            <w:tcW w:w="929" w:type="dxa"/>
            <w:vAlign w:val="top"/>
          </w:tcPr>
          <w:p>
            <w:pPr>
              <w:rPr>
                <w:rFonts w:ascii="Arial"/>
                <w:sz w:val="21"/>
              </w:rPr>
            </w:pPr>
          </w:p>
        </w:tc>
        <w:tc>
          <w:tcPr>
            <w:tcW w:w="1309" w:type="dxa"/>
            <w:vAlign w:val="top"/>
          </w:tcPr>
          <w:p>
            <w:pPr>
              <w:rPr>
                <w:rFonts w:ascii="Arial"/>
                <w:sz w:val="21"/>
              </w:rPr>
            </w:pPr>
          </w:p>
        </w:tc>
        <w:tc>
          <w:tcPr>
            <w:tcW w:w="939" w:type="dxa"/>
            <w:vAlign w:val="top"/>
          </w:tcPr>
          <w:p>
            <w:pPr>
              <w:rPr>
                <w:rFonts w:ascii="Arial"/>
                <w:sz w:val="21"/>
              </w:rPr>
            </w:pPr>
          </w:p>
        </w:tc>
        <w:tc>
          <w:tcPr>
            <w:tcW w:w="940" w:type="dxa"/>
            <w:vAlign w:val="top"/>
          </w:tcPr>
          <w:p>
            <w:pPr>
              <w:rPr>
                <w:rFonts w:ascii="Arial"/>
                <w:sz w:val="21"/>
              </w:rPr>
            </w:pPr>
          </w:p>
        </w:tc>
        <w:tc>
          <w:tcPr>
            <w:tcW w:w="790" w:type="dxa"/>
            <w:vAlign w:val="top"/>
          </w:tcPr>
          <w:p>
            <w:pPr>
              <w:rPr>
                <w:rFonts w:ascii="Arial"/>
                <w:sz w:val="21"/>
              </w:rPr>
            </w:pPr>
          </w:p>
        </w:tc>
        <w:tc>
          <w:tcPr>
            <w:tcW w:w="759" w:type="dxa"/>
            <w:vAlign w:val="top"/>
          </w:tcPr>
          <w:p>
            <w:pPr>
              <w:rPr>
                <w:rFonts w:ascii="Arial"/>
                <w:sz w:val="21"/>
              </w:rPr>
            </w:pPr>
          </w:p>
        </w:tc>
        <w:tc>
          <w:tcPr>
            <w:tcW w:w="1239" w:type="dxa"/>
            <w:vAlign w:val="top"/>
          </w:tcPr>
          <w:p>
            <w:pPr>
              <w:rPr>
                <w:rFonts w:ascii="Arial"/>
                <w:sz w:val="21"/>
              </w:rPr>
            </w:pPr>
          </w:p>
        </w:tc>
        <w:tc>
          <w:tcPr>
            <w:tcW w:w="780" w:type="dxa"/>
            <w:vAlign w:val="top"/>
          </w:tcPr>
          <w:p>
            <w:pPr>
              <w:rPr>
                <w:rFonts w:ascii="Arial"/>
                <w:sz w:val="21"/>
              </w:rPr>
            </w:pPr>
          </w:p>
        </w:tc>
        <w:tc>
          <w:tcPr>
            <w:tcW w:w="1219" w:type="dxa"/>
            <w:vAlign w:val="top"/>
          </w:tcPr>
          <w:p>
            <w:pPr>
              <w:rPr>
                <w:rFonts w:ascii="Arial"/>
                <w:sz w:val="21"/>
              </w:rPr>
            </w:pPr>
          </w:p>
        </w:tc>
        <w:tc>
          <w:tcPr>
            <w:tcW w:w="1219" w:type="dxa"/>
            <w:vAlign w:val="top"/>
          </w:tcPr>
          <w:p>
            <w:pPr>
              <w:rPr>
                <w:rFonts w:ascii="Arial"/>
                <w:sz w:val="21"/>
              </w:rPr>
            </w:pPr>
          </w:p>
        </w:tc>
        <w:tc>
          <w:tcPr>
            <w:tcW w:w="979" w:type="dxa"/>
            <w:vAlign w:val="top"/>
          </w:tcPr>
          <w:p>
            <w:pPr>
              <w:rPr>
                <w:rFonts w:ascii="Arial"/>
                <w:sz w:val="21"/>
              </w:rPr>
            </w:pPr>
          </w:p>
        </w:tc>
        <w:tc>
          <w:tcPr>
            <w:tcW w:w="1049" w:type="dxa"/>
            <w:vAlign w:val="top"/>
          </w:tcPr>
          <w:p>
            <w:pPr>
              <w:rPr>
                <w:rFonts w:ascii="Arial"/>
                <w:sz w:val="21"/>
              </w:rPr>
            </w:pPr>
          </w:p>
        </w:tc>
        <w:tc>
          <w:tcPr>
            <w:tcW w:w="1444" w:type="dxa"/>
            <w:vAlign w:val="top"/>
          </w:tcPr>
          <w:p>
            <w:pPr>
              <w:rPr>
                <w:rFonts w:ascii="Arial"/>
                <w:sz w:val="21"/>
              </w:rPr>
            </w:pPr>
          </w:p>
        </w:tc>
      </w:tr>
    </w:tbl>
    <w:p>
      <w:pPr>
        <w:pStyle w:val="2"/>
        <w:spacing w:line="309" w:lineRule="auto"/>
      </w:pPr>
    </w:p>
    <w:p>
      <w:pPr>
        <w:pStyle w:val="2"/>
        <w:spacing w:line="310" w:lineRule="auto"/>
      </w:pPr>
    </w:p>
    <w:p>
      <w:pPr>
        <w:pStyle w:val="2"/>
        <w:spacing w:line="310" w:lineRule="auto"/>
      </w:pPr>
    </w:p>
    <w:p>
      <w:pPr>
        <w:spacing w:before="78" w:line="422" w:lineRule="exact"/>
        <w:ind w:left="104"/>
        <w:rPr>
          <w:rFonts w:ascii="宋体" w:hAnsi="宋体" w:eastAsia="宋体" w:cs="宋体"/>
          <w:sz w:val="24"/>
          <w:szCs w:val="24"/>
        </w:rPr>
      </w:pPr>
      <w:r>
        <w:rPr>
          <w:rFonts w:ascii="宋体" w:hAnsi="宋体" w:eastAsia="宋体" w:cs="宋体"/>
          <w:spacing w:val="2"/>
          <w:position w:val="13"/>
          <w:sz w:val="24"/>
          <w:szCs w:val="24"/>
        </w:rPr>
        <w:t>注：1.申请“不保留”的项目，免填收费例数、开展</w:t>
      </w:r>
      <w:r>
        <w:rPr>
          <w:rFonts w:ascii="宋体" w:hAnsi="宋体" w:eastAsia="宋体" w:cs="宋体"/>
          <w:spacing w:val="1"/>
          <w:position w:val="13"/>
          <w:sz w:val="24"/>
          <w:szCs w:val="24"/>
        </w:rPr>
        <w:t>医疗机构数和价格数据；</w:t>
      </w:r>
    </w:p>
    <w:p>
      <w:pPr>
        <w:ind w:left="594"/>
        <w:rPr>
          <w:sz w:val="23"/>
          <w:szCs w:val="23"/>
        </w:rPr>
      </w:pPr>
      <w:r>
        <w:rPr>
          <w:rFonts w:ascii="宋体" w:hAnsi="宋体" w:eastAsia="宋体" w:cs="宋体"/>
          <w:spacing w:val="3"/>
          <w:sz w:val="23"/>
          <w:szCs w:val="23"/>
        </w:rPr>
        <w:t xml:space="preserve">2.全市加权平均价计算公式为： </w:t>
      </w:r>
      <w:r>
        <w:rPr>
          <w:position w:val="-12"/>
          <w:sz w:val="23"/>
          <w:szCs w:val="23"/>
        </w:rPr>
        <w:drawing>
          <wp:inline distT="0" distB="0" distL="0" distR="0">
            <wp:extent cx="742315" cy="2921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0"/>
                    <a:stretch>
                      <a:fillRect/>
                    </a:stretch>
                  </pic:blipFill>
                  <pic:spPr>
                    <a:xfrm>
                      <a:off x="0" y="0"/>
                      <a:ext cx="742949" cy="292151"/>
                    </a:xfrm>
                    <a:prstGeom prst="rect">
                      <a:avLst/>
                    </a:prstGeom>
                  </pic:spPr>
                </pic:pic>
              </a:graphicData>
            </a:graphic>
          </wp:inline>
        </w:drawing>
      </w:r>
    </w:p>
    <w:p>
      <w:pPr>
        <w:spacing w:before="207" w:line="470" w:lineRule="exact"/>
        <w:ind w:left="1354"/>
        <w:rPr>
          <w:rFonts w:ascii="宋体" w:hAnsi="宋体" w:eastAsia="宋体" w:cs="宋体"/>
          <w:sz w:val="24"/>
          <w:szCs w:val="24"/>
        </w:rPr>
      </w:pPr>
      <w:r>
        <w:rPr>
          <w:rFonts w:ascii="宋体" w:hAnsi="宋体" w:eastAsia="宋体" w:cs="宋体"/>
          <w:spacing w:val="5"/>
          <w:position w:val="17"/>
          <w:sz w:val="27"/>
          <w:szCs w:val="27"/>
        </w:rPr>
        <w:t xml:space="preserve">F: </w:t>
      </w:r>
      <w:r>
        <w:rPr>
          <w:rFonts w:ascii="宋体" w:hAnsi="宋体" w:eastAsia="宋体" w:cs="宋体"/>
          <w:spacing w:val="5"/>
          <w:position w:val="17"/>
          <w:sz w:val="24"/>
          <w:szCs w:val="24"/>
        </w:rPr>
        <w:t>地市所有医疗机构某新增医疗服务项目平均价格</w:t>
      </w:r>
    </w:p>
    <w:p>
      <w:pPr>
        <w:spacing w:before="1" w:line="217" w:lineRule="auto"/>
        <w:ind w:left="1354"/>
        <w:rPr>
          <w:rFonts w:ascii="宋体" w:hAnsi="宋体" w:eastAsia="宋体" w:cs="宋体"/>
          <w:sz w:val="23"/>
          <w:szCs w:val="23"/>
        </w:rPr>
      </w:pPr>
      <w:r>
        <w:rPr>
          <w:rFonts w:ascii="宋体" w:hAnsi="宋体" w:eastAsia="宋体" w:cs="宋体"/>
          <w:spacing w:val="14"/>
          <w:sz w:val="23"/>
          <w:szCs w:val="23"/>
        </w:rPr>
        <w:t>A: 某医疗机构该项目定价</w:t>
      </w:r>
    </w:p>
    <w:p>
      <w:pPr>
        <w:spacing w:before="199" w:line="219" w:lineRule="auto"/>
        <w:ind w:left="1364"/>
        <w:rPr>
          <w:rFonts w:ascii="宋体" w:hAnsi="宋体" w:eastAsia="宋体" w:cs="宋体"/>
          <w:sz w:val="23"/>
          <w:szCs w:val="23"/>
        </w:rPr>
      </w:pPr>
      <w:r>
        <w:rPr>
          <w:rFonts w:ascii="Times New Roman" w:hAnsi="Times New Roman" w:eastAsia="Times New Roman" w:cs="Times New Roman"/>
          <w:spacing w:val="15"/>
          <w:sz w:val="23"/>
          <w:szCs w:val="23"/>
        </w:rPr>
        <w:t xml:space="preserve">B:  </w:t>
      </w:r>
      <w:r>
        <w:rPr>
          <w:rFonts w:ascii="宋体" w:hAnsi="宋体" w:eastAsia="宋体" w:cs="宋体"/>
          <w:spacing w:val="15"/>
          <w:sz w:val="23"/>
          <w:szCs w:val="23"/>
        </w:rPr>
        <w:t>某医疗机构一年开展该项目例数</w:t>
      </w:r>
    </w:p>
    <w:p>
      <w:pPr>
        <w:spacing w:before="207" w:line="219" w:lineRule="auto"/>
        <w:ind w:left="1364"/>
        <w:rPr>
          <w:rFonts w:ascii="宋体" w:hAnsi="宋体" w:eastAsia="宋体" w:cs="宋体"/>
          <w:sz w:val="23"/>
          <w:szCs w:val="23"/>
        </w:rPr>
      </w:pPr>
      <w:r>
        <w:rPr>
          <w:rFonts w:ascii="Times New Roman" w:hAnsi="Times New Roman" w:eastAsia="Times New Roman" w:cs="Times New Roman"/>
          <w:spacing w:val="14"/>
          <w:sz w:val="23"/>
          <w:szCs w:val="23"/>
        </w:rPr>
        <w:t xml:space="preserve">N:  </w:t>
      </w:r>
      <w:r>
        <w:rPr>
          <w:rFonts w:ascii="宋体" w:hAnsi="宋体" w:eastAsia="宋体" w:cs="宋体"/>
          <w:spacing w:val="14"/>
          <w:sz w:val="23"/>
          <w:szCs w:val="23"/>
        </w:rPr>
        <w:t>某市各医疗机构开展该项目例数总和</w:t>
      </w:r>
    </w:p>
    <w:p>
      <w:pPr>
        <w:spacing w:before="196" w:line="216" w:lineRule="auto"/>
        <w:ind w:left="1344"/>
        <w:rPr>
          <w:rFonts w:ascii="宋体" w:hAnsi="宋体" w:eastAsia="宋体" w:cs="宋体"/>
          <w:sz w:val="23"/>
          <w:szCs w:val="23"/>
        </w:rPr>
      </w:pPr>
      <w:r>
        <w:rPr>
          <w:rFonts w:ascii="宋体" w:hAnsi="宋体" w:eastAsia="宋体" w:cs="宋体"/>
          <w:spacing w:val="16"/>
          <w:sz w:val="23"/>
          <w:szCs w:val="23"/>
        </w:rPr>
        <w:t>X:</w:t>
      </w:r>
      <w:r>
        <w:rPr>
          <w:rFonts w:ascii="宋体" w:hAnsi="宋体" w:eastAsia="宋体" w:cs="宋体"/>
          <w:spacing w:val="57"/>
          <w:sz w:val="23"/>
          <w:szCs w:val="23"/>
        </w:rPr>
        <w:t xml:space="preserve"> </w:t>
      </w:r>
      <w:r>
        <w:rPr>
          <w:rFonts w:ascii="宋体" w:hAnsi="宋体" w:eastAsia="宋体" w:cs="宋体"/>
          <w:spacing w:val="16"/>
          <w:sz w:val="23"/>
          <w:szCs w:val="23"/>
        </w:rPr>
        <w:t>某市医疗机构数(1,2,3…x,如医疗机构总数为5,</w:t>
      </w:r>
      <w:r>
        <w:rPr>
          <w:rFonts w:ascii="宋体" w:hAnsi="宋体" w:eastAsia="宋体" w:cs="宋体"/>
          <w:spacing w:val="-46"/>
          <w:sz w:val="23"/>
          <w:szCs w:val="23"/>
        </w:rPr>
        <w:t xml:space="preserve"> </w:t>
      </w:r>
      <w:r>
        <w:rPr>
          <w:rFonts w:ascii="宋体" w:hAnsi="宋体" w:eastAsia="宋体" w:cs="宋体"/>
          <w:spacing w:val="16"/>
          <w:sz w:val="23"/>
          <w:szCs w:val="23"/>
        </w:rPr>
        <w:t>x=5)</w:t>
      </w:r>
    </w:p>
    <w:p>
      <w:pPr>
        <w:spacing w:line="216" w:lineRule="auto"/>
        <w:rPr>
          <w:rFonts w:ascii="宋体" w:hAnsi="宋体" w:eastAsia="宋体" w:cs="宋体"/>
          <w:sz w:val="23"/>
          <w:szCs w:val="23"/>
        </w:rPr>
        <w:sectPr>
          <w:pgSz w:w="16820" w:h="12000"/>
          <w:pgMar w:top="1020" w:right="1335" w:bottom="400" w:left="1045" w:header="0" w:footer="0" w:gutter="0"/>
          <w:cols w:space="720" w:num="1"/>
        </w:sectPr>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94" w:line="222" w:lineRule="auto"/>
        <w:rPr>
          <w:rFonts w:ascii="仿宋" w:hAnsi="仿宋" w:eastAsia="仿宋" w:cs="仿宋"/>
          <w:sz w:val="29"/>
          <w:szCs w:val="29"/>
        </w:rPr>
      </w:pPr>
      <w:r>
        <w:rPr>
          <w:rFonts w:ascii="黑体" w:hAnsi="黑体" w:eastAsia="黑体" w:cs="黑体"/>
          <w:b/>
          <w:bCs/>
          <w:spacing w:val="26"/>
          <w:sz w:val="29"/>
          <w:szCs w:val="29"/>
        </w:rPr>
        <w:t>公开方式</w:t>
      </w:r>
      <w:r>
        <w:rPr>
          <w:rFonts w:ascii="仿宋" w:hAnsi="仿宋" w:eastAsia="仿宋" w:cs="仿宋"/>
          <w:b/>
          <w:bCs/>
          <w:spacing w:val="26"/>
          <w:sz w:val="29"/>
          <w:szCs w:val="29"/>
        </w:rPr>
        <w:t>：主动公开</w:t>
      </w:r>
    </w:p>
    <w:p>
      <w:pPr>
        <w:spacing w:before="111"/>
      </w:pPr>
    </w:p>
    <w:p>
      <w:pPr>
        <w:spacing w:before="111"/>
      </w:pPr>
    </w:p>
    <w:tbl>
      <w:tblPr>
        <w:tblStyle w:val="5"/>
        <w:tblW w:w="8980" w:type="dxa"/>
        <w:tblInd w:w="9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8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47" w:hRule="atLeast"/>
        </w:trPr>
        <w:tc>
          <w:tcPr>
            <w:tcW w:w="8980" w:type="dxa"/>
            <w:tcBorders>
              <w:top w:val="single" w:color="000000" w:sz="8" w:space="0"/>
              <w:bottom w:val="single" w:color="000000" w:sz="8" w:space="0"/>
            </w:tcBorders>
            <w:vAlign w:val="top"/>
          </w:tcPr>
          <w:p>
            <w:pPr>
              <w:spacing w:before="157" w:line="540" w:lineRule="exact"/>
              <w:ind w:left="460"/>
              <w:rPr>
                <w:rFonts w:ascii="仿宋" w:hAnsi="仿宋" w:eastAsia="仿宋" w:cs="仿宋"/>
                <w:sz w:val="29"/>
                <w:szCs w:val="29"/>
              </w:rPr>
            </w:pPr>
            <w:r>
              <w:rPr>
                <w:rFonts w:ascii="仿宋" w:hAnsi="仿宋" w:eastAsia="仿宋" w:cs="仿宋"/>
                <w:spacing w:val="-11"/>
                <w:position w:val="18"/>
                <w:sz w:val="29"/>
                <w:szCs w:val="29"/>
              </w:rPr>
              <w:t>抄送：国家医疗保障局办公室、省工业和信息化厅、财政厅、人力资</w:t>
            </w:r>
          </w:p>
          <w:p>
            <w:pPr>
              <w:spacing w:line="216" w:lineRule="auto"/>
              <w:ind w:left="1310"/>
              <w:rPr>
                <w:rFonts w:ascii="仿宋" w:hAnsi="仿宋" w:eastAsia="仿宋" w:cs="仿宋"/>
                <w:sz w:val="29"/>
                <w:szCs w:val="29"/>
              </w:rPr>
            </w:pPr>
            <w:r>
              <w:rPr>
                <w:rFonts w:ascii="仿宋" w:hAnsi="仿宋" w:eastAsia="仿宋" w:cs="仿宋"/>
                <w:spacing w:val="-18"/>
                <w:sz w:val="29"/>
                <w:szCs w:val="29"/>
              </w:rPr>
              <w:t>源社会保障厅、卫生健康委、市场监管局、中医药局、</w:t>
            </w:r>
            <w:r>
              <w:rPr>
                <w:rFonts w:ascii="仿宋" w:hAnsi="仿宋" w:eastAsia="仿宋" w:cs="仿宋"/>
                <w:spacing w:val="-19"/>
                <w:sz w:val="29"/>
                <w:szCs w:val="29"/>
              </w:rPr>
              <w:t>药监局。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22" w:hRule="atLeast"/>
        </w:trPr>
        <w:tc>
          <w:tcPr>
            <w:tcW w:w="8980" w:type="dxa"/>
            <w:tcBorders>
              <w:top w:val="single" w:color="000000" w:sz="8" w:space="0"/>
              <w:bottom w:val="single" w:color="000000" w:sz="8" w:space="0"/>
            </w:tcBorders>
            <w:vAlign w:val="top"/>
          </w:tcPr>
          <w:p>
            <w:pPr>
              <w:spacing w:before="139" w:line="229" w:lineRule="auto"/>
              <w:ind w:left="460"/>
              <w:rPr>
                <w:rFonts w:ascii="仿宋" w:hAnsi="仿宋" w:eastAsia="仿宋" w:cs="仿宋"/>
                <w:sz w:val="29"/>
                <w:szCs w:val="29"/>
              </w:rPr>
            </w:pPr>
            <w:r>
              <w:rPr>
                <w:rFonts w:ascii="仿宋" w:hAnsi="仿宋" w:eastAsia="仿宋" w:cs="仿宋"/>
                <w:spacing w:val="8"/>
                <w:position w:val="2"/>
                <w:sz w:val="29"/>
                <w:szCs w:val="29"/>
              </w:rPr>
              <w:t xml:space="preserve">广东省医疗保障局办公室              </w:t>
            </w:r>
            <w:r>
              <w:rPr>
                <w:rFonts w:ascii="仿宋" w:hAnsi="仿宋" w:eastAsia="仿宋" w:cs="仿宋"/>
                <w:spacing w:val="7"/>
                <w:position w:val="2"/>
                <w:sz w:val="29"/>
                <w:szCs w:val="29"/>
              </w:rPr>
              <w:t xml:space="preserve"> </w:t>
            </w:r>
            <w:r>
              <w:rPr>
                <w:rFonts w:ascii="仿宋" w:hAnsi="仿宋" w:eastAsia="仿宋" w:cs="仿宋"/>
                <w:spacing w:val="7"/>
                <w:position w:val="-1"/>
                <w:sz w:val="29"/>
                <w:szCs w:val="29"/>
              </w:rPr>
              <w:t>2024年4月12日印发</w:t>
            </w:r>
          </w:p>
        </w:tc>
      </w:tr>
    </w:tbl>
    <w:p>
      <w:pPr>
        <w:pStyle w:val="2"/>
      </w:pPr>
    </w:p>
    <w:sectPr>
      <w:pgSz w:w="11830" w:h="16700"/>
      <w:pgMar w:top="1419" w:right="1410" w:bottom="400" w:left="134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8009"/>
      <w:rPr>
        <w:rFonts w:ascii="宋体" w:hAnsi="宋体" w:eastAsia="宋体" w:cs="宋体"/>
        <w:sz w:val="32"/>
        <w:szCs w:val="32"/>
      </w:rPr>
    </w:pPr>
    <w:r>
      <w:rPr>
        <w:rFonts w:ascii="宋体" w:hAnsi="宋体" w:eastAsia="宋体" w:cs="宋体"/>
        <w:spacing w:val="-4"/>
        <w:sz w:val="32"/>
        <w:szCs w:val="32"/>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20"/>
      </w:tabs>
      <w:spacing w:line="175"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39"/>
        <w:sz w:val="22"/>
        <w:szCs w:val="22"/>
      </w:rPr>
      <w:t xml:space="preserve"> </w:t>
    </w:r>
    <w:r>
      <w:rPr>
        <w:rFonts w:ascii="宋体" w:hAnsi="宋体" w:eastAsia="宋体" w:cs="宋体"/>
        <w:spacing w:val="-9"/>
        <w:sz w:val="22"/>
        <w:szCs w:val="22"/>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680"/>
      <w:rPr>
        <w:rFonts w:ascii="宋体" w:hAnsi="宋体" w:eastAsia="宋体" w:cs="宋体"/>
        <w:sz w:val="31"/>
        <w:szCs w:val="31"/>
      </w:rPr>
    </w:pPr>
    <w:r>
      <w:rPr>
        <w:rFonts w:ascii="宋体" w:hAnsi="宋体" w:eastAsia="宋体" w:cs="宋体"/>
        <w:spacing w:val="-3"/>
        <w:sz w:val="31"/>
        <w:szCs w:val="31"/>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385"/>
      <w:rPr>
        <w:rFonts w:ascii="宋体" w:hAnsi="宋体" w:eastAsia="宋体" w:cs="宋体"/>
        <w:sz w:val="15"/>
        <w:szCs w:val="15"/>
      </w:rPr>
    </w:pPr>
    <w:r>
      <w:rPr>
        <w:rFonts w:ascii="宋体" w:hAnsi="宋体" w:eastAsia="宋体" w:cs="宋体"/>
        <w:sz w:val="15"/>
        <w:szCs w:val="15"/>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85"/>
      <w:rPr>
        <w:rFonts w:ascii="宋体" w:hAnsi="宋体" w:eastAsia="宋体" w:cs="宋体"/>
        <w:sz w:val="14"/>
        <w:szCs w:val="14"/>
      </w:rPr>
    </w:pPr>
    <w:r>
      <w:rPr>
        <w:rFonts w:ascii="宋体" w:hAnsi="宋体" w:eastAsia="宋体" w:cs="宋体"/>
        <w:sz w:val="14"/>
        <w:szCs w:val="14"/>
      </w:rPr>
      <w:t>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364"/>
      <w:rPr>
        <w:rFonts w:ascii="宋体" w:hAnsi="宋体" w:eastAsia="宋体" w:cs="宋体"/>
        <w:sz w:val="15"/>
        <w:szCs w:val="15"/>
      </w:rPr>
    </w:pPr>
    <w:r>
      <w:rPr>
        <w:rFonts w:ascii="宋体" w:hAnsi="宋体" w:eastAsia="宋体" w:cs="宋体"/>
        <w:sz w:val="15"/>
        <w:szCs w:val="15"/>
      </w:rPr>
      <w:t>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91"/>
      <w:rPr>
        <w:rFonts w:ascii="宋体" w:hAnsi="宋体" w:eastAsia="宋体" w:cs="宋体"/>
        <w:sz w:val="14"/>
        <w:szCs w:val="14"/>
      </w:rPr>
    </w:pPr>
    <w:r>
      <w:rPr>
        <w:rFonts w:ascii="宋体" w:hAnsi="宋体" w:eastAsia="宋体" w:cs="宋体"/>
        <w:sz w:val="14"/>
        <w:szCs w:val="14"/>
      </w:rPr>
      <w:t>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64"/>
      <w:rPr>
        <w:rFonts w:ascii="宋体" w:hAnsi="宋体" w:eastAsia="宋体" w:cs="宋体"/>
        <w:sz w:val="14"/>
        <w:szCs w:val="14"/>
      </w:rPr>
    </w:pPr>
    <w:r>
      <w:rPr>
        <w:rFonts w:ascii="宋体" w:hAnsi="宋体" w:eastAsia="宋体" w:cs="宋体"/>
        <w:sz w:val="14"/>
        <w:szCs w:val="14"/>
      </w:rPr>
      <w:t>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54"/>
      <w:rPr>
        <w:rFonts w:ascii="宋体" w:hAnsi="宋体" w:eastAsia="宋体" w:cs="宋体"/>
        <w:sz w:val="14"/>
        <w:szCs w:val="14"/>
      </w:rPr>
    </w:pPr>
    <w:r>
      <w:rPr>
        <w:rFonts w:ascii="宋体" w:hAnsi="宋体" w:eastAsia="宋体" w:cs="宋体"/>
        <w:sz w:val="14"/>
        <w:szCs w:val="14"/>
      </w:rPr>
      <w:t>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94"/>
      <w:rPr>
        <w:rFonts w:ascii="宋体" w:hAnsi="宋体" w:eastAsia="宋体" w:cs="宋体"/>
        <w:sz w:val="14"/>
        <w:szCs w:val="14"/>
      </w:rPr>
    </w:pPr>
    <w:r>
      <w:rPr>
        <w:rFonts w:ascii="宋体" w:hAnsi="宋体" w:eastAsia="宋体" w:cs="宋体"/>
        <w:sz w:val="14"/>
        <w:szCs w:val="14"/>
      </w:rPr>
      <w:t>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4394"/>
      <w:rPr>
        <w:rFonts w:ascii="方正姚体" w:hAnsi="方正姚体" w:eastAsia="方正姚体" w:cs="方正姚体"/>
        <w:sz w:val="14"/>
        <w:szCs w:val="14"/>
      </w:rPr>
    </w:pPr>
    <w:r>
      <w:rPr>
        <w:rFonts w:ascii="方正姚体" w:hAnsi="方正姚体" w:eastAsia="方正姚体" w:cs="方正姚体"/>
        <w:sz w:val="14"/>
        <w:szCs w:val="14"/>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39"/>
      </w:tabs>
      <w:spacing w:line="174" w:lineRule="auto"/>
      <w:rPr>
        <w:rFonts w:ascii="宋体" w:hAnsi="宋体" w:eastAsia="宋体" w:cs="宋体"/>
        <w:sz w:val="22"/>
        <w:szCs w:val="22"/>
      </w:rPr>
    </w:pPr>
    <w:r>
      <w:rPr>
        <w:rFonts w:ascii="宋体" w:hAnsi="宋体" w:eastAsia="宋体" w:cs="宋体"/>
        <w:sz w:val="22"/>
        <w:szCs w:val="22"/>
        <w:u w:val="single" w:color="auto"/>
      </w:rPr>
      <w:tab/>
    </w:r>
    <w:r>
      <w:rPr>
        <w:rFonts w:ascii="宋体" w:hAnsi="宋体" w:eastAsia="宋体" w:cs="宋体"/>
        <w:spacing w:val="-79"/>
        <w:sz w:val="22"/>
        <w:szCs w:val="22"/>
      </w:rPr>
      <w:t xml:space="preserve"> </w:t>
    </w:r>
    <w:r>
      <w:rPr>
        <w:rFonts w:ascii="宋体" w:hAnsi="宋体" w:eastAsia="宋体" w:cs="宋体"/>
        <w:spacing w:val="-12"/>
        <w:sz w:val="22"/>
        <w:szCs w:val="22"/>
      </w:rPr>
      <w:t>2</w:t>
    </w:r>
    <w:r>
      <w:rPr>
        <w:rFonts w:ascii="宋体" w:hAnsi="宋体" w:eastAsia="宋体" w:cs="宋体"/>
        <w:spacing w:val="-19"/>
        <w:sz w:val="22"/>
        <w:szCs w:val="22"/>
      </w:rPr>
      <w:t xml:space="preserve"> </w:t>
    </w:r>
    <w:r>
      <w:rPr>
        <w:rFonts w:ascii="宋体" w:hAnsi="宋体" w:eastAsia="宋体" w:cs="宋体"/>
        <w:sz w:val="22"/>
        <w:szCs w:val="22"/>
        <w:u w:val="single" w:color="auto"/>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74"/>
      <w:rPr>
        <w:rFonts w:ascii="宋体" w:hAnsi="宋体" w:eastAsia="宋体" w:cs="宋体"/>
        <w:sz w:val="14"/>
        <w:szCs w:val="14"/>
      </w:rPr>
    </w:pPr>
    <w:r>
      <w:rPr>
        <w:rFonts w:ascii="宋体" w:hAnsi="宋体" w:eastAsia="宋体" w:cs="宋体"/>
        <w:sz w:val="14"/>
        <w:szCs w:val="14"/>
      </w:rPr>
      <w:t>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6994"/>
      <w:rPr>
        <w:rFonts w:ascii="宋体" w:hAnsi="宋体" w:eastAsia="宋体" w:cs="宋体"/>
        <w:sz w:val="14"/>
        <w:szCs w:val="14"/>
      </w:rPr>
    </w:pPr>
    <w:r>
      <w:rPr>
        <w:rFonts w:ascii="宋体" w:hAnsi="宋体" w:eastAsia="宋体" w:cs="宋体"/>
        <w:spacing w:val="-4"/>
        <w:sz w:val="14"/>
        <w:szCs w:val="14"/>
      </w:rPr>
      <w:t>10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970"/>
      <w:rPr>
        <w:rFonts w:ascii="仿宋" w:hAnsi="仿宋" w:eastAsia="仿宋" w:cs="仿宋"/>
        <w:sz w:val="14"/>
        <w:szCs w:val="14"/>
      </w:rPr>
    </w:pPr>
    <w:r>
      <w:rPr>
        <w:rFonts w:ascii="仿宋" w:hAnsi="仿宋" w:eastAsia="仿宋" w:cs="仿宋"/>
        <w:spacing w:val="-4"/>
        <w:sz w:val="14"/>
        <w:szCs w:val="14"/>
      </w:rPr>
      <w:t>11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6950"/>
      <w:rPr>
        <w:rFonts w:ascii="仿宋" w:hAnsi="仿宋" w:eastAsia="仿宋" w:cs="仿宋"/>
        <w:sz w:val="14"/>
        <w:szCs w:val="14"/>
      </w:rPr>
    </w:pPr>
    <w:r>
      <w:rPr>
        <w:rFonts w:ascii="仿宋" w:hAnsi="仿宋" w:eastAsia="仿宋" w:cs="仿宋"/>
        <w:spacing w:val="-4"/>
        <w:sz w:val="14"/>
        <w:szCs w:val="14"/>
      </w:rPr>
      <w:t>12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7094"/>
      <w:rPr>
        <w:rFonts w:ascii="宋体" w:hAnsi="宋体" w:eastAsia="宋体" w:cs="宋体"/>
        <w:sz w:val="15"/>
        <w:szCs w:val="15"/>
      </w:rPr>
    </w:pPr>
    <w:r>
      <w:rPr>
        <w:rFonts w:ascii="宋体" w:hAnsi="宋体" w:eastAsia="宋体" w:cs="宋体"/>
        <w:spacing w:val="-5"/>
        <w:sz w:val="15"/>
        <w:szCs w:val="15"/>
      </w:rPr>
      <w:t>13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39"/>
      <w:rPr>
        <w:rFonts w:ascii="仿宋" w:hAnsi="仿宋" w:eastAsia="仿宋" w:cs="仿宋"/>
        <w:sz w:val="14"/>
        <w:szCs w:val="14"/>
      </w:rPr>
    </w:pPr>
    <w:r>
      <w:rPr>
        <w:rFonts w:ascii="仿宋" w:hAnsi="仿宋" w:eastAsia="仿宋" w:cs="仿宋"/>
        <w:spacing w:val="-4"/>
        <w:sz w:val="14"/>
        <w:szCs w:val="14"/>
      </w:rPr>
      <w:t>14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ind w:left="4116"/>
      <w:rPr>
        <w:rFonts w:ascii="宋体" w:hAnsi="宋体" w:eastAsia="宋体" w:cs="宋体"/>
        <w:sz w:val="14"/>
        <w:szCs w:val="14"/>
      </w:rPr>
    </w:pPr>
    <w:r>
      <w:rPr>
        <w:rFonts w:ascii="宋体" w:hAnsi="宋体" w:eastAsia="宋体" w:cs="宋体"/>
        <w:spacing w:val="-4"/>
        <w:sz w:val="14"/>
        <w:szCs w:val="14"/>
      </w:rPr>
      <w:t>15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130"/>
      </w:tabs>
      <w:spacing w:line="178" w:lineRule="auto"/>
      <w:ind w:left="7820"/>
      <w:rPr>
        <w:rFonts w:ascii="宋体" w:hAnsi="宋体" w:eastAsia="宋体" w:cs="宋体"/>
        <w:sz w:val="38"/>
        <w:szCs w:val="38"/>
      </w:rPr>
    </w:pPr>
    <w:r>
      <w:rPr>
        <w:rFonts w:ascii="宋体" w:hAnsi="宋体" w:eastAsia="宋体" w:cs="宋体"/>
        <w:sz w:val="38"/>
        <w:szCs w:val="38"/>
        <w:u w:val="single" w:color="auto"/>
      </w:rPr>
      <w:tab/>
    </w:r>
    <w:r>
      <w:rPr>
        <w:rFonts w:ascii="宋体" w:hAnsi="宋体" w:eastAsia="宋体" w:cs="宋体"/>
        <w:spacing w:val="-174"/>
        <w:sz w:val="38"/>
        <w:szCs w:val="38"/>
      </w:rPr>
      <w:t xml:space="preserve"> </w:t>
    </w:r>
    <w:r>
      <w:rPr>
        <w:rFonts w:ascii="宋体" w:hAnsi="宋体" w:eastAsia="宋体" w:cs="宋体"/>
        <w:b/>
        <w:bCs/>
        <w:spacing w:val="-16"/>
        <w:sz w:val="38"/>
        <w:szCs w:val="38"/>
      </w:rPr>
      <w:t>3</w:t>
    </w:r>
    <w:r>
      <w:rPr>
        <w:rFonts w:ascii="宋体" w:hAnsi="宋体" w:eastAsia="宋体" w:cs="宋体"/>
        <w:spacing w:val="12"/>
        <w:sz w:val="38"/>
        <w:szCs w:val="38"/>
      </w:rPr>
      <w:t xml:space="preserve"> </w:t>
    </w:r>
    <w:r>
      <w:rPr>
        <w:rFonts w:ascii="宋体" w:hAnsi="宋体" w:eastAsia="宋体" w:cs="宋体"/>
        <w:b/>
        <w:bCs/>
        <w:spacing w:val="-16"/>
        <w:sz w:val="38"/>
        <w:szCs w:val="3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r>
      <w:rPr>
        <w:rFonts w:ascii="宋体" w:hAnsi="宋体" w:eastAsia="宋体" w:cs="宋体"/>
        <w:spacing w:val="-4"/>
        <w:sz w:val="30"/>
        <w:szCs w:val="30"/>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139"/>
      </w:tabs>
      <w:spacing w:line="174" w:lineRule="auto"/>
      <w:ind w:left="780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9"/>
        <w:sz w:val="24"/>
        <w:szCs w:val="24"/>
      </w:rPr>
      <w:t xml:space="preserve"> </w:t>
    </w:r>
    <w:r>
      <w:rPr>
        <w:rFonts w:ascii="宋体" w:hAnsi="宋体" w:eastAsia="宋体" w:cs="宋体"/>
        <w:spacing w:val="-8"/>
        <w:sz w:val="24"/>
        <w:szCs w:val="24"/>
      </w:rPr>
      <w:t>5</w:t>
    </w:r>
    <w:r>
      <w:rPr>
        <w:rFonts w:ascii="宋体" w:hAnsi="宋体" w:eastAsia="宋体" w:cs="宋体"/>
        <w:spacing w:val="75"/>
        <w:sz w:val="24"/>
        <w:szCs w:val="24"/>
      </w:rPr>
      <w:t xml:space="preserve"> </w:t>
    </w:r>
    <w:r>
      <w:rPr>
        <w:rFonts w:ascii="宋体" w:hAnsi="宋体" w:eastAsia="宋体" w:cs="宋体"/>
        <w:spacing w:val="-8"/>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40"/>
      </w:tabs>
      <w:spacing w:line="172"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6"/>
        <w:sz w:val="21"/>
        <w:szCs w:val="21"/>
      </w:rPr>
      <w:t xml:space="preserve"> </w:t>
    </w:r>
    <w:r>
      <w:rPr>
        <w:rFonts w:ascii="宋体" w:hAnsi="宋体" w:eastAsia="宋体" w:cs="宋体"/>
        <w:spacing w:val="-10"/>
        <w:sz w:val="21"/>
        <w:szCs w:val="21"/>
      </w:rPr>
      <w:t xml:space="preserve">6 </w:t>
    </w:r>
    <w:r>
      <w:rPr>
        <w:rFonts w:ascii="宋体" w:hAnsi="宋体" w:eastAsia="宋体" w:cs="宋体"/>
        <w:sz w:val="21"/>
        <w:szCs w:val="21"/>
        <w:u w:val="single" w:color="auto"/>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119"/>
      </w:tabs>
      <w:spacing w:before="1" w:line="175" w:lineRule="auto"/>
      <w:ind w:left="7809"/>
      <w:rPr>
        <w:rFonts w:ascii="宋体" w:hAnsi="宋体" w:eastAsia="宋体" w:cs="宋体"/>
        <w:sz w:val="31"/>
        <w:szCs w:val="31"/>
      </w:rPr>
    </w:pPr>
    <w:r>
      <w:rPr>
        <w:rFonts w:ascii="宋体" w:hAnsi="宋体" w:eastAsia="宋体" w:cs="宋体"/>
        <w:sz w:val="31"/>
        <w:szCs w:val="31"/>
        <w:u w:val="single" w:color="auto"/>
      </w:rPr>
      <w:tab/>
    </w:r>
    <w:r>
      <w:rPr>
        <w:rFonts w:ascii="宋体" w:hAnsi="宋体" w:eastAsia="宋体" w:cs="宋体"/>
        <w:spacing w:val="-139"/>
        <w:sz w:val="31"/>
        <w:szCs w:val="31"/>
      </w:rPr>
      <w:t xml:space="preserve"> </w:t>
    </w:r>
    <w:r>
      <w:rPr>
        <w:rFonts w:ascii="宋体" w:hAnsi="宋体" w:eastAsia="宋体" w:cs="宋体"/>
        <w:b/>
        <w:bCs/>
        <w:spacing w:val="-14"/>
        <w:sz w:val="31"/>
        <w:szCs w:val="31"/>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r>
      <w:rPr>
        <w:rFonts w:ascii="宋体" w:hAnsi="宋体" w:eastAsia="宋体" w:cs="宋体"/>
        <w:spacing w:val="-4"/>
        <w:sz w:val="30"/>
        <w:szCs w:val="30"/>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884"/>
      <w:rPr>
        <w:rFonts w:ascii="宋体" w:hAnsi="宋体" w:eastAsia="宋体" w:cs="宋体"/>
        <w:sz w:val="30"/>
        <w:szCs w:val="30"/>
      </w:rPr>
    </w:pPr>
    <w:r>
      <w:rPr>
        <w:rFonts w:ascii="宋体" w:hAnsi="宋体" w:eastAsia="宋体" w:cs="宋体"/>
        <w:b/>
        <w:bCs/>
        <w:spacing w:val="-7"/>
        <w:sz w:val="30"/>
        <w:szCs w:val="3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c5YTBiNjMyNTgxYjY1YWQ2ZTg4NWI1MTZkYmM1YmQifQ=="/>
  </w:docVars>
  <w:rsids>
    <w:rsidRoot w:val="00000000"/>
    <w:rsid w:val="0A5F04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8.png"/><Relationship Id="rId4" Type="http://schemas.openxmlformats.org/officeDocument/2006/relationships/endnotes" Target="endnotes.xml"/><Relationship Id="rId39" Type="http://schemas.openxmlformats.org/officeDocument/2006/relationships/image" Target="media/image7.png"/><Relationship Id="rId38" Type="http://schemas.openxmlformats.org/officeDocument/2006/relationships/image" Target="media/image6.png"/><Relationship Id="rId37" Type="http://schemas.openxmlformats.org/officeDocument/2006/relationships/image" Target="media/image5.png"/><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2024-05-10T09:34:00Z</dcterms:created>
  <dc:creator>ZQ</dc:creator>
  <cp:lastModifiedBy>WPS_1627115783</cp:lastModifiedBy>
  <dcterms:modified xsi:type="dcterms:W3CDTF">2024-05-10T01:35:37Z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2024-05-10T09:34:52Z</vt:filetime>
  </property>
  <property fmtid="{D5CDD505-2E9C-101B-9397-08002B2CF9AE}" pid="4" name="UsrData">
    <vt:lpwstr>663d79b52cbef5001fb6bfbbwl</vt:lpwstr>
  </property>
  <property fmtid="{D5CDD505-2E9C-101B-9397-08002B2CF9AE}" pid="5" name="KSOProductBuildVer">
    <vt:lpwstr>2052-12.1.0.16417</vt:lpwstr>
  </property>
  <property fmtid="{D5CDD505-2E9C-101B-9397-08002B2CF9AE}" pid="6" name="ICV">
    <vt:lpwstr>B38469A921AE4296BFC13D2258CA9951_12</vt:lpwstr>
  </property>
</Properties>
</file>