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shd w:val="clear" w:color="auto" w:fill="auto"/>
        </w:rPr>
        <w:t>西藏自治区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shd w:val="clear" w:color="auto" w:fill="auto"/>
          <w:lang w:eastAsia="zh-CN"/>
        </w:rPr>
        <w:t>药品监管局外聘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shd w:val="clear" w:color="auto" w:fill="auto"/>
        </w:rPr>
        <w:t>专家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shd w:val="clear" w:color="auto" w:fill="auto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shd w:val="clear" w:color="auto" w:fill="auto"/>
        </w:rPr>
        <w:t>管理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shd w:val="clear" w:color="auto" w:fill="auto"/>
          <w:lang w:eastAsia="zh-CN"/>
        </w:rPr>
        <w:t>试行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shd w:val="clear" w:color="auto" w:fill="auto"/>
        </w:rPr>
        <w:t>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shd w:val="clear" w:color="auto" w:fill="auto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6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u w:val="none"/>
          <w:shd w:val="clear" w:color="auto" w:fill="auto"/>
        </w:rPr>
      </w:pPr>
      <w:r>
        <w:rPr>
          <w:rFonts w:hint="eastAsia" w:ascii="黑体" w:hAnsi="黑体" w:eastAsia="黑体" w:cs="黑体"/>
          <w:sz w:val="32"/>
          <w:szCs w:val="32"/>
          <w:u w:val="none"/>
          <w:shd w:val="clear" w:color="auto" w:fill="auto"/>
          <w:lang w:eastAsia="zh-CN"/>
        </w:rPr>
        <w:t>第一章</w:t>
      </w:r>
      <w:r>
        <w:rPr>
          <w:rFonts w:hint="eastAsia" w:ascii="黑体" w:hAnsi="黑体" w:eastAsia="黑体" w:cs="黑体"/>
          <w:sz w:val="32"/>
          <w:szCs w:val="32"/>
          <w:u w:val="none"/>
          <w:shd w:val="clear" w:color="auto" w:fill="auto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u w:val="none"/>
          <w:shd w:val="clear" w:color="auto" w:fill="auto"/>
        </w:rPr>
        <w:t>总</w:t>
      </w:r>
      <w:r>
        <w:rPr>
          <w:rFonts w:hint="eastAsia" w:ascii="黑体" w:hAnsi="黑体" w:eastAsia="黑体" w:cs="黑体"/>
          <w:sz w:val="32"/>
          <w:szCs w:val="32"/>
          <w:u w:val="none"/>
          <w:shd w:val="clear" w:color="auto" w:fill="auto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u w:val="none"/>
          <w:shd w:val="clear" w:color="auto" w:fill="auto"/>
        </w:rPr>
        <w:t xml:space="preserve"> 则</w:t>
      </w:r>
    </w:p>
    <w:p>
      <w:pPr>
        <w:pStyle w:val="2"/>
        <w:keepNext w:val="0"/>
        <w:keepLines w:val="0"/>
        <w:pageBreakBefore w:val="0"/>
        <w:widowControl/>
        <w:suppressLineNumbers w:val="0"/>
        <w:tabs>
          <w:tab w:val="left" w:pos="1680"/>
        </w:tabs>
        <w:kinsoku/>
        <w:wordWrap/>
        <w:overflowPunct/>
        <w:topLinePunct w:val="0"/>
        <w:bidi w:val="0"/>
        <w:spacing w:before="0" w:after="0" w:afterAutospacing="0" w:line="576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  <w:t>第一条 为了保证药</w:t>
      </w:r>
      <w:bookmarkStart w:name="_GoBack" w:id="0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  <w:t>品、医疗器械、化妆品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  <w:lang w:eastAsia="zh-CN"/>
        </w:rPr>
        <w:t>（以下统称为药品）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  <w:t>监管工作的科学、规范、公开、公平、公正，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shd w:val="clear" w:color="auto" w:fill="auto"/>
        </w:rPr>
        <w:t>充分发挥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  <w:lang w:eastAsia="zh-CN"/>
        </w:rPr>
        <w:t>西藏自治区药品监督管理局之外的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shd w:val="clear" w:color="auto" w:fill="auto"/>
        </w:rPr>
        <w:t>专家在药品监管工作中的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  <w:lang w:eastAsia="zh-CN"/>
        </w:rPr>
        <w:t>监督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shd w:val="clear" w:color="auto" w:fill="auto"/>
        </w:rPr>
        <w:t>作用，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  <w:lang w:eastAsia="zh-CN"/>
        </w:rPr>
        <w:t>提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  <w:t>高药品监管工作的质量，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shd w:val="clear" w:color="auto" w:fill="auto"/>
        </w:rPr>
        <w:t>制定本办法。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shd w:val="clear" w:color="auto" w:fill="auto"/>
          <w:lang w:val="en-US" w:eastAsia="zh-CN" w:bidi="ar"/>
        </w:rPr>
        <w:t xml:space="preserve">第二条 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u w:val="none"/>
          <w:shd w:val="clear" w:color="auto" w:fill="auto"/>
          <w:lang w:val="en-US" w:eastAsia="zh-CN" w:bidi="ar"/>
        </w:rPr>
        <w:t>本办法所称专家，是指参与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shd w:val="clear" w:color="auto" w:fill="auto"/>
          <w:lang w:val="en-US" w:eastAsia="zh-CN" w:bidi="ar"/>
        </w:rPr>
        <w:t>我区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u w:val="none"/>
          <w:shd w:val="clear" w:color="auto" w:fill="auto"/>
          <w:lang w:val="en-US" w:eastAsia="zh-CN" w:bidi="ar"/>
        </w:rPr>
        <w:t>药品监管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shd w:val="clear" w:color="auto" w:fill="auto"/>
          <w:lang w:val="en-US" w:eastAsia="zh-CN" w:bidi="ar"/>
        </w:rPr>
        <w:t>工作中的监督检查、检验检测、监测评价、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u w:val="none"/>
          <w:shd w:val="clear" w:color="auto" w:fill="auto"/>
          <w:lang w:val="en-US" w:eastAsia="zh-CN" w:bidi="ar"/>
        </w:rPr>
        <w:t>课题研究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shd w:val="clear" w:color="auto" w:fill="auto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u w:val="none"/>
          <w:shd w:val="clear" w:color="auto" w:fill="auto"/>
          <w:lang w:val="en-US" w:eastAsia="zh-CN" w:bidi="ar"/>
        </w:rPr>
        <w:t>政策咨询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shd w:val="clear" w:color="auto" w:fill="auto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u w:val="none"/>
          <w:shd w:val="clear" w:color="auto" w:fill="auto"/>
          <w:lang w:val="en-US" w:eastAsia="zh-CN" w:bidi="ar"/>
        </w:rPr>
        <w:t>技术审评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shd w:val="clear" w:color="auto" w:fill="auto"/>
          <w:lang w:val="en-US" w:eastAsia="zh-CN" w:bidi="ar"/>
        </w:rPr>
        <w:t>、培训指导、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u w:val="none"/>
          <w:shd w:val="clear" w:color="auto" w:fill="auto"/>
          <w:lang w:val="en-US" w:eastAsia="zh-CN" w:bidi="ar"/>
        </w:rPr>
        <w:t>科普宣传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shd w:val="clear" w:color="auto" w:fill="auto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u w:val="none"/>
          <w:shd w:val="clear" w:color="auto" w:fill="auto"/>
          <w:lang w:val="en-US" w:eastAsia="zh-CN" w:bidi="ar"/>
        </w:rPr>
        <w:t>风险研判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shd w:val="clear" w:color="auto" w:fill="auto"/>
          <w:lang w:val="en-US" w:eastAsia="zh-CN" w:bidi="ar"/>
        </w:rPr>
        <w:t>等事项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u w:val="none"/>
          <w:shd w:val="clear" w:color="auto" w:fill="auto"/>
          <w:lang w:val="en-US" w:eastAsia="zh-CN" w:bidi="ar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shd w:val="clear" w:color="auto" w:fill="auto"/>
          <w:lang w:val="en-US" w:eastAsia="zh-CN" w:bidi="ar"/>
        </w:rPr>
        <w:t>并按照本办法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u w:val="none"/>
          <w:shd w:val="clear" w:color="auto" w:fill="auto"/>
          <w:lang w:val="en-US" w:eastAsia="zh-CN" w:bidi="ar"/>
        </w:rPr>
        <w:t>程序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shd w:val="clear" w:color="auto" w:fill="auto"/>
          <w:lang w:val="en-US" w:eastAsia="zh-CN" w:bidi="ar"/>
        </w:rPr>
        <w:t>遴选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u w:val="none"/>
          <w:shd w:val="clear" w:color="auto" w:fill="auto"/>
          <w:lang w:val="en-US" w:eastAsia="zh-CN" w:bidi="ar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shd w:val="clear" w:color="auto" w:fill="auto"/>
          <w:lang w:val="en-US" w:eastAsia="zh-CN" w:bidi="ar"/>
        </w:rPr>
        <w:t>经公示后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u w:val="none"/>
          <w:shd w:val="clear" w:color="auto" w:fill="auto"/>
          <w:lang w:val="en-US" w:eastAsia="zh-CN" w:bidi="ar"/>
        </w:rPr>
        <w:t>纳入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shd w:val="clear" w:color="auto" w:fill="auto"/>
          <w:lang w:val="en-US" w:eastAsia="zh-CN" w:bidi="ar"/>
        </w:rPr>
        <w:t>自治区药品监管局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u w:val="none"/>
          <w:shd w:val="clear" w:color="auto" w:fill="auto"/>
          <w:lang w:val="en-US" w:eastAsia="zh-CN" w:bidi="ar"/>
        </w:rPr>
        <w:t>专家库的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shd w:val="clear" w:color="auto" w:fill="auto"/>
          <w:lang w:val="en-US" w:eastAsia="zh-CN" w:bidi="ar"/>
        </w:rPr>
        <w:t>区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u w:val="none"/>
          <w:shd w:val="clear" w:color="auto" w:fill="auto"/>
          <w:lang w:val="en-US" w:eastAsia="zh-CN" w:bidi="ar"/>
        </w:rPr>
        <w:t>内外专家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shd w:val="clear" w:color="auto" w:fill="auto"/>
          <w:lang w:val="en-US" w:eastAsia="zh-CN" w:bidi="ar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u w:val="none"/>
          <w:shd w:val="clear" w:color="auto" w:fill="auto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u w:val="none"/>
          <w:shd w:val="clear" w:color="auto" w:fill="auto"/>
          <w:lang w:val="en-US" w:eastAsia="zh-CN" w:bidi="ar"/>
        </w:rPr>
        <w:t>第三条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shd w:val="clear" w:color="auto" w:fill="auto"/>
          <w:lang w:val="en-US" w:eastAsia="zh-CN" w:bidi="ar"/>
        </w:rPr>
        <w:t xml:space="preserve"> 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u w:val="none"/>
          <w:shd w:val="clear" w:color="auto" w:fill="auto"/>
          <w:lang w:val="en-US" w:eastAsia="zh-CN" w:bidi="ar"/>
        </w:rPr>
        <w:t>聘用专家坚持工作需要、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shd w:val="clear" w:color="auto" w:fill="auto"/>
          <w:lang w:val="en-US" w:eastAsia="zh-CN" w:bidi="ar"/>
        </w:rPr>
        <w:t>个人自愿,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u w:val="none"/>
          <w:shd w:val="clear" w:color="auto" w:fill="auto"/>
          <w:lang w:val="en-US" w:eastAsia="zh-CN" w:bidi="ar"/>
        </w:rPr>
        <w:t>严格规范、动态调整的原则。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6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u w:val="none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shd w:val="clear" w:color="auto" w:fill="auto"/>
          <w:lang w:val="en-US" w:eastAsia="zh-CN"/>
        </w:rPr>
        <w:t>第二章  遴选条件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shd w:val="clear" w:color="auto" w:fill="auto"/>
          <w:lang w:val="en-US" w:eastAsia="zh-CN" w:bidi="ar"/>
        </w:rPr>
        <w:t xml:space="preserve">第四条 遴选专家应具备以下基本条件：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shd w:val="clear" w:color="auto" w:fill="auto"/>
          <w:lang w:val="en-US" w:eastAsia="zh-CN" w:bidi="ar"/>
        </w:rPr>
        <w:t>（一）热爱祖国和人民，遵守我国宪法和法律，拥护中国共产党的领导，具备良好的政治素质和职业道德。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shd w:val="clear" w:color="auto" w:fill="auto"/>
          <w:lang w:val="en-US" w:eastAsia="zh-CN" w:bidi="ar"/>
        </w:rPr>
        <w:t xml:space="preserve">（二）坚持原则，诚实守信，廉洁奉公，作风正派，身体健康，认真负责，具有社会责任感和良好的学术道德。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shd w:val="clear" w:color="auto" w:fill="auto"/>
          <w:lang w:val="en-US" w:eastAsia="zh-CN" w:bidi="ar"/>
        </w:rPr>
        <w:t xml:space="preserve">（三）在本专业有较深造诣,熟悉本专业国内外情况，具有一定的知名度和权威，一般应具有中级以上（含中级）专业技术职称。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shd w:val="clear" w:color="auto" w:fill="auto"/>
          <w:lang w:val="en-US" w:eastAsia="zh-CN" w:bidi="ar"/>
        </w:rPr>
        <w:t xml:space="preserve">（四）熟悉有关法律法规和技术规范，具有较丰富的工作经验，能胜任相关工作。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shd w:val="clear" w:color="auto" w:fill="auto"/>
          <w:lang w:val="en-US" w:eastAsia="zh-CN" w:bidi="ar"/>
        </w:rPr>
        <w:t>（五）本人自愿，原则上年龄一般不超过70周岁。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shd w:val="clear" w:color="auto" w:fill="auto"/>
          <w:lang w:val="en-US" w:eastAsia="zh-CN" w:bidi="ar"/>
        </w:rPr>
        <w:t>（六）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u w:val="none"/>
          <w:shd w:val="clear" w:color="auto" w:fill="auto"/>
          <w:lang w:val="en-US" w:eastAsia="zh-CN" w:bidi="ar"/>
        </w:rPr>
        <w:t>法律、法规和规章规定的其他条件。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6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u w:val="none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shd w:val="clear" w:color="auto" w:fill="auto"/>
          <w:lang w:val="en-US" w:eastAsia="zh-CN"/>
        </w:rPr>
        <w:t>第三章  主要职责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shd w:val="clear" w:color="auto" w:fill="auto"/>
          <w:lang w:val="en-US" w:eastAsia="zh-CN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u w:val="none"/>
          <w:shd w:val="clear" w:color="auto" w:fill="auto"/>
          <w:lang w:val="en-US" w:eastAsia="zh-CN" w:bidi="ar"/>
        </w:rPr>
        <w:t>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shd w:val="clear" w:color="auto" w:fill="auto"/>
          <w:lang w:val="en-US" w:eastAsia="zh-CN" w:bidi="ar"/>
        </w:rPr>
        <w:t>五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u w:val="none"/>
          <w:shd w:val="clear" w:color="auto" w:fill="auto"/>
          <w:lang w:val="en-US" w:eastAsia="zh-CN" w:bidi="ar"/>
        </w:rPr>
        <w:t>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shd w:val="clear" w:color="auto" w:fill="auto"/>
          <w:lang w:val="en-US" w:eastAsia="zh-CN" w:bidi="ar"/>
        </w:rPr>
        <w:t xml:space="preserve"> 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u w:val="none"/>
          <w:shd w:val="clear" w:color="auto" w:fill="auto"/>
          <w:lang w:val="en-US" w:eastAsia="zh-CN" w:bidi="ar"/>
        </w:rPr>
        <w:t>受聘专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shd w:val="clear" w:color="auto" w:fill="auto"/>
        </w:rPr>
        <w:t>家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shd w:val="clear" w:color="auto" w:fill="auto"/>
          <w:lang w:val="en-US" w:eastAsia="zh-CN"/>
        </w:rPr>
        <w:t>主要承担以下职责：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  <w:t>（一）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shd w:val="clear" w:color="auto" w:fill="auto"/>
        </w:rPr>
        <w:t>为药品监管事业发展战略规划和重大决策提供意见建议和政策咨询，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  <w:lang w:eastAsia="zh-CN"/>
        </w:rPr>
        <w:t>参与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shd w:val="clear" w:color="auto" w:fill="auto"/>
        </w:rPr>
        <w:t>相关课题研究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  <w:lang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shd w:val="clear" w:color="auto" w:fill="auto"/>
        </w:rPr>
        <w:t>评估论证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  <w:t>调研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  <w:lang w:eastAsia="zh-CN"/>
        </w:rPr>
        <w:t>及培训指导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shd w:val="clear" w:color="auto" w:fill="auto"/>
        </w:rPr>
        <w:t>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shd w:val="clear" w:color="auto" w:fill="auto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shd w:val="clear" w:color="auto" w:fill="auto"/>
        </w:rPr>
        <w:t>（二）为药品相关法律法规及规范性文件的起草、修订等提供法律咨询意见。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shd w:val="clear" w:color="auto" w:fill="auto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  <w:lang w:eastAsia="zh-CN"/>
        </w:rPr>
        <w:t>参与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shd w:val="clear" w:color="auto" w:fill="auto"/>
        </w:rPr>
        <w:t>药品技术审评、检验检测、监督检查、监测评价、标准制修订等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  <w:lang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shd w:val="clear" w:color="auto" w:fill="auto"/>
        </w:rPr>
        <w:t>提供专业咨询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  <w:lang w:eastAsia="zh-CN"/>
        </w:rPr>
        <w:t>服务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shd w:val="clear" w:color="auto" w:fill="auto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  <w:lang w:eastAsia="zh-CN"/>
        </w:rPr>
        <w:t>参与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shd w:val="clear" w:color="auto" w:fill="auto"/>
        </w:rPr>
        <w:t>重大药品突发事件、社会公共事件等风险研判和应急处置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  <w:lang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shd w:val="clear" w:color="auto" w:fill="auto"/>
        </w:rPr>
        <w:t>提供技术咨询和决策参考。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6" w:lineRule="exact"/>
        <w:ind w:firstLine="42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shd w:val="clear" w:color="auto" w:fill="auto"/>
        </w:rPr>
      </w:pPr>
      <w:r>
        <w:rPr>
          <w:rFonts w:hint="default" w:ascii="Arial" w:hAnsi="Arial" w:eastAsia="Helvetica" w:cs="Arial"/>
          <w:color w:val="333333"/>
          <w:sz w:val="21"/>
          <w:szCs w:val="21"/>
          <w:u w:val="none"/>
          <w:shd w:val="clear" w:color="auto" w:fill="auto"/>
        </w:rPr>
        <w:t>　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shd w:val="clear" w:color="auto" w:fill="auto"/>
        </w:rPr>
        <w:t>（五）参与药品安全科普宣传活动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  <w:lang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shd w:val="clear" w:color="auto" w:fill="auto"/>
        </w:rPr>
        <w:t>传播科学药品安全知识。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6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u w:val="none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shd w:val="clear" w:color="auto" w:fill="auto"/>
          <w:lang w:val="en-US" w:eastAsia="zh-CN"/>
        </w:rPr>
        <w:t>第四章  权利义务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  <w:lang w:eastAsia="zh-CN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shd w:val="clear" w:color="auto" w:fill="auto"/>
        </w:rPr>
        <w:t>受聘专家享有以下权利: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  <w:t>（一）查阅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  <w:lang w:eastAsia="zh-CN"/>
        </w:rPr>
        <w:t>相关资料，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shd w:val="clear" w:color="auto" w:fill="auto"/>
        </w:rPr>
        <w:t>了解药品监管工作情况。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  <w:t>（二）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shd w:val="clear" w:color="auto" w:fill="auto"/>
        </w:rPr>
        <w:t>独立、充分发表个人意见与建议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  <w:t xml:space="preserve">（三）参加西藏自治区药品监督管理局组织的相关培训。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  <w:t>（四）推荐其他专家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  <w:lang w:eastAsia="zh-CN"/>
        </w:rPr>
        <w:t>人选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  <w:t xml:space="preserve">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  <w:lang w:eastAsia="zh-CN"/>
        </w:rPr>
        <w:t>根据本人意愿提出辞聘。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  <w:t>（六）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  <w:lang w:eastAsia="zh-CN"/>
        </w:rPr>
        <w:t>法律法规规定的其他权利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  <w:lang w:eastAsia="zh-CN"/>
        </w:rPr>
        <w:t xml:space="preserve">第七条 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shd w:val="clear" w:color="auto" w:fill="auto"/>
          <w:lang w:eastAsia="zh-CN"/>
        </w:rPr>
        <w:t>受聘专家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  <w:lang w:eastAsia="zh-CN"/>
        </w:rPr>
        <w:t>应履行以下义务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shd w:val="clear" w:color="auto" w:fill="auto"/>
          <w:lang w:eastAsia="zh-CN"/>
        </w:rPr>
        <w:t>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  <w:t xml:space="preserve">（一）遵守国家法律法规和本办法规定。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  <w:t>（二）保守国家秘密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  <w:lang w:eastAsia="zh-CN"/>
        </w:rPr>
        <w:t>、工作秘密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  <w:lang w:eastAsia="zh-CN"/>
        </w:rPr>
        <w:t>相对人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  <w:t>的商业秘密，对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  <w:lang w:eastAsia="zh-CN"/>
        </w:rPr>
        <w:t>接触知悉的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  <w:t>资料不得摘录、引用和外传；不得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  <w:lang w:eastAsia="zh-CN"/>
        </w:rPr>
        <w:t>擅自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  <w:t>公开本人参加会议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  <w:lang w:eastAsia="zh-CN"/>
        </w:rPr>
        <w:t>及活动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  <w:t>的身份或透露其他专家名单以及品种、日程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  <w:lang w:eastAsia="zh-CN"/>
        </w:rPr>
        <w:t>安排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  <w:t>、研究事项等；对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  <w:t>情况、意见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  <w:t xml:space="preserve">应予保密。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  <w:t>（三）按时参加会议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  <w:lang w:eastAsia="zh-CN"/>
        </w:rPr>
        <w:t>及活动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  <w:t>，并本着认真负责的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  <w:lang w:eastAsia="zh-CN"/>
        </w:rPr>
        <w:t>态度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  <w:t>和科学公正的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  <w:lang w:eastAsia="zh-CN"/>
        </w:rPr>
        <w:t>精神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  <w:t>，做出科学评价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  <w:t>提出专业意见。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  <w:t>（四）与有关单位、个人、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  <w:lang w:eastAsia="zh-CN"/>
        </w:rPr>
        <w:t>事项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  <w:t>等存在利害关系的，应主动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  <w:lang w:eastAsia="zh-CN"/>
        </w:rPr>
        <w:t>提出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  <w:t xml:space="preserve">回避。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  <w:lang w:eastAsia="zh-CN"/>
        </w:rPr>
        <w:t>参与相关工作时，应填写《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  <w:lang w:val="en-US" w:eastAsia="zh-CN"/>
        </w:rPr>
        <w:t>外聘专家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  <w:lang w:eastAsia="zh-CN"/>
        </w:rPr>
        <w:t>利害关系申明表》（附件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  <w:lang w:eastAsia="zh-CN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  <w:t>（五）由于健康及其他原因不能参与相关工作的，应及时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  <w:lang w:eastAsia="zh-CN"/>
        </w:rPr>
        <w:t>提出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  <w:lang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  <w:t xml:space="preserve">说明不能参加相关工作的理由和时限。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  <w:t>（六）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  <w:lang w:eastAsia="zh-CN"/>
        </w:rPr>
        <w:t>积极参加药品安全公益活动，不得从事损害药品监管利益和形象的活动。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  <w:lang w:eastAsia="zh-CN"/>
        </w:rPr>
        <w:t>（七）法律法规规定的其他义务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  <w:t xml:space="preserve">。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="0" w:after="0" w:afterAutospacing="0" w:line="576" w:lineRule="exact"/>
        <w:ind w:left="0" w:firstLine="0"/>
        <w:jc w:val="center"/>
        <w:textAlignment w:val="auto"/>
        <w:rPr>
          <w:rFonts w:hint="eastAsia" w:ascii="黑体" w:hAnsi="黑体" w:eastAsia="黑体" w:cs="黑体"/>
          <w:kern w:val="2"/>
          <w:sz w:val="32"/>
          <w:szCs w:val="32"/>
          <w:u w:val="none"/>
          <w:shd w:val="clear" w:color="auto" w:fill="auto"/>
          <w:lang w:val="en-US" w:eastAsia="zh-CN" w:bidi="bo-CN"/>
        </w:rPr>
      </w:pPr>
      <w:r>
        <w:rPr>
          <w:rFonts w:hint="eastAsia" w:ascii="黑体" w:hAnsi="黑体" w:eastAsia="黑体" w:cs="黑体"/>
          <w:kern w:val="2"/>
          <w:sz w:val="32"/>
          <w:szCs w:val="32"/>
          <w:u w:val="none"/>
          <w:shd w:val="clear" w:color="auto" w:fill="auto"/>
          <w:lang w:val="en-US" w:eastAsia="zh-CN" w:bidi="bo-CN"/>
        </w:rPr>
        <w:t>第五章  遴选程序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  <w:lang w:eastAsia="zh-CN"/>
        </w:rPr>
        <w:t>第八条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shd w:val="clear" w:color="auto" w:fill="auto"/>
          <w:lang w:eastAsia="zh-CN"/>
        </w:rPr>
        <w:t>专家候选人采用单位或组织推荐、牵头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  <w:lang w:eastAsia="zh-CN"/>
        </w:rPr>
        <w:t>处室或直属单位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shd w:val="clear" w:color="auto" w:fill="auto"/>
          <w:lang w:eastAsia="zh-CN"/>
        </w:rPr>
        <w:t>邀请、个人自荐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  <w:lang w:eastAsia="zh-CN"/>
        </w:rPr>
        <w:t>等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shd w:val="clear" w:color="auto" w:fill="auto"/>
          <w:lang w:eastAsia="zh-CN"/>
        </w:rPr>
        <w:t>方式产生。专家候选人为在职人员的，需经所在单位同意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  <w:lang w:eastAsia="zh-CN"/>
        </w:rPr>
        <w:t>，并填写《西藏自治区药品监管局外聘专家候选人推荐表》（附件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  <w:lang w:eastAsia="zh-CN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6" w:lineRule="exact"/>
        <w:ind w:firstLine="42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  <w:lang w:eastAsia="zh-CN"/>
        </w:rPr>
      </w:pPr>
      <w:r>
        <w:rPr>
          <w:rFonts w:hint="default" w:ascii="Arial" w:hAnsi="Arial" w:eastAsia="Helvetica" w:cs="Arial"/>
          <w:color w:val="333333"/>
          <w:sz w:val="21"/>
          <w:szCs w:val="21"/>
          <w:u w:val="none"/>
          <w:shd w:val="clear" w:color="auto" w:fill="auto"/>
        </w:rPr>
        <w:t>　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shd w:val="clear" w:color="auto" w:fill="auto"/>
          <w:lang w:eastAsia="zh-CN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  <w:lang w:eastAsia="zh-CN"/>
        </w:rPr>
        <w:t>九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shd w:val="clear" w:color="auto" w:fill="auto"/>
          <w:lang w:eastAsia="zh-CN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  <w:lang w:eastAsia="zh-CN"/>
        </w:rPr>
        <w:t>拟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shd w:val="clear" w:color="auto" w:fill="auto"/>
          <w:lang w:eastAsia="zh-CN"/>
        </w:rPr>
        <w:t>聘专家候选人需提交以下材料：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6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shd w:val="clear" w:color="auto" w:fill="auto"/>
          <w:lang w:eastAsia="zh-CN"/>
        </w:rPr>
        <w:t>　　（一）教育背景及工作简历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6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shd w:val="clear" w:color="auto" w:fill="auto"/>
          <w:lang w:eastAsia="zh-CN"/>
        </w:rPr>
        <w:t>　　（二）学历、学位及专业资格证书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6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shd w:val="clear" w:color="auto" w:fill="auto"/>
          <w:lang w:eastAsia="zh-CN"/>
        </w:rPr>
        <w:t>　　（三）研究或工作成就简况，包括学术论文、科研成果、表彰奖励等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6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shd w:val="clear" w:color="auto" w:fill="auto"/>
          <w:lang w:eastAsia="zh-CN"/>
        </w:rPr>
        <w:t>　　（四）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  <w:lang w:eastAsia="zh-CN"/>
        </w:rPr>
        <w:t>在职人员需经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shd w:val="clear" w:color="auto" w:fill="auto"/>
          <w:lang w:eastAsia="zh-CN"/>
        </w:rPr>
        <w:t>本人所在单位或其他组织出具的推荐意见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6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shd w:val="clear" w:color="auto" w:fill="auto"/>
          <w:lang w:eastAsia="zh-CN"/>
        </w:rPr>
        <w:t>　　（五）本人过去和目前在企业任职（兼职）或参与企业项目情况。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shd w:val="clear" w:color="auto" w:fill="auto"/>
          <w:lang w:eastAsia="zh-CN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  <w:lang w:eastAsia="zh-CN"/>
        </w:rPr>
        <w:t>局政工人事处负责组织专家管理工作，对资料信息的真实性及合规性进行审核，并在西藏自治区药品监督管理局官网上进行公示（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  <w:lang w:val="en-US" w:eastAsia="zh-CN"/>
        </w:rPr>
        <w:t>7个工作日）；公示无异议后，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shd w:val="clear" w:color="auto" w:fill="auto"/>
          <w:lang w:eastAsia="zh-CN"/>
        </w:rPr>
        <w:t>报分管局领导批准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  <w:lang w:eastAsia="zh-CN"/>
        </w:rPr>
        <w:t>，纳入专家库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  <w:t xml:space="preserve">。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shd w:val="clear" w:color="auto" w:fill="auto"/>
          <w:lang w:val="en-US" w:eastAsia="zh-CN"/>
        </w:rPr>
        <w:t>第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shd w:val="clear" w:color="auto" w:fill="auto"/>
          <w:lang w:eastAsia="zh-CN"/>
        </w:rPr>
        <w:t>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  <w:lang w:eastAsia="zh-CN"/>
        </w:rPr>
        <w:t>一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shd w:val="clear" w:color="auto" w:fill="auto"/>
          <w:lang w:val="en-US" w:eastAsia="zh-CN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  <w:lang w:eastAsia="zh-CN"/>
        </w:rPr>
        <w:t>有下列情况之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  <w:t>一者，经西藏自治区药品监督管理局批准，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  <w:lang w:eastAsia="zh-CN"/>
        </w:rPr>
        <w:t>退出专家库：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  <w:t>　　(一)违反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  <w:lang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  <w:t>规定和纪律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  <w:t>　　(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  <w:t>)无故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  <w:lang w:eastAsia="zh-CN"/>
        </w:rPr>
        <w:t>不参与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  <w:t>或连续三次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  <w:lang w:eastAsia="zh-CN"/>
        </w:rPr>
        <w:t>因故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  <w:t>不能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  <w:lang w:eastAsia="zh-CN"/>
        </w:rPr>
        <w:t>参与相关工作的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  <w:t>　　(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  <w:t>)不能正确履行本办法规定的职责和义务的。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6" w:lineRule="exact"/>
        <w:ind w:left="420" w:hanging="640" w:hanging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  <w:t>)因其他原因不适合参加相关工作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="0" w:after="0" w:afterAutospacing="0" w:line="576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shd w:val="clear" w:color="auto" w:fill="auto"/>
          <w:lang w:val="en-US" w:eastAsia="zh-CN" w:bidi="bo-CN"/>
        </w:rPr>
        <w:t>第十二条 专家一般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  <w:lang w:eastAsia="zh-CN"/>
        </w:rPr>
        <w:t>以现场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  <w:t>形式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  <w:lang w:eastAsia="zh-CN"/>
        </w:rPr>
        <w:t>参与相关工作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  <w:t>，也可通过书面等形式。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  <w:lang w:eastAsia="zh-CN"/>
        </w:rPr>
        <w:t>视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  <w:t>工作需要，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  <w:lang w:eastAsia="zh-CN"/>
        </w:rPr>
        <w:t>经分管局领导同意，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  <w:t>可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  <w:lang w:eastAsia="zh-CN"/>
        </w:rPr>
        <w:t>邀请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  <w:t>专家库以外的专家参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  <w:lang w:eastAsia="zh-CN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  <w:t>，提供专业咨询意见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="0" w:after="0" w:afterAutospacing="0" w:line="576" w:lineRule="exact"/>
        <w:ind w:left="0" w:firstLine="0"/>
        <w:jc w:val="center"/>
        <w:textAlignment w:val="auto"/>
        <w:rPr>
          <w:rFonts w:hint="eastAsia" w:ascii="黑体" w:hAnsi="黑体" w:eastAsia="黑体" w:cs="黑体"/>
          <w:kern w:val="2"/>
          <w:sz w:val="32"/>
          <w:szCs w:val="32"/>
          <w:u w:val="none"/>
          <w:shd w:val="clear" w:color="auto" w:fill="auto"/>
          <w:lang w:val="en-US" w:eastAsia="zh-CN" w:bidi="bo-CN"/>
        </w:rPr>
      </w:pPr>
      <w:r>
        <w:rPr>
          <w:rFonts w:hint="eastAsia" w:ascii="黑体" w:hAnsi="黑体" w:eastAsia="黑体" w:cs="黑体"/>
          <w:kern w:val="2"/>
          <w:sz w:val="32"/>
          <w:szCs w:val="32"/>
          <w:u w:val="none"/>
          <w:shd w:val="clear" w:color="auto" w:fill="auto"/>
          <w:lang w:val="en-US" w:eastAsia="zh-CN" w:bidi="bo-CN"/>
        </w:rPr>
        <w:t>第六章　经  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="0" w:after="0" w:afterAutospacing="0" w:line="576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u w:val="none"/>
          <w:shd w:val="clear" w:color="auto" w:fill="auto"/>
          <w:lang w:val="en-US" w:eastAsia="zh-CN" w:bidi="bo-CN"/>
        </w:rPr>
        <w:t>第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shd w:val="clear" w:color="auto" w:fill="auto"/>
          <w:lang w:val="en-US" w:eastAsia="zh-CN" w:bidi="bo-CN"/>
        </w:rPr>
        <w:t>十三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u w:val="none"/>
          <w:shd w:val="clear" w:color="auto" w:fill="auto"/>
          <w:lang w:val="en-US" w:eastAsia="zh-CN" w:bidi="bo-CN"/>
        </w:rPr>
        <w:t>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shd w:val="clear" w:color="auto" w:fill="auto"/>
          <w:lang w:val="en-US" w:eastAsia="zh-CN" w:bidi="bo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shd w:val="clear" w:color="auto" w:fill="auto"/>
        </w:rPr>
        <w:t>外聘专家履行相关职责而产生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  <w:lang w:eastAsia="zh-CN"/>
        </w:rPr>
        <w:t>相关费用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shd w:val="clear" w:color="auto" w:fill="auto"/>
        </w:rPr>
        <w:t>，应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  <w:lang w:eastAsia="zh-CN"/>
        </w:rPr>
        <w:t>当按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shd w:val="clear" w:color="auto" w:fill="auto"/>
        </w:rPr>
        <w:t>国家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  <w:lang w:eastAsia="zh-CN"/>
        </w:rPr>
        <w:t>、自治区和局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shd w:val="clear" w:color="auto" w:fill="auto"/>
        </w:rPr>
        <w:t>有关规定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  <w:lang w:eastAsia="zh-CN"/>
        </w:rPr>
        <w:t>支出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shd w:val="clear" w:color="auto" w:fill="auto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="0" w:after="0" w:afterAutospacing="0" w:line="576" w:lineRule="exact"/>
        <w:ind w:left="0" w:firstLine="0"/>
        <w:jc w:val="center"/>
        <w:textAlignment w:val="auto"/>
        <w:rPr>
          <w:rFonts w:hint="eastAsia" w:ascii="黑体" w:hAnsi="黑体" w:eastAsia="黑体" w:cs="黑体"/>
          <w:sz w:val="32"/>
          <w:szCs w:val="32"/>
          <w:u w:val="none"/>
          <w:shd w:val="clear" w:color="auto" w:fill="auto"/>
        </w:rPr>
      </w:pPr>
      <w:r>
        <w:rPr>
          <w:rFonts w:hint="eastAsia" w:ascii="黑体" w:hAnsi="黑体" w:eastAsia="黑体" w:cs="黑体"/>
          <w:kern w:val="2"/>
          <w:sz w:val="32"/>
          <w:szCs w:val="32"/>
          <w:u w:val="none"/>
          <w:shd w:val="clear" w:color="auto" w:fill="auto"/>
          <w:lang w:val="en-US" w:eastAsia="zh-CN" w:bidi="bo-CN"/>
        </w:rPr>
        <w:t>第七章　附　则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u w:val="none"/>
          <w:shd w:val="clear" w:color="auto" w:fill="auto"/>
          <w:lang w:val="en-US" w:eastAsia="zh-CN" w:bidi="bo-CN"/>
        </w:rPr>
        <w:t>第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shd w:val="clear" w:color="auto" w:fill="auto"/>
          <w:lang w:val="en-US" w:eastAsia="zh-CN" w:bidi="bo-CN"/>
        </w:rPr>
        <w:t>十四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u w:val="none"/>
          <w:shd w:val="clear" w:color="auto" w:fill="auto"/>
          <w:lang w:val="en-US" w:eastAsia="zh-CN" w:bidi="bo-CN"/>
        </w:rPr>
        <w:t>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shd w:val="clear" w:color="auto" w:fill="auto"/>
          <w:lang w:val="en-US" w:eastAsia="zh-CN" w:bidi="bo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  <w:t xml:space="preserve">本办法由西藏自治区药品监督管理局负责解释。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="0" w:after="0" w:afterAutospacing="0" w:line="576" w:lineRule="exact"/>
        <w:ind w:left="0" w:firstLine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shd w:val="clear" w:color="auto" w:fill="auto"/>
        </w:rPr>
        <w:t>　　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u w:val="none"/>
          <w:shd w:val="clear" w:color="auto" w:fill="auto"/>
          <w:lang w:val="en-US" w:eastAsia="zh-CN" w:bidi="bo-CN"/>
        </w:rPr>
        <w:t>第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shd w:val="clear" w:color="auto" w:fill="auto"/>
          <w:lang w:val="en-US" w:eastAsia="zh-CN" w:bidi="bo-CN"/>
        </w:rPr>
        <w:t>十五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u w:val="none"/>
          <w:shd w:val="clear" w:color="auto" w:fill="auto"/>
          <w:lang w:val="en-US" w:eastAsia="zh-CN" w:bidi="bo-CN"/>
        </w:rPr>
        <w:t>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shd w:val="clear" w:color="auto" w:fill="auto"/>
          <w:lang w:val="en-US" w:eastAsia="zh-CN" w:bidi="bo-CN"/>
        </w:rPr>
        <w:t xml:space="preserve"> 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u w:val="none"/>
          <w:shd w:val="clear" w:color="auto" w:fill="auto"/>
          <w:lang w:val="en-US" w:eastAsia="zh-CN" w:bidi="bo-CN"/>
        </w:rPr>
        <w:t>本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shd w:val="clear" w:color="auto" w:fill="auto"/>
        </w:rPr>
        <w:t>办法自印发之日起施行。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黑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BZDBT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迷你简卡通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毡笔黑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漫步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迷你简蝶语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迷你简雪峰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E-BZ+ZEODmH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0+ZEODmH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正大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藏研珠擦体">
    <w:altName w:val="DaunPenh"/>
    <w:panose1 w:val="01010100010101010101"/>
    <w:charset w:val="00"/>
    <w:family w:val="auto"/>
    <w:pitch w:val="default"/>
    <w:sig w:usb0="00000000" w:usb1="00000000" w:usb2="00000040" w:usb3="00000000" w:csb0="00000000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静蕾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隶书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铁筋隶书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铁筋隶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胖头鱼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圆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粗倩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祥隶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大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北魏楷书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书体坊王学勤钢笔行书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书体坊米芾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方正准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剪纸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北魏楷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启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喵呜体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方正藏体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粗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书宋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Britannic Bold">
    <w:panose1 w:val="020B0903060703020204"/>
    <w:charset w:val="00"/>
    <w:family w:val="auto"/>
    <w:pitch w:val="default"/>
    <w:sig w:usb0="00000003" w:usb1="00000000" w:usb2="00000000" w:usb3="00000000" w:csb0="20000001" w:csb1="00000000"/>
  </w:font>
  <w:font w:name="Broadway">
    <w:panose1 w:val="04040905080B02020502"/>
    <w:charset w:val="00"/>
    <w:family w:val="auto"/>
    <w:pitch w:val="default"/>
    <w:sig w:usb0="00000003" w:usb1="00000000" w:usb2="00000000" w:usb3="00000000" w:csb0="2000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Californian FB">
    <w:panose1 w:val="0207040306080B030204"/>
    <w:charset w:val="00"/>
    <w:family w:val="auto"/>
    <w:pitch w:val="default"/>
    <w:sig w:usb0="00000003" w:usb1="00000000" w:usb2="00000000" w:usb3="00000000" w:csb0="20000001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hiller">
    <w:panose1 w:val="04020404031007020602"/>
    <w:charset w:val="00"/>
    <w:family w:val="auto"/>
    <w:pitch w:val="default"/>
    <w:sig w:usb0="00000003" w:usb1="00000000" w:usb2="00000000" w:usb3="00000000" w:csb0="20000001" w:csb1="00000000"/>
  </w:font>
  <w:font w:name="Colonna MT">
    <w:panose1 w:val="04020805060202030203"/>
    <w:charset w:val="00"/>
    <w:family w:val="auto"/>
    <w:pitch w:val="default"/>
    <w:sig w:usb0="00000003" w:usb1="00000000" w:usb2="00000000" w:usb3="00000000" w:csb0="20000001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Bodoni MT Poster Compressed">
    <w:panose1 w:val="02070706080601050204"/>
    <w:charset w:val="00"/>
    <w:family w:val="auto"/>
    <w:pitch w:val="default"/>
    <w:sig w:usb0="00000003" w:usb1="00000000" w:usb2="00000000" w:usb3="00000000" w:csb0="2000001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方正祥隶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(正文 CS 字体)">
    <w:altName w:val="宋体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58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32"/>
      <w:lang w:val="en-US" w:eastAsia="zh-CN" w:bidi="bo-CN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2022-04-22T10:16:36Z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