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eastAsia" w:ascii="方正小标宋简体" w:hAnsi="方正小标宋简体" w:eastAsia="方正小标宋简体" w:cs="方正小标宋简体"/>
          <w:sz w:val="32"/>
          <w:szCs w:val="32"/>
          <w:lang w:val="en-US" w:eastAsia="zh-CN"/>
        </w:rPr>
      </w:pPr>
      <w:r>
        <w:rPr>
          <w:rFonts w:hint="default" w:ascii="Times New Roman" w:hAnsi="Times New Roman" w:eastAsia="黑体" w:cs="Times New Roman"/>
          <w:color w:val="000000"/>
          <w:spacing w:val="0"/>
          <w:w w:val="100"/>
          <w:kern w:val="2"/>
          <w:position w:val="0"/>
          <w:sz w:val="32"/>
          <w:szCs w:val="32"/>
          <w:lang w:val="en-US" w:eastAsia="zh-CN" w:bidi="zh-CN"/>
        </w:rPr>
        <w:t>附件</w:t>
      </w:r>
      <w:r>
        <w:rPr>
          <w:rFonts w:hint="eastAsia" w:ascii="Times New Roman" w:hAnsi="Times New Roman" w:eastAsia="黑体" w:cs="Times New Roman"/>
          <w:color w:val="000000"/>
          <w:spacing w:val="0"/>
          <w:w w:val="100"/>
          <w:kern w:val="2"/>
          <w:position w:val="0"/>
          <w:sz w:val="32"/>
          <w:szCs w:val="32"/>
          <w:lang w:val="en-US" w:eastAsia="zh-CN" w:bidi="zh-CN"/>
        </w:rPr>
        <w:t>1</w:t>
      </w:r>
    </w:p>
    <w:p>
      <w:pPr>
        <w:pStyle w:val="2"/>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2021年在长部省属医疗机构新增特需医疗服务价格项目汇总表</w:t>
      </w:r>
    </w:p>
    <w:tbl>
      <w:tblPr>
        <w:tblStyle w:val="5"/>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
        <w:gridCol w:w="995"/>
        <w:gridCol w:w="1221"/>
        <w:gridCol w:w="2270"/>
        <w:gridCol w:w="2468"/>
        <w:gridCol w:w="1283"/>
        <w:gridCol w:w="725"/>
        <w:gridCol w:w="817"/>
        <w:gridCol w:w="558"/>
        <w:gridCol w:w="1004"/>
        <w:gridCol w:w="1812"/>
        <w:gridCol w:w="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sz w:val="17"/>
                <w:szCs w:val="17"/>
                <w:u w:val="none"/>
              </w:rPr>
            </w:pPr>
            <w:r>
              <w:rPr>
                <w:rFonts w:hint="eastAsia" w:ascii="方正书宋简体" w:hAnsi="方正书宋简体" w:eastAsia="方正书宋简体" w:cs="方正书宋简体"/>
                <w:b/>
                <w:bCs/>
                <w:i w:val="0"/>
                <w:iCs w:val="0"/>
                <w:color w:val="000000"/>
                <w:kern w:val="0"/>
                <w:sz w:val="17"/>
                <w:szCs w:val="17"/>
                <w:u w:val="none"/>
                <w:lang w:val="en-US" w:eastAsia="zh-CN" w:bidi="ar"/>
              </w:rPr>
              <w:t>序号</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spacing w:val="-6"/>
                <w:sz w:val="17"/>
                <w:szCs w:val="17"/>
                <w:u w:val="none"/>
              </w:rPr>
            </w:pPr>
            <w:r>
              <w:rPr>
                <w:rFonts w:hint="eastAsia" w:ascii="方正书宋简体" w:hAnsi="方正书宋简体" w:eastAsia="方正书宋简体" w:cs="方正书宋简体"/>
                <w:b/>
                <w:bCs/>
                <w:i w:val="0"/>
                <w:iCs w:val="0"/>
                <w:color w:val="000000"/>
                <w:spacing w:val="-6"/>
                <w:kern w:val="0"/>
                <w:sz w:val="17"/>
                <w:szCs w:val="17"/>
                <w:u w:val="none"/>
                <w:lang w:val="en-US" w:eastAsia="zh-CN" w:bidi="ar"/>
              </w:rPr>
              <w:t>项目编码</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96" w:rightChars="-30"/>
              <w:jc w:val="center"/>
              <w:textAlignment w:val="center"/>
              <w:rPr>
                <w:rFonts w:hint="eastAsia" w:ascii="方正书宋简体" w:hAnsi="方正书宋简体" w:eastAsia="方正书宋简体" w:cs="方正书宋简体"/>
                <w:b/>
                <w:bCs/>
                <w:i w:val="0"/>
                <w:iCs w:val="0"/>
                <w:color w:val="000000"/>
                <w:sz w:val="17"/>
                <w:szCs w:val="17"/>
                <w:u w:val="none"/>
              </w:rPr>
            </w:pPr>
            <w:r>
              <w:rPr>
                <w:rFonts w:hint="eastAsia" w:ascii="方正书宋简体" w:hAnsi="方正书宋简体" w:eastAsia="方正书宋简体" w:cs="方正书宋简体"/>
                <w:b/>
                <w:bCs/>
                <w:i w:val="0"/>
                <w:iCs w:val="0"/>
                <w:color w:val="000000"/>
                <w:kern w:val="0"/>
                <w:sz w:val="17"/>
                <w:szCs w:val="17"/>
                <w:u w:val="none"/>
                <w:lang w:val="en-US" w:eastAsia="zh-CN" w:bidi="ar"/>
              </w:rPr>
              <w:t>项目名称</w:t>
            </w:r>
          </w:p>
        </w:tc>
        <w:tc>
          <w:tcPr>
            <w:tcW w:w="8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sz w:val="17"/>
                <w:szCs w:val="17"/>
                <w:u w:val="none"/>
              </w:rPr>
            </w:pPr>
            <w:r>
              <w:rPr>
                <w:rFonts w:hint="eastAsia" w:ascii="方正书宋简体" w:hAnsi="方正书宋简体" w:eastAsia="方正书宋简体" w:cs="方正书宋简体"/>
                <w:b/>
                <w:bCs/>
                <w:i w:val="0"/>
                <w:iCs w:val="0"/>
                <w:color w:val="000000"/>
                <w:kern w:val="0"/>
                <w:sz w:val="17"/>
                <w:szCs w:val="17"/>
                <w:u w:val="none"/>
                <w:lang w:val="en-US" w:eastAsia="zh-CN" w:bidi="ar"/>
              </w:rPr>
              <w:t>服务产出</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sz w:val="17"/>
                <w:szCs w:val="17"/>
                <w:u w:val="none"/>
              </w:rPr>
            </w:pPr>
            <w:r>
              <w:rPr>
                <w:rFonts w:hint="eastAsia" w:ascii="方正书宋简体" w:hAnsi="方正书宋简体" w:eastAsia="方正书宋简体" w:cs="方正书宋简体"/>
                <w:b/>
                <w:bCs/>
                <w:i w:val="0"/>
                <w:iCs w:val="0"/>
                <w:color w:val="000000"/>
                <w:kern w:val="0"/>
                <w:sz w:val="17"/>
                <w:szCs w:val="17"/>
                <w:u w:val="none"/>
                <w:lang w:val="en-US" w:eastAsia="zh-CN" w:bidi="ar"/>
              </w:rPr>
              <w:t>价格构成</w:t>
            </w:r>
          </w:p>
        </w:tc>
        <w:tc>
          <w:tcPr>
            <w:tcW w:w="4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sz w:val="17"/>
                <w:szCs w:val="17"/>
                <w:u w:val="none"/>
              </w:rPr>
            </w:pPr>
            <w:r>
              <w:rPr>
                <w:rFonts w:hint="eastAsia" w:ascii="方正书宋简体" w:hAnsi="方正书宋简体" w:eastAsia="方正书宋简体" w:cs="方正书宋简体"/>
                <w:b/>
                <w:bCs/>
                <w:i w:val="0"/>
                <w:iCs w:val="0"/>
                <w:color w:val="000000"/>
                <w:kern w:val="0"/>
                <w:sz w:val="17"/>
                <w:szCs w:val="17"/>
                <w:u w:val="none"/>
                <w:lang w:val="en-US" w:eastAsia="zh-CN" w:bidi="ar"/>
              </w:rPr>
              <w:t>除外内容</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sz w:val="17"/>
                <w:szCs w:val="17"/>
                <w:u w:val="none"/>
              </w:rPr>
            </w:pPr>
            <w:r>
              <w:rPr>
                <w:rFonts w:hint="eastAsia" w:ascii="方正书宋简体" w:hAnsi="方正书宋简体" w:eastAsia="方正书宋简体" w:cs="方正书宋简体"/>
                <w:b/>
                <w:bCs/>
                <w:i w:val="0"/>
                <w:iCs w:val="0"/>
                <w:color w:val="000000"/>
                <w:kern w:val="0"/>
                <w:sz w:val="17"/>
                <w:szCs w:val="17"/>
                <w:u w:val="none"/>
                <w:lang w:val="en-US" w:eastAsia="zh-CN" w:bidi="ar"/>
              </w:rPr>
              <w:t>加收项</w:t>
            </w:r>
          </w:p>
        </w:tc>
        <w:tc>
          <w:tcPr>
            <w:tcW w:w="2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sz w:val="17"/>
                <w:szCs w:val="17"/>
                <w:u w:val="none"/>
              </w:rPr>
            </w:pPr>
            <w:r>
              <w:rPr>
                <w:rFonts w:hint="eastAsia" w:ascii="方正书宋简体" w:hAnsi="方正书宋简体" w:eastAsia="方正书宋简体" w:cs="方正书宋简体"/>
                <w:b/>
                <w:bCs/>
                <w:i w:val="0"/>
                <w:iCs w:val="0"/>
                <w:color w:val="000000"/>
                <w:kern w:val="0"/>
                <w:sz w:val="17"/>
                <w:szCs w:val="17"/>
                <w:u w:val="none"/>
                <w:lang w:val="en-US" w:eastAsia="zh-CN" w:bidi="ar"/>
              </w:rPr>
              <w:t>扩展项</w:t>
            </w: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kern w:val="0"/>
                <w:sz w:val="17"/>
                <w:szCs w:val="17"/>
                <w:u w:val="none"/>
                <w:lang w:val="en-US" w:eastAsia="zh-CN" w:bidi="ar"/>
              </w:rPr>
            </w:pPr>
            <w:r>
              <w:rPr>
                <w:rFonts w:hint="eastAsia" w:ascii="方正书宋简体" w:hAnsi="方正书宋简体" w:eastAsia="方正书宋简体" w:cs="方正书宋简体"/>
                <w:b/>
                <w:bCs/>
                <w:i w:val="0"/>
                <w:iCs w:val="0"/>
                <w:color w:val="000000"/>
                <w:kern w:val="0"/>
                <w:sz w:val="17"/>
                <w:szCs w:val="17"/>
                <w:u w:val="none"/>
                <w:lang w:val="en-US" w:eastAsia="zh-CN" w:bidi="ar"/>
              </w:rPr>
              <w:t>计价</w:t>
            </w:r>
          </w:p>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sz w:val="17"/>
                <w:szCs w:val="17"/>
                <w:u w:val="none"/>
              </w:rPr>
            </w:pPr>
            <w:r>
              <w:rPr>
                <w:rFonts w:hint="eastAsia" w:ascii="方正书宋简体" w:hAnsi="方正书宋简体" w:eastAsia="方正书宋简体" w:cs="方正书宋简体"/>
                <w:b/>
                <w:bCs/>
                <w:i w:val="0"/>
                <w:iCs w:val="0"/>
                <w:color w:val="000000"/>
                <w:kern w:val="0"/>
                <w:sz w:val="17"/>
                <w:szCs w:val="17"/>
                <w:u w:val="none"/>
                <w:lang w:val="en-US" w:eastAsia="zh-CN" w:bidi="ar"/>
              </w:rPr>
              <w:t>单位</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sz w:val="17"/>
                <w:szCs w:val="17"/>
                <w:u w:val="none"/>
              </w:rPr>
            </w:pPr>
            <w:r>
              <w:rPr>
                <w:rFonts w:hint="eastAsia" w:ascii="方正书宋简体" w:hAnsi="方正书宋简体" w:eastAsia="方正书宋简体" w:cs="方正书宋简体"/>
                <w:b/>
                <w:bCs/>
                <w:i w:val="0"/>
                <w:iCs w:val="0"/>
                <w:color w:val="000000"/>
                <w:kern w:val="0"/>
                <w:sz w:val="17"/>
                <w:szCs w:val="17"/>
                <w:u w:val="none"/>
                <w:lang w:val="en-US" w:eastAsia="zh-CN" w:bidi="ar"/>
              </w:rPr>
              <w:t>计价说明</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sz w:val="17"/>
                <w:szCs w:val="17"/>
                <w:u w:val="none"/>
              </w:rPr>
            </w:pPr>
            <w:r>
              <w:rPr>
                <w:rFonts w:hint="eastAsia" w:ascii="方正书宋简体" w:hAnsi="方正书宋简体" w:eastAsia="方正书宋简体" w:cs="方正书宋简体"/>
                <w:b/>
                <w:bCs/>
                <w:i w:val="0"/>
                <w:iCs w:val="0"/>
                <w:color w:val="000000"/>
                <w:kern w:val="0"/>
                <w:sz w:val="17"/>
                <w:szCs w:val="17"/>
                <w:u w:val="none"/>
                <w:lang w:val="en-US" w:eastAsia="zh-CN" w:bidi="ar"/>
              </w:rPr>
              <w:t>申报单位</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b/>
                <w:bCs/>
                <w:i w:val="0"/>
                <w:iCs w:val="0"/>
                <w:color w:val="000000"/>
                <w:sz w:val="17"/>
                <w:szCs w:val="17"/>
                <w:u w:val="none"/>
              </w:rPr>
            </w:pPr>
            <w:r>
              <w:rPr>
                <w:rFonts w:hint="eastAsia" w:ascii="方正书宋简体" w:hAnsi="方正书宋简体" w:eastAsia="方正书宋简体" w:cs="方正书宋简体"/>
                <w:b/>
                <w:bCs/>
                <w:i w:val="0"/>
                <w:iCs w:val="0"/>
                <w:color w:val="000000"/>
                <w:kern w:val="0"/>
                <w:sz w:val="17"/>
                <w:szCs w:val="17"/>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T340100033</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盆底康复治疗</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1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通过盆底电生理治疗和生物反馈治疗，并施行对盆底支持结构的训练指导，实现患者盆底肌肉肌力的提高和恢复，改善或消除盆底功能障碍性疾病的症状。</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所定价格涵盖评估、使用仪器完成电生理治疗和生物反馈治疗，以及施</w:t>
            </w:r>
            <w:r>
              <w:rPr>
                <w:rFonts w:hint="eastAsia" w:ascii="方正书宋简体" w:hAnsi="方正书宋简体" w:eastAsia="方正书宋简体" w:cs="方正书宋简体"/>
                <w:i w:val="0"/>
                <w:iCs w:val="0"/>
                <w:color w:val="000000"/>
                <w:spacing w:val="-6"/>
                <w:kern w:val="0"/>
                <w:sz w:val="17"/>
                <w:szCs w:val="17"/>
                <w:u w:val="none"/>
                <w:lang w:val="en-US" w:eastAsia="zh-CN" w:bidi="ar"/>
              </w:rPr>
              <w:t>行对盆底支持结构的训练指导等所需要的人力资源和基本物质资源消耗，含设备投入及维护成本。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其他电极及其辅助材料（指盆底肌肉治疗头）</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left"/>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湘雅医院、湘雅二医院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T340100034</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腹直肌分离电刺激治疗</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1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通过电刺激治疗，并施行对腹部核心肌群锻炼的指导，实现产后腹直肌分离的充分恢复。</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所定价格涵盖用仪器完成仿生物电刺激治疗，以及施行对腹部核心肌群锻炼的指导等所需要的人力资源和基本物质资源消耗，含设备投入及维护成本。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left"/>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湘雅二医院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T310100039</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外科手术神经系统导航导引术</w:t>
            </w:r>
          </w:p>
        </w:tc>
        <w:tc>
          <w:tcPr>
            <w:tcW w:w="802" w:type="pct"/>
            <w:tcBorders>
              <w:top w:val="nil"/>
              <w:left w:val="nil"/>
              <w:bottom w:val="nil"/>
              <w:right w:val="nil"/>
            </w:tcBorders>
            <w:noWrap w:val="0"/>
            <w:vAlign w:val="center"/>
          </w:tcPr>
          <w:p>
            <w:pPr>
              <w:keepNext w:val="0"/>
              <w:keepLines w:val="0"/>
              <w:widowControl/>
              <w:suppressLineNumbers w:val="0"/>
              <w:spacing w:line="21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通过电脑图像处理和手术器械追踪定位技术，对患者颅内肿瘤、脑血管疾病、功能神经系统进行精准定位，提高外科疾病手术疗效、降低神经损伤风险，减少术后并发症。</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术前患者磁共振、脑血管造影、CT扫描的影像融合分析、术中头部导航框架安装、神经系统病变（靶区标记）定位，术中验证靶点精准性，术后验证切除或置管精准性及完整性等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left"/>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湘雅医院、湘雅二医院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T310605017</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电磁导航支气管镜诊疗术</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1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通过电磁导航技术引导延伸鞘管准确到达肺内病灶及纵膈、肺门淋巴结等部位，建立3D支气管树及工作通道，为活检、刷检、针吸、灌洗等检查以及微波、射频、冷冻、高频电、激光、粒子植入和放置等治疗项目提供定位标志。</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所定价格涵盖支气管树3D重建、建立工作通道等诊疗步骤的人力资源和基本物质资源消耗，含设备投入及维护成本。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其他呼吸介入材料（指定位导线）</w:t>
            </w:r>
            <w:r>
              <w:rPr>
                <w:rFonts w:hint="eastAsia" w:ascii="方正书宋简体" w:hAnsi="方正书宋简体" w:eastAsia="方正书宋简体" w:cs="方正书宋简体"/>
                <w:i w:val="0"/>
                <w:iCs w:val="0"/>
                <w:color w:val="000000"/>
                <w:spacing w:val="-6"/>
                <w:kern w:val="0"/>
                <w:sz w:val="17"/>
                <w:szCs w:val="17"/>
                <w:u w:val="none"/>
                <w:lang w:val="en-US" w:eastAsia="zh-CN" w:bidi="ar"/>
              </w:rPr>
              <w:t>、呼吸活检钳（指一次性使用活检套装）、呼吸内镜用超声引导鞘（指一次性使用延伸鞘管）</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left"/>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湘雅医院、湘雅二医院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5</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T310510013</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无回吸口腔治疗术</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1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结合精准、微创的口腔治疗技术，在牙体预备、去腐、窝洞制备及口腔颌面外科局部手术中使用该治疗术，实现物理隔离，阻断细菌和病毒（如新冠病毒、乙肝、艾滋病等）感染途径，降低交叉感染风险。</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所定价格涵盖一次性高速涡轮牙钻手机、无回吸等诊疗操作步骤的人力资源和基本物质资源消耗，含设备投入及维护成本。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left"/>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湘雅医院、湘雅二医院</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限三级甲等医院备案开展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6</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T331501063</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机器人辅助骨科手术</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使用骨科手术机器人系统在脊柱、骨盆、四肢、关节周围等部位开展骨科开放手术(含关节置换)或经皮微创手术和操作，进行手术器械或植入物的精准定位或置入。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术前手术规划、采集术中影像学资料、基于影像学资料完成手术规划、导航系统执行机构到达手术规划位置形成精准手术通道、术中实施多对象位置实时监控并进行自动动态调整，以及根据手术通道引导完成器械精准定位、植入物置入等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骨科机器人手术相关材料</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left"/>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湘雅医院、湘雅二医院</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限三级甲等医院备案开展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T340200045</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下肢康复机器人训练</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机器人辅助功能康复训练，提高肢体运动、感觉、步行能力，刺激大脑重建功能区域。</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所定价格涵盖患者训练肢体长度、围度、活动度等测量，设置机器人训练参数，转移、上机、固定、预训练、训练、监测、下机等操作步骤的人力资源和基本物质资源消耗，含设备投入及维护成本。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30分钟/次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不足30分钟按30分钟收取，每天不超过2次。</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湘雅医院、湘雅二医院</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限三级甲等医院备案开展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8</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T270700005</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高通量测序基因检测</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通过高通量测序，实现对肿瘤、病原微生物、遗传、药物基因组等相关基因信息的检测。</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对患者组织、血液，胸腹水、脑脊液、粪便、分泌物等临床标本进行核酸提取、文库构建、基因测序及生物信息学分析，出具基因检测报告，指导临床诊断与治疗等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位点</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left"/>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湘雅医院、湘雅二医院、省肿瘤医院</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限三级甲等医院备案开展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T250402073</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抗Ro52抗体测定</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使用免疫印迹法，检测血液样本中的抗Ro52抗体。</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样本采集、签收、处理，加免疫试剂、温育、检测、质控、审核结果，录入实验室信息系统或人工登记，发送报告，按规定处理废弃物，接受临床相关咨询等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0</w:t>
            </w:r>
            <w:r>
              <w:rPr>
                <w:rFonts w:hint="eastAsia" w:ascii="方正书宋简体" w:hAnsi="方正书宋简体" w:eastAsia="方正书宋简体" w:cs="方正书宋简体"/>
                <w:i w:val="0"/>
                <w:iCs w:val="0"/>
                <w:color w:val="000000"/>
                <w:spacing w:val="-6"/>
                <w:kern w:val="0"/>
                <w:sz w:val="17"/>
                <w:szCs w:val="17"/>
                <w:u w:val="none"/>
                <w:lang w:val="en-US" w:eastAsia="zh-CN" w:bidi="ar"/>
              </w:rPr>
              <w:t>1抗gp210抗体测定        02抗sp100抗体测定</w:t>
            </w: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项</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10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T250404032</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7种微小核糖核酸（microRNA）检测</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检测血浆中的7种微小核糖核酸（miR-21，miR-26a，miR-27a，miR-122，miR-192，miR-223，miR-801）。</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样本采集、签收、处理、microRNA靶标提取及反转录、与阴阳对照及质控品同时扩增、分析扩增产物，判断并审核结果，录入实验室信息系统或人工登记，发送报告，按规定处理废弃物，接受临床相关咨询等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11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T250203084</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组织纤溶酶原激活物-纤溶酶原激活物抑制剂-1复合物测定</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使用化学发光法检测血液样本中的组织纤溶酶原激活物-纤溶酶原激活物抑制剂-1复合物。</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样本采集、签收、处理，加入试剂，测定，审核结果，录入实验室信息系统或人工登记，发送报告，按规定处理废弃物，接受临床相关咨询等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项</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12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T250203085</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抗血小板抗体检测</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通过流式细胞仪法-荧光素检测血液样本中的五种自身抗体（GPIX、GPIb、GPIIb、GPIIIa和GMP140）。</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样本采集、签收、处理，加入试剂，测定，审核结果，录入实验室信息系统或人工登记，发送报告，按规定处理废弃物，接受临床相关咨询等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13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T250404033</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Septin9基因甲基化检测</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检测血液样本中的Septin9基因甲基化。</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样本采集、签收、预处理，提取模板DNA，进行DNA甲基化处理，与阴、阳性对照同时检测，分析、判断并审核检测结果，录入实验室信息系统或人工登记，发送报告；按规定处理废弃物；接受临床相关咨询等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14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T250404034</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人类SDC2基因甲基化检测</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检测人类粪便标本中的SDC2基因甲基化。</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样本采集、签收、预处理，研磨、离心收集肠道肿瘤脱落细胞，使用探针法捕获目标DNA片段，再进行重亚硫酸盐修饰，使用荧光PCR方法对目标DNA的甲基化情况进行检测，分析、判断并审核检测结果，录入实验室信息系统或人工登记，发送报告，按规定处理废弃物，接受临床相关咨询等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15</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T311000043</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选择性血浆分离</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实现建立体外循环，利用血浆分离器、成分分离器等高分子材料选择性去除致病性血浆或者血浆中某些免疫复合物、抗体、抗原、胆固醇、甘Lp(a)脂蛋白以及其他中大分子物质、致病因子。</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所定价格涵盖病人评估、管道预充、建立体外循环、二次分离血浆、回输等治疗步骤及全程巡视的人力资源和基本物质资源消耗，含设备投入及维护成本。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连续性血液滤过管路、血浆置换（分离）器及套装、血浆成分分离器、透析用临时中心静脉导管、动静脉瘘穿刺针、抗凝剂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pacing w:val="-11"/>
                <w:sz w:val="17"/>
                <w:szCs w:val="17"/>
                <w:u w:val="none"/>
              </w:rPr>
            </w:pPr>
            <w:r>
              <w:rPr>
                <w:rFonts w:hint="eastAsia" w:ascii="方正书宋简体" w:hAnsi="方正书宋简体" w:eastAsia="方正书宋简体" w:cs="方正书宋简体"/>
                <w:i w:val="0"/>
                <w:iCs w:val="0"/>
                <w:color w:val="000000"/>
                <w:spacing w:val="-11"/>
                <w:kern w:val="0"/>
                <w:sz w:val="17"/>
                <w:szCs w:val="17"/>
                <w:u w:val="none"/>
                <w:lang w:val="en-US" w:eastAsia="zh-CN" w:bidi="ar"/>
              </w:rPr>
              <w:t>01床旁出诊加收150元；02血脂清除加收50%</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湘雅医院、湘雅三医院</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限三级甲等医院备案开展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16</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T311000044</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超滤液吸附</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实现建立体外循环通过内生超滤液净化回输的模式，集对流、吸附、弥散为一体，清除普通透析不能清除的中大分子或蛋白结合类毒素，还可以清除免疫风湿及多发性骨髓瘤等疾病免疫复合物衍生物（如游离轻链），保护血细胞及血小板等有形成分不被破坏，保留人体必需营养物质，维持内环境平衡。</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所定价格涵盖病人评估、管道预充、建立体外循环、血浆分离、吸附、透析同步治疗步骤及全程巡视的人力资源和基本物质资源消耗，含设备投入及维护成本。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7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连续性血液滤过管路、血液灌流（吸附）器及套装（指超滤液灌流器）、血液透析滤过器（指双腔透析器）、血液透析滤过补液管、透析用临时中心静脉导管、动静脉瘘穿刺针、抗凝剂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pacing w:val="-11"/>
                <w:sz w:val="17"/>
                <w:szCs w:val="17"/>
                <w:u w:val="none"/>
              </w:rPr>
            </w:pPr>
            <w:r>
              <w:rPr>
                <w:rFonts w:hint="eastAsia" w:ascii="方正书宋简体" w:hAnsi="方正书宋简体" w:eastAsia="方正书宋简体" w:cs="方正书宋简体"/>
                <w:i w:val="0"/>
                <w:iCs w:val="0"/>
                <w:color w:val="000000"/>
                <w:spacing w:val="-11"/>
                <w:kern w:val="0"/>
                <w:sz w:val="17"/>
                <w:szCs w:val="17"/>
                <w:u w:val="none"/>
                <w:lang w:val="en-US" w:eastAsia="zh-CN" w:bidi="ar"/>
              </w:rPr>
              <w:t>01床旁出诊加收150元</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湘雅医院、湘雅二医院、湘雅三医院</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限三级甲等医院备案开展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17</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T311000045</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蛋白A免疫吸附治疗</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实现建立体外循环，利用蛋白A免疫吸附柱，针对性吸附血浆中的IgG、IgM、IgA，清除致病免疫球蛋白。</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所定价格涵盖病人评估、血浆分离和对患者血浆部分进行引浆、吸附、回浆、预冲、洗脱、平衡、再预冲等治疗步骤及全程巡视的人力资源及基本物质资源消耗，含设备投入及维护成本。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连续性血液滤过管路、其他血液净化耗材及附件（指吸附柱及配套溶液）、血浆置换（分离）器及套装、透析用临时中心静脉导管、动静脉瘘穿刺针、抗凝剂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01床旁出诊加收150元       02普通免疫吸附治疗减半收取</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湘雅医院、湘雅二医院</w:t>
            </w:r>
          </w:p>
        </w:tc>
        <w:tc>
          <w:tcPr>
            <w:tcW w:w="1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限三级甲等医院备案开展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18</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T270800008</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超声空化组织处理病理诊断</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通过超声空化组织处理病理诊断技术对内镜活检、穿刺活检及手术切除等多种类型组织标本进行快速处理、诊断。</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所定价格涵盖组织标本的固定、梯度脱水、透明、浸蜡等操作步骤的人力资源及基本物质资源消耗，含设备投入及维护成本。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01每增加一个部位加收50%</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部位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湘雅二医院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19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T230400011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正电子发射磁共振成像系统综合显像（PET/MR）</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3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通</w:t>
            </w:r>
            <w:r>
              <w:rPr>
                <w:rFonts w:hint="eastAsia" w:ascii="方正书宋简体" w:hAnsi="方正书宋简体" w:eastAsia="方正书宋简体" w:cs="方正书宋简体"/>
                <w:i w:val="0"/>
                <w:iCs w:val="0"/>
                <w:color w:val="000000"/>
                <w:spacing w:val="-6"/>
                <w:kern w:val="0"/>
                <w:sz w:val="17"/>
                <w:szCs w:val="17"/>
                <w:u w:val="none"/>
                <w:lang w:val="en-US" w:eastAsia="zh-CN" w:bidi="ar"/>
              </w:rPr>
              <w:t>过使用PET与MR结合的分子影像设备，采集人体组织的氢质子在磁场内共振发出的信号进行成像以及反映细胞代谢、分子表型等信息，达到形态和功能上的有机结合和优势互补。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所定价格涵盖图像记录、核素药物制备与注射、图像融合、图片打印等操作步骤的人力资源和基本物质资源消耗，含设备投入及维护成本。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核素药物，造影剂，彩色胶片</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01全身显像（指两个部位及以上）加收4000元</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部位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left"/>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省肿瘤医院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20</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pacing w:val="-6"/>
                <w:sz w:val="17"/>
                <w:szCs w:val="17"/>
                <w:u w:val="none"/>
              </w:rPr>
            </w:pPr>
            <w:r>
              <w:rPr>
                <w:rFonts w:hint="eastAsia" w:ascii="方正书宋简体" w:hAnsi="方正书宋简体" w:eastAsia="方正书宋简体" w:cs="方正书宋简体"/>
                <w:i w:val="0"/>
                <w:iCs w:val="0"/>
                <w:color w:val="000000"/>
                <w:spacing w:val="-6"/>
                <w:kern w:val="0"/>
                <w:sz w:val="17"/>
                <w:szCs w:val="17"/>
                <w:u w:val="none"/>
                <w:lang w:val="en-US" w:eastAsia="zh-CN" w:bidi="ar"/>
              </w:rPr>
              <w:t>T310701036</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96" w:rightChars="-3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无创血管内皮功能评价</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实现通过捕捉袖带阻断前后肱动脉或指端微血管（需使用探针）的血管张力变化幅度信号，自动计算出反应内皮功能的指标反应性充血指数（RHI）、校正的RHI（LnRHI）等。</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64" w:leftChars="-20" w:right="-64" w:rightChars="-20"/>
              <w:jc w:val="both"/>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所定价格涵盖受检者测量、数据分析、报告出具及健康指导等操作步骤的人力资源和基本物质资源消耗（含指端法使用探针），含设备投入及维护成本。</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both"/>
              <w:rPr>
                <w:rFonts w:hint="eastAsia" w:ascii="方正书宋简体" w:hAnsi="方正书宋简体" w:eastAsia="方正书宋简体" w:cs="方正书宋简体"/>
                <w:i w:val="0"/>
                <w:iCs w:val="0"/>
                <w:color w:val="000000"/>
                <w:sz w:val="17"/>
                <w:szCs w:val="17"/>
                <w:u w:val="none"/>
              </w:rPr>
            </w:pPr>
          </w:p>
        </w:tc>
        <w:tc>
          <w:tcPr>
            <w:tcW w:w="1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center"/>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次</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ind w:left="-64" w:leftChars="-20" w:right="-64" w:rightChars="-20"/>
              <w:jc w:val="left"/>
              <w:textAlignment w:val="center"/>
              <w:rPr>
                <w:rFonts w:hint="eastAsia" w:ascii="方正书宋简体" w:hAnsi="方正书宋简体" w:eastAsia="方正书宋简体" w:cs="方正书宋简体"/>
                <w:i w:val="0"/>
                <w:iCs w:val="0"/>
                <w:color w:val="000000"/>
                <w:sz w:val="17"/>
                <w:szCs w:val="17"/>
                <w:u w:val="none"/>
              </w:rPr>
            </w:pPr>
            <w:r>
              <w:rPr>
                <w:rFonts w:hint="eastAsia" w:ascii="方正书宋简体" w:hAnsi="方正书宋简体" w:eastAsia="方正书宋简体" w:cs="方正书宋简体"/>
                <w:i w:val="0"/>
                <w:iCs w:val="0"/>
                <w:color w:val="000000"/>
                <w:kern w:val="0"/>
                <w:sz w:val="17"/>
                <w:szCs w:val="17"/>
                <w:u w:val="none"/>
                <w:lang w:val="en-US" w:eastAsia="zh-CN" w:bidi="ar"/>
              </w:rPr>
              <w:t>湘雅三医院</w:t>
            </w:r>
          </w:p>
        </w:tc>
        <w:tc>
          <w:tcPr>
            <w:tcW w:w="17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4" w:leftChars="-20" w:right="-64" w:rightChars="-20"/>
              <w:jc w:val="center"/>
              <w:rPr>
                <w:rFonts w:hint="eastAsia" w:ascii="方正书宋简体" w:hAnsi="方正书宋简体" w:eastAsia="方正书宋简体" w:cs="方正书宋简体"/>
                <w:i w:val="0"/>
                <w:iCs w:val="0"/>
                <w:color w:val="000000"/>
                <w:sz w:val="17"/>
                <w:szCs w:val="17"/>
                <w:u w:val="none"/>
              </w:rPr>
            </w:pPr>
          </w:p>
        </w:tc>
      </w:tr>
    </w:tbl>
    <w:p>
      <w:pPr>
        <w:pStyle w:val="2"/>
        <w:spacing w:before="225" w:beforeLines="50" w:line="200" w:lineRule="atLeast"/>
        <w:ind w:left="0" w:hanging="853" w:hangingChars="500"/>
        <w:rPr>
          <w:rFonts w:hint="eastAsia" w:ascii="方正书宋简体" w:hAnsi="方正书宋简体" w:eastAsia="方正书宋简体" w:cs="方正书宋简体"/>
          <w:sz w:val="17"/>
          <w:szCs w:val="17"/>
          <w:lang w:val="en-US" w:eastAsia="zh-CN"/>
        </w:rPr>
      </w:pPr>
      <w:r>
        <w:rPr>
          <w:rFonts w:hint="eastAsia" w:ascii="方正书宋简体" w:hAnsi="方正书宋简体" w:eastAsia="方正书宋简体" w:cs="方正书宋简体"/>
          <w:b/>
          <w:bCs/>
          <w:sz w:val="17"/>
          <w:szCs w:val="17"/>
          <w:lang w:val="en-US" w:eastAsia="zh-CN"/>
        </w:rPr>
        <w:t>说明：</w:t>
      </w:r>
      <w:r>
        <w:rPr>
          <w:rFonts w:hint="eastAsia" w:ascii="方正书宋简体" w:hAnsi="方正书宋简体" w:eastAsia="方正书宋简体" w:cs="方正书宋简体"/>
          <w:sz w:val="17"/>
          <w:szCs w:val="17"/>
          <w:lang w:val="en-US" w:eastAsia="zh-CN"/>
        </w:rPr>
        <w:t>1、“价格构成”指项目价格应涵盖的各类资源消耗，用于确定计价单元的边界，不应作为临床技术标准理解，不是实际操作方式、路径、步骤、程序的强制性 要求，所列“设备投入”包括但不限于操作设备、器具及固定资产投入。</w:t>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p>
    <w:p>
      <w:pPr>
        <w:pStyle w:val="2"/>
        <w:spacing w:beforeLines="0" w:line="200" w:lineRule="atLeast"/>
        <w:ind w:left="1000" w:hanging="850" w:hangingChars="500"/>
        <w:rPr>
          <w:rFonts w:hint="eastAsia" w:ascii="方正书宋简体" w:hAnsi="方正书宋简体" w:eastAsia="方正书宋简体" w:cs="方正书宋简体"/>
          <w:sz w:val="17"/>
          <w:szCs w:val="17"/>
          <w:lang w:val="en-US" w:eastAsia="zh-CN"/>
        </w:rPr>
      </w:pPr>
      <w:r>
        <w:rPr>
          <w:rFonts w:hint="eastAsia" w:ascii="方正书宋简体" w:hAnsi="方正书宋简体" w:eastAsia="方正书宋简体" w:cs="方正书宋简体"/>
          <w:sz w:val="17"/>
          <w:szCs w:val="17"/>
          <w:lang w:val="en-US" w:eastAsia="zh-CN"/>
        </w:rPr>
        <w:t xml:space="preserve">      2、“加收项”，指同一项目以不同方式提供或在不同场景应用时，确有必要制定差异化价格标准而细分的一类子项，包括在原项目价格基础上增加收费的情况， 实际应用中，同时涉及多个加收项的，以主项目单价为基础计算各项的加收水平后，求和得出加收金额。</w:t>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p>
    <w:p>
      <w:pPr>
        <w:pStyle w:val="2"/>
        <w:spacing w:beforeLines="0" w:line="200" w:lineRule="atLeast"/>
        <w:ind w:firstLine="0" w:firstLineChars="0"/>
        <w:rPr>
          <w:rFonts w:hint="eastAsia" w:ascii="方正书宋简体" w:hAnsi="方正书宋简体" w:eastAsia="方正书宋简体" w:cs="方正书宋简体"/>
          <w:sz w:val="17"/>
          <w:szCs w:val="17"/>
          <w:lang w:val="en-US" w:eastAsia="zh-CN"/>
        </w:rPr>
      </w:pPr>
      <w:r>
        <w:rPr>
          <w:rFonts w:hint="eastAsia" w:ascii="方正书宋简体" w:hAnsi="方正书宋简体" w:eastAsia="方正书宋简体" w:cs="方正书宋简体"/>
          <w:sz w:val="17"/>
          <w:szCs w:val="17"/>
          <w:lang w:val="en-US" w:eastAsia="zh-CN"/>
        </w:rPr>
        <w:t xml:space="preserve">      3、“扩展项”，指同一项目下以不同方式提供或在不同场景应用时，只扩展价格项目适用范围、不额外加价的一类子项，子项的价格按主项目执行。</w:t>
      </w:r>
      <w:r>
        <w:rPr>
          <w:rFonts w:hint="eastAsia" w:ascii="方正书宋简体" w:hAnsi="方正书宋简体" w:eastAsia="方正书宋简体" w:cs="方正书宋简体"/>
          <w:sz w:val="17"/>
          <w:szCs w:val="17"/>
          <w:lang w:val="en-US" w:eastAsia="zh-CN"/>
        </w:rPr>
        <w:tab/>
      </w:r>
      <w:r>
        <w:rPr>
          <w:rFonts w:hint="eastAsia" w:ascii="方正书宋简体" w:hAnsi="方正书宋简体" w:eastAsia="方正书宋简体" w:cs="方正书宋简体"/>
          <w:sz w:val="17"/>
          <w:szCs w:val="17"/>
          <w:lang w:val="en-US" w:eastAsia="zh-CN"/>
        </w:rPr>
        <w:tab/>
      </w:r>
    </w:p>
    <w:p>
      <w:pPr>
        <w:pStyle w:val="2"/>
        <w:spacing w:beforeLines="0" w:line="200" w:lineRule="atLeast"/>
        <w:ind w:firstLine="0" w:firstLineChars="0"/>
        <w:rPr>
          <w:rFonts w:hint="eastAsia" w:ascii="方正书宋简体" w:hAnsi="方正书宋简体" w:eastAsia="方正书宋简体" w:cs="方正书宋简体"/>
          <w:sz w:val="17"/>
          <w:szCs w:val="17"/>
          <w:lang w:val="en-US" w:eastAsia="zh-CN"/>
        </w:rPr>
      </w:pPr>
      <w:r>
        <w:rPr>
          <w:rFonts w:hint="eastAsia" w:ascii="方正书宋简体" w:hAnsi="方正书宋简体" w:eastAsia="方正书宋简体" w:cs="方正书宋简体"/>
          <w:sz w:val="17"/>
          <w:szCs w:val="17"/>
          <w:lang w:val="en-US" w:eastAsia="zh-CN"/>
        </w:rPr>
        <w:t xml:space="preserve">      4、 基本物耗是指原则上限于不应或不必要与医疗服务项目分割的易耗品，属于医疗服务价格项目应当使用的、市场价格和使用数量相对稳定的医用耗材，包</w:t>
      </w:r>
    </w:p>
    <w:p>
      <w:pPr>
        <w:pStyle w:val="2"/>
        <w:spacing w:beforeLines="0" w:line="200" w:lineRule="atLeast"/>
        <w:ind w:firstLine="850" w:firstLineChars="500"/>
        <w:rPr>
          <w:rFonts w:hint="eastAsia" w:ascii="方正书宋简体" w:hAnsi="方正书宋简体" w:eastAsia="方正书宋简体" w:cs="方正书宋简体"/>
          <w:sz w:val="17"/>
          <w:szCs w:val="17"/>
          <w:lang w:val="en-US" w:eastAsia="zh-CN"/>
        </w:rPr>
      </w:pPr>
      <w:r>
        <w:rPr>
          <w:rFonts w:hint="eastAsia" w:ascii="方正书宋简体" w:hAnsi="方正书宋简体" w:eastAsia="方正书宋简体" w:cs="方正书宋简体"/>
          <w:sz w:val="17"/>
          <w:szCs w:val="17"/>
          <w:lang w:val="en-US" w:eastAsia="zh-CN"/>
        </w:rPr>
        <w:t>括但不限于各类消杀用品、储存用品、清洁用品、个人防护用品、针（刀）具、刮匙、垃圾处理用品、冲洗液、润滑剂、灌洗液、棉球、棉签、纱布（垫）、</w:t>
      </w:r>
    </w:p>
    <w:p>
      <w:pPr>
        <w:pStyle w:val="2"/>
        <w:spacing w:beforeLines="0" w:line="200" w:lineRule="atLeast"/>
        <w:ind w:firstLine="865" w:firstLineChars="509"/>
        <w:rPr>
          <w:rFonts w:hint="eastAsia" w:ascii="方正书宋简体" w:hAnsi="方正书宋简体" w:eastAsia="方正书宋简体" w:cs="方正书宋简体"/>
          <w:sz w:val="17"/>
          <w:szCs w:val="17"/>
          <w:lang w:val="en-US" w:eastAsia="zh-CN"/>
        </w:rPr>
      </w:pPr>
      <w:r>
        <w:rPr>
          <w:rFonts w:hint="eastAsia" w:ascii="方正书宋简体" w:hAnsi="方正书宋简体" w:eastAsia="方正书宋简体" w:cs="方正书宋简体"/>
          <w:sz w:val="17"/>
          <w:szCs w:val="17"/>
          <w:lang w:val="en-US" w:eastAsia="zh-CN"/>
        </w:rPr>
        <w:t xml:space="preserve">药线、药捻、绷带、腕带、护垫、衬垫、手术巾（单）、治疗巾（单）、治疗护理盘（包）、注射器、压舌板、防渗漏垫、标签、操作器具、冲洗工具、 </w:t>
      </w:r>
    </w:p>
    <w:p>
      <w:pPr>
        <w:pStyle w:val="2"/>
        <w:spacing w:beforeLines="0" w:line="200" w:lineRule="atLeast"/>
        <w:ind w:firstLine="865" w:firstLineChars="509"/>
        <w:rPr>
          <w:lang w:val="en-US" w:eastAsia="zh-CN"/>
        </w:rPr>
      </w:pPr>
      <w:r>
        <w:rPr>
          <w:rFonts w:hint="eastAsia" w:ascii="方正书宋简体" w:hAnsi="方正书宋简体" w:eastAsia="方正书宋简体" w:cs="方正书宋简体"/>
          <w:sz w:val="17"/>
          <w:szCs w:val="17"/>
          <w:lang w:val="en-US" w:eastAsia="zh-CN"/>
        </w:rPr>
        <w:t>备皮工具、包裹单（袋）等。基本物耗成本计入项目价格，不另行收费。除基本物耗以外的其他耗材，按照实际采购价格零差率销售。</w:t>
      </w:r>
      <w:bookmarkStart w:name="_GoBack" w:id="0"/>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905E5"/>
    <w:rsid w:val="7139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spacing w:line="240" w:lineRule="atLeast"/>
      <w:jc w:val="left"/>
    </w:pPr>
    <w:rPr>
      <w:sz w:val="18"/>
      <w:szCs w:val="18"/>
    </w:rPr>
  </w:style>
  <w:style w:type="paragraph" w:styleId="3">
    <w:name w:val="index 5"/>
    <w:basedOn w:val="1"/>
    <w:next w:val="1"/>
    <w:qFormat/>
    <w:uiPriority w:val="0"/>
    <w:pPr>
      <w:ind w:left="1680"/>
    </w:p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2021-11-30T08:30:00Z</dcterms:created>
  <dc:creator>Administrator</dc:creator>
  <cp:lastModifiedBy>Administrator</cp:lastModifiedBy>
  <dcterms:modified xsi:type="dcterms:W3CDTF">2021-11-30T08:32:08Z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9C02F9A85F5345C69DD1EF42423B258E</vt:lpwstr>
  </property>
</Properties>
</file>