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5" w:rightChars="50"/>
        <w:jc w:val="left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 xml:space="preserve">附件1.       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外聘专家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利害关系申明表</w:t>
      </w:r>
    </w:p>
    <w:tbl>
      <w:tblPr>
        <w:tblStyle w:val="3"/>
        <w:tblpPr w:leftFromText="180" w:rightFromText="180" w:vertAnchor="page" w:horzAnchor="page" w:tblpX="1252" w:tblpY="2235"/>
        <w:tblW w:w="9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3"/>
        <w:gridCol w:w="1314"/>
        <w:gridCol w:w="1350"/>
        <w:gridCol w:w="1701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1.姓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2.性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别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3.出生年月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4.职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称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5.职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bookmarkStart w:name="_GoBack" w:id="0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6.研究领域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7.工作单位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8.部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门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相关利益描述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□个人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□亲属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：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姓名及与本人关系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:</w:t>
            </w:r>
          </w:p>
        </w:tc>
        <w:tc>
          <w:tcPr>
            <w:tcW w:w="8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利益相关医药公司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医药研发单位名称：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利益类型：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□合作研发□董事或者监事□雇员□专家顾问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□投资（含股票或者债券）□补助金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津贴□商标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□专利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特许权使用费□其他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利益量级（人民币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年）：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万元以下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万—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万元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万—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50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万元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50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万元以上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相关利益描述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□个人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□亲属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：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姓名及与本人关系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:</w:t>
            </w: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利益相关医药公司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医药研发单位名称：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利益类型：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□合作研发□董事或者监事□雇员□专家顾问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□投资（含股票或者债券）□补助金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津贴□商标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□专利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特许权使用费□其他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利益量级（人民币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年）：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万元以下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万—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万元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万—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50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万元</w:t>
            </w:r>
          </w:p>
          <w:p>
            <w:pPr>
              <w:spacing w:line="240" w:lineRule="auto"/>
              <w:ind w:right="105" w:right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50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万元以上</w:t>
            </w:r>
          </w:p>
        </w:tc>
      </w:tr>
    </w:tbl>
    <w:p>
      <w:pPr>
        <w:spacing w:line="360" w:lineRule="auto"/>
        <w:ind w:right="105" w:rightChars="50" w:firstLine="3855" w:firstLineChars="1600"/>
        <w:jc w:val="both"/>
        <w:rPr>
          <w:rFonts w:hint="eastAsia"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>填表说明</w:t>
      </w:r>
    </w:p>
    <w:p>
      <w:pPr>
        <w:spacing w:line="240" w:lineRule="auto"/>
        <w:ind w:right="105" w:rightChars="50" w:firstLine="480" w:firstLineChars="200"/>
        <w:rPr>
          <w:rFonts w:hint="eastAsia"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1．专家</w:t>
      </w:r>
      <w:r>
        <w:rPr>
          <w:rFonts w:hint="eastAsia" w:ascii="楷体_GB2312" w:hAnsi="楷体_GB2312" w:eastAsia="楷体_GB2312" w:cs="楷体_GB2312"/>
          <w:color w:val="000000"/>
          <w:spacing w:val="4"/>
          <w:sz w:val="24"/>
        </w:rPr>
        <w:t>在第</w:t>
      </w:r>
      <w:r>
        <w:rPr>
          <w:rFonts w:hint="eastAsia" w:ascii="楷体_GB2312" w:hAnsi="楷体_GB2312" w:eastAsia="楷体_GB2312" w:cs="楷体_GB2312"/>
          <w:color w:val="000000"/>
          <w:spacing w:val="4"/>
          <w:sz w:val="24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000000"/>
          <w:spacing w:val="4"/>
          <w:sz w:val="24"/>
        </w:rPr>
        <w:t>项填写与本人或者本人亲属存在利益关系的</w:t>
      </w:r>
      <w:r>
        <w:rPr>
          <w:rFonts w:hint="eastAsia" w:ascii="楷体_GB2312" w:hAnsi="楷体_GB2312" w:eastAsia="楷体_GB2312" w:cs="楷体_GB2312"/>
          <w:color w:val="000000"/>
          <w:spacing w:val="4"/>
          <w:sz w:val="24"/>
          <w:lang w:eastAsia="zh-CN"/>
        </w:rPr>
        <w:t>公司</w:t>
      </w:r>
      <w:r>
        <w:rPr>
          <w:rFonts w:hint="eastAsia" w:ascii="楷体_GB2312" w:hAnsi="楷体_GB2312" w:eastAsia="楷体_GB2312" w:cs="楷体_GB2312"/>
          <w:color w:val="000000"/>
          <w:spacing w:val="4"/>
          <w:sz w:val="24"/>
          <w:lang w:val="en-US" w:eastAsia="zh-CN"/>
        </w:rPr>
        <w:t>/</w:t>
      </w:r>
      <w:r>
        <w:rPr>
          <w:rFonts w:hint="eastAsia" w:ascii="楷体_GB2312" w:hAnsi="楷体_GB2312" w:eastAsia="楷体_GB2312" w:cs="楷体_GB2312"/>
          <w:color w:val="000000"/>
          <w:spacing w:val="4"/>
          <w:sz w:val="24"/>
        </w:rPr>
        <w:t>医药研发单位名称；</w:t>
      </w:r>
    </w:p>
    <w:p>
      <w:pPr>
        <w:spacing w:line="240" w:lineRule="auto"/>
        <w:ind w:right="105" w:rightChars="50" w:firstLine="480" w:firstLineChars="200"/>
        <w:rPr>
          <w:rFonts w:hint="eastAsia"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2．第1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color w:val="000000"/>
          <w:sz w:val="24"/>
        </w:rPr>
        <w:t>项在与该公司/单位存在的利益关系所属类型□内涂黑；</w:t>
      </w:r>
    </w:p>
    <w:p>
      <w:pPr>
        <w:spacing w:line="240" w:lineRule="auto"/>
        <w:ind w:right="105" w:rightChars="50" w:firstLine="480" w:firstLineChars="200"/>
        <w:rPr>
          <w:rFonts w:hint="eastAsia"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3．第1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000000"/>
          <w:sz w:val="24"/>
        </w:rPr>
        <w:t>项与该公司/单位存在的利益关系每年涉及的利益量级□内涂黑（以人民币为计量单位）；</w:t>
      </w:r>
    </w:p>
    <w:p>
      <w:pPr>
        <w:spacing w:line="240" w:lineRule="auto"/>
        <w:ind w:right="105" w:rightChars="50" w:firstLine="480" w:firstLineChars="200"/>
        <w:rPr>
          <w:rFonts w:hint="eastAsia"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4．第1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000000"/>
          <w:sz w:val="24"/>
        </w:rPr>
        <w:t>项，若本人与该公司/单位存在利益关系则在本人□内涂黑，若是本人直系亲属则在亲属□内涂黑，并注明直系亲属姓名及与本人关系；</w:t>
      </w:r>
    </w:p>
    <w:p>
      <w:pPr>
        <w:spacing w:line="240" w:lineRule="auto"/>
        <w:ind w:right="105" w:rightChars="50" w:firstLine="480" w:firstLineChars="200"/>
        <w:rPr>
          <w:rFonts w:hint="eastAsia"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5．若本人或者本人直系亲属与不止一家公司/研发单位存在利益关系的，第1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sz w:val="24"/>
        </w:rPr>
        <w:t>—1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000000"/>
          <w:sz w:val="24"/>
        </w:rPr>
        <w:t>项按同样方法列出与第二家公司/研发单位的利益相关情况，与超过两家的公司/医药研发单位存在利益关系时按同样方式续表说明；</w:t>
      </w:r>
    </w:p>
    <w:p>
      <w:pPr>
        <w:spacing w:line="240" w:lineRule="auto"/>
        <w:ind w:right="105" w:rightChars="50" w:firstLine="480" w:firstLineChars="200"/>
        <w:rPr>
          <w:rFonts w:hint="eastAsia"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6．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外聘专家</w:t>
      </w:r>
      <w:r>
        <w:rPr>
          <w:rFonts w:hint="eastAsia" w:ascii="楷体_GB2312" w:hAnsi="楷体_GB2312" w:eastAsia="楷体_GB2312" w:cs="楷体_GB2312"/>
          <w:color w:val="000000"/>
          <w:sz w:val="24"/>
        </w:rPr>
        <w:t>（包括候选人）需如实填写此表，并签署姓名与日期；</w:t>
      </w:r>
    </w:p>
    <w:p>
      <w:pPr>
        <w:spacing w:line="240" w:lineRule="auto"/>
        <w:ind w:right="105" w:rightChars="50" w:firstLine="480" w:firstLineChars="200"/>
        <w:rPr>
          <w:rFonts w:hint="eastAsia"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7．</w:t>
      </w:r>
      <w:r>
        <w:rPr>
          <w:rFonts w:hint="eastAsia" w:ascii="楷体_GB2312" w:hAnsi="楷体_GB2312" w:eastAsia="楷体_GB2312" w:cs="楷体_GB2312"/>
          <w:color w:val="000000"/>
          <w:sz w:val="24"/>
          <w:lang w:eastAsia="zh-CN"/>
        </w:rPr>
        <w:t>西藏自治区药品监督管理局</w:t>
      </w:r>
      <w:r>
        <w:rPr>
          <w:rFonts w:hint="eastAsia" w:ascii="楷体_GB2312" w:hAnsi="楷体_GB2312" w:eastAsia="楷体_GB2312" w:cs="楷体_GB2312"/>
          <w:color w:val="000000"/>
          <w:sz w:val="24"/>
        </w:rPr>
        <w:t>不会将此表用于除专</w:t>
      </w:r>
      <w:r>
        <w:rPr>
          <w:rFonts w:hint="eastAsia" w:ascii="楷体_GB2312" w:hAnsi="楷体_GB2312" w:eastAsia="楷体_GB2312" w:cs="楷体_GB2312"/>
          <w:color w:val="000000"/>
          <w:sz w:val="24"/>
          <w:lang w:eastAsia="zh-CN"/>
        </w:rPr>
        <w:t>外聘专家利害关系</w:t>
      </w:r>
      <w:r>
        <w:rPr>
          <w:rFonts w:hint="eastAsia" w:ascii="楷体_GB2312" w:hAnsi="楷体_GB2312" w:eastAsia="楷体_GB2312" w:cs="楷体_GB2312"/>
          <w:color w:val="000000"/>
          <w:sz w:val="24"/>
        </w:rPr>
        <w:t>评估之外的其他目的。</w:t>
      </w:r>
    </w:p>
    <w:p>
      <w:pPr>
        <w:spacing w:line="360" w:lineRule="auto"/>
        <w:ind w:right="105" w:rightChars="50"/>
        <w:jc w:val="left"/>
      </w:pPr>
      <w:r>
        <w:rPr>
          <w:rFonts w:hint="eastAsia" w:ascii="黑体" w:hAnsi="黑体" w:eastAsia="黑体" w:cs="黑体"/>
          <w:color w:val="000000"/>
          <w:sz w:val="24"/>
        </w:rPr>
        <w:t xml:space="preserve">个人签名：                    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24"/>
        </w:rPr>
        <w:t xml:space="preserve">        年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24"/>
        </w:rPr>
        <w:t xml:space="preserve">  月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24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ZDB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卡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漫步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雪峰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E-BZ+ZEODmH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EODmH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藏研珠擦体">
    <w:altName w:val="DaunPenh"/>
    <w:panose1 w:val="01010100010101010101"/>
    <w:charset w:val="00"/>
    <w:family w:val="auto"/>
    <w:pitch w:val="default"/>
    <w:sig w:usb0="00000000" w:usb1="00000000" w:usb2="0000004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2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2022-04-22T10:19:50Z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