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3B9BE" w14:textId="131FE3B4" w:rsidR="00F51BD7" w:rsidRPr="00470F37" w:rsidRDefault="00F51BD7" w:rsidP="00F51BD7">
      <w:pPr>
        <w:widowControl w:val="0"/>
        <w:adjustRightInd w:val="0"/>
        <w:snapToGrid w:val="0"/>
        <w:ind w:firstLineChars="0" w:firstLine="0"/>
        <w:rPr>
          <w:rFonts w:cs="Times New Roman"/>
          <w:b/>
          <w:kern w:val="2"/>
          <w:sz w:val="24"/>
          <w:szCs w:val="24"/>
        </w:rPr>
      </w:pPr>
      <w:r w:rsidRPr="00470F37">
        <w:rPr>
          <w:rFonts w:cs="Times New Roman" w:hint="eastAsia"/>
          <w:b/>
          <w:kern w:val="2"/>
          <w:sz w:val="24"/>
          <w:szCs w:val="24"/>
        </w:rPr>
        <w:t>附件：</w:t>
      </w:r>
      <w:r w:rsidRPr="00470F37">
        <w:rPr>
          <w:rFonts w:cs="Times New Roman"/>
          <w:b/>
          <w:kern w:val="2"/>
          <w:sz w:val="24"/>
          <w:szCs w:val="24"/>
        </w:rPr>
        <w:t>预灌封注射器通则</w:t>
      </w:r>
      <w:r w:rsidRPr="00470F37">
        <w:rPr>
          <w:rFonts w:cs="Times New Roman" w:hint="eastAsia"/>
          <w:b/>
          <w:kern w:val="2"/>
          <w:sz w:val="24"/>
          <w:szCs w:val="24"/>
        </w:rPr>
        <w:t>和</w:t>
      </w:r>
      <w:r w:rsidRPr="00470F37">
        <w:rPr>
          <w:rFonts w:cs="Times New Roman"/>
          <w:b/>
          <w:kern w:val="2"/>
          <w:sz w:val="24"/>
          <w:szCs w:val="24"/>
        </w:rPr>
        <w:t>半组装预灌封注射器通则起草说明</w:t>
      </w:r>
    </w:p>
    <w:p w14:paraId="37E814F9" w14:textId="256761F6" w:rsidR="005625A2" w:rsidRPr="00470F37" w:rsidRDefault="005625A2" w:rsidP="00A87068">
      <w:pPr>
        <w:widowControl w:val="0"/>
        <w:adjustRightInd w:val="0"/>
        <w:snapToGrid w:val="0"/>
        <w:spacing w:beforeLines="50" w:before="156"/>
        <w:ind w:firstLineChars="0" w:firstLine="0"/>
        <w:jc w:val="center"/>
        <w:rPr>
          <w:rFonts w:cs="Times New Roman"/>
          <w:b/>
          <w:kern w:val="2"/>
          <w:sz w:val="24"/>
          <w:szCs w:val="24"/>
        </w:rPr>
      </w:pPr>
      <w:r w:rsidRPr="00470F37">
        <w:rPr>
          <w:rFonts w:cs="Times New Roman"/>
          <w:b/>
          <w:kern w:val="2"/>
          <w:sz w:val="24"/>
          <w:szCs w:val="24"/>
        </w:rPr>
        <w:t>预灌封注射器通则</w:t>
      </w:r>
      <w:r w:rsidRPr="00470F37">
        <w:rPr>
          <w:rFonts w:cs="Times New Roman" w:hint="eastAsia"/>
          <w:b/>
          <w:kern w:val="2"/>
          <w:sz w:val="24"/>
          <w:szCs w:val="24"/>
        </w:rPr>
        <w:t>和</w:t>
      </w:r>
      <w:r w:rsidRPr="00470F37">
        <w:rPr>
          <w:rFonts w:cs="Times New Roman"/>
          <w:b/>
          <w:kern w:val="2"/>
          <w:sz w:val="24"/>
          <w:szCs w:val="24"/>
        </w:rPr>
        <w:t>半组装预灌封注射器通则起草说明</w:t>
      </w:r>
    </w:p>
    <w:p w14:paraId="17DF3BE5"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一、背景</w:t>
      </w:r>
    </w:p>
    <w:p w14:paraId="6A097B88"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根据</w:t>
      </w:r>
      <w:r w:rsidRPr="00470F37">
        <w:rPr>
          <w:rFonts w:cs="Times New Roman" w:hint="eastAsia"/>
          <w:kern w:val="2"/>
          <w:szCs w:val="21"/>
        </w:rPr>
        <w:t>国家</w:t>
      </w:r>
      <w:r w:rsidRPr="00470F37">
        <w:rPr>
          <w:rFonts w:cs="Times New Roman"/>
          <w:kern w:val="2"/>
          <w:szCs w:val="21"/>
        </w:rPr>
        <w:t>药包材标准体系的整体规划和编制思路制订本通则，着重体现全过程管理和风险管理理念。通过规范药品包装用预灌封注射器这一密闭系统标准体系，促进相关企业对该产品关键质量属性的理解，从而确保药品的安全、有效和质量可控。</w:t>
      </w:r>
    </w:p>
    <w:p w14:paraId="7A5D5DEC" w14:textId="4023E216" w:rsidR="005625A2" w:rsidRPr="00470F37" w:rsidRDefault="00D539CD" w:rsidP="00D539CD">
      <w:pPr>
        <w:widowControl w:val="0"/>
        <w:adjustRightInd w:val="0"/>
        <w:snapToGrid w:val="0"/>
        <w:ind w:firstLine="422"/>
        <w:jc w:val="both"/>
        <w:rPr>
          <w:rFonts w:cs="Times New Roman"/>
          <w:b/>
          <w:kern w:val="2"/>
          <w:szCs w:val="21"/>
        </w:rPr>
      </w:pPr>
      <w:r>
        <w:rPr>
          <w:rFonts w:cs="Times New Roman" w:hint="eastAsia"/>
          <w:b/>
          <w:bCs/>
          <w:kern w:val="2"/>
          <w:szCs w:val="21"/>
        </w:rPr>
        <w:t>二</w:t>
      </w:r>
      <w:r w:rsidR="005625A2" w:rsidRPr="00470F37">
        <w:rPr>
          <w:rFonts w:cs="Times New Roman"/>
          <w:b/>
          <w:bCs/>
          <w:kern w:val="2"/>
          <w:szCs w:val="21"/>
        </w:rPr>
        <w:t>、制修订的总体思路</w:t>
      </w:r>
    </w:p>
    <w:p w14:paraId="6AE91673"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与</w:t>
      </w:r>
      <w:r w:rsidRPr="00470F37">
        <w:rPr>
          <w:rFonts w:cs="Times New Roman"/>
          <w:kern w:val="2"/>
          <w:szCs w:val="21"/>
        </w:rPr>
        <w:t>ISO</w:t>
      </w:r>
      <w:r w:rsidRPr="00470F37">
        <w:rPr>
          <w:rFonts w:cs="Times New Roman"/>
          <w:kern w:val="2"/>
          <w:szCs w:val="21"/>
        </w:rPr>
        <w:t>标准、欧美药典等相关标准指南相协调，引入全生命周期管理和风险管理理念，建立兼具刚性和延展性的预灌封注射器标准体系。</w:t>
      </w:r>
    </w:p>
    <w:p w14:paraId="0B0F3364" w14:textId="69898CC6"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预灌封注射器标准体系</w:t>
      </w:r>
      <w:r w:rsidRPr="00470F37">
        <w:rPr>
          <w:rFonts w:cs="Times New Roman" w:hint="eastAsia"/>
          <w:kern w:val="2"/>
          <w:szCs w:val="21"/>
        </w:rPr>
        <w:t>涉及</w:t>
      </w:r>
      <w:r w:rsidRPr="00470F37">
        <w:rPr>
          <w:rFonts w:cs="Times New Roman"/>
          <w:kern w:val="2"/>
          <w:szCs w:val="21"/>
        </w:rPr>
        <w:t>预灌封注射器通则、半组装预灌封注射器通则、</w:t>
      </w:r>
      <w:r w:rsidRPr="00470F37">
        <w:rPr>
          <w:rFonts w:cs="Times New Roman" w:hint="eastAsia"/>
          <w:kern w:val="2"/>
          <w:szCs w:val="21"/>
        </w:rPr>
        <w:t>预灌封注射器用玻璃套筒</w:t>
      </w:r>
      <w:r w:rsidRPr="00470F37">
        <w:rPr>
          <w:rFonts w:cs="Times New Roman" w:hint="eastAsia"/>
          <w:kern w:val="2"/>
          <w:szCs w:val="21"/>
        </w:rPr>
        <w:t>3</w:t>
      </w:r>
      <w:r w:rsidRPr="00470F37">
        <w:rPr>
          <w:rFonts w:cs="Times New Roman" w:hint="eastAsia"/>
          <w:kern w:val="2"/>
          <w:szCs w:val="21"/>
        </w:rPr>
        <w:t>个</w:t>
      </w:r>
      <w:r w:rsidRPr="00470F37">
        <w:rPr>
          <w:rFonts w:cs="Times New Roman"/>
          <w:kern w:val="2"/>
          <w:szCs w:val="21"/>
        </w:rPr>
        <w:t>专</w:t>
      </w:r>
      <w:r w:rsidRPr="00470F37">
        <w:rPr>
          <w:rFonts w:cs="Times New Roman" w:hint="eastAsia"/>
          <w:kern w:val="2"/>
          <w:szCs w:val="21"/>
        </w:rPr>
        <w:t>门</w:t>
      </w:r>
      <w:r w:rsidRPr="00470F37">
        <w:rPr>
          <w:rFonts w:cs="Times New Roman"/>
          <w:kern w:val="2"/>
          <w:szCs w:val="21"/>
        </w:rPr>
        <w:t>的通则</w:t>
      </w:r>
      <w:r w:rsidRPr="00470F37">
        <w:rPr>
          <w:rFonts w:cs="Times New Roman" w:hint="eastAsia"/>
          <w:kern w:val="2"/>
          <w:szCs w:val="21"/>
        </w:rPr>
        <w:t>；药品包装用玻璃容器通则</w:t>
      </w:r>
      <w:r w:rsidRPr="00470F37">
        <w:rPr>
          <w:rFonts w:cs="Times New Roman" w:hint="eastAsia"/>
          <w:bCs/>
          <w:kern w:val="2"/>
          <w:szCs w:val="21"/>
        </w:rPr>
        <w:t>、药品包装用橡胶密封件通则、</w:t>
      </w:r>
      <w:r w:rsidRPr="00470F37">
        <w:rPr>
          <w:rFonts w:cs="Times New Roman"/>
          <w:kern w:val="2"/>
          <w:szCs w:val="21"/>
        </w:rPr>
        <w:t>注射剂包装用橡胶密封件</w:t>
      </w:r>
      <w:r w:rsidRPr="00470F37">
        <w:rPr>
          <w:rFonts w:cs="Times New Roman" w:hint="eastAsia"/>
          <w:kern w:val="2"/>
          <w:szCs w:val="21"/>
        </w:rPr>
        <w:t>通则、药品包装用塑料容器及组件通则、</w:t>
      </w:r>
      <w:r w:rsidRPr="00470F37">
        <w:rPr>
          <w:rFonts w:cs="Times New Roman"/>
          <w:bCs/>
          <w:kern w:val="2"/>
          <w:szCs w:val="21"/>
        </w:rPr>
        <w:t>药品包装用金属</w:t>
      </w:r>
      <w:r w:rsidRPr="00470F37">
        <w:rPr>
          <w:rFonts w:cs="Times New Roman" w:hint="eastAsia"/>
          <w:bCs/>
          <w:kern w:val="2"/>
          <w:szCs w:val="21"/>
        </w:rPr>
        <w:t>容器及组件</w:t>
      </w:r>
      <w:r w:rsidRPr="00470F37">
        <w:rPr>
          <w:rFonts w:cs="Times New Roman"/>
          <w:bCs/>
          <w:kern w:val="2"/>
          <w:szCs w:val="21"/>
        </w:rPr>
        <w:t>通则</w:t>
      </w:r>
      <w:r w:rsidRPr="00470F37">
        <w:rPr>
          <w:rFonts w:cs="Times New Roman" w:hint="eastAsia"/>
          <w:bCs/>
          <w:kern w:val="2"/>
          <w:szCs w:val="21"/>
        </w:rPr>
        <w:t>5</w:t>
      </w:r>
      <w:r w:rsidRPr="00470F37">
        <w:rPr>
          <w:rFonts w:cs="Times New Roman" w:hint="eastAsia"/>
          <w:bCs/>
          <w:kern w:val="2"/>
          <w:szCs w:val="21"/>
        </w:rPr>
        <w:t>个</w:t>
      </w:r>
      <w:r w:rsidRPr="00470F37">
        <w:rPr>
          <w:rFonts w:cs="Times New Roman"/>
          <w:bCs/>
          <w:kern w:val="2"/>
          <w:szCs w:val="21"/>
        </w:rPr>
        <w:t>相关通则</w:t>
      </w:r>
      <w:r w:rsidRPr="00470F37">
        <w:rPr>
          <w:rFonts w:cs="Times New Roman" w:hint="eastAsia"/>
          <w:bCs/>
          <w:kern w:val="2"/>
          <w:szCs w:val="21"/>
        </w:rPr>
        <w:t>；</w:t>
      </w:r>
      <w:r w:rsidRPr="00470F37">
        <w:rPr>
          <w:rFonts w:cs="Times New Roman"/>
          <w:kern w:val="2"/>
          <w:szCs w:val="21"/>
        </w:rPr>
        <w:t>细菌内毒素检查法指导原则</w:t>
      </w:r>
      <w:r w:rsidRPr="00470F37">
        <w:rPr>
          <w:rFonts w:cs="Times New Roman" w:hint="eastAsia"/>
          <w:kern w:val="2"/>
          <w:szCs w:val="21"/>
        </w:rPr>
        <w:t>、</w:t>
      </w:r>
      <w:r w:rsidRPr="00470F37">
        <w:rPr>
          <w:rFonts w:cs="Times New Roman"/>
          <w:kern w:val="2"/>
          <w:szCs w:val="21"/>
        </w:rPr>
        <w:t>药品包装系统密封</w:t>
      </w:r>
      <w:r w:rsidRPr="00470F37">
        <w:rPr>
          <w:rFonts w:cs="Times New Roman" w:hint="eastAsia"/>
          <w:kern w:val="2"/>
          <w:szCs w:val="21"/>
        </w:rPr>
        <w:t>性</w:t>
      </w:r>
      <w:r w:rsidRPr="00470F37">
        <w:rPr>
          <w:rFonts w:cs="Times New Roman"/>
          <w:kern w:val="2"/>
          <w:szCs w:val="21"/>
        </w:rPr>
        <w:t>指导原则</w:t>
      </w:r>
      <w:r w:rsidRPr="00470F37">
        <w:rPr>
          <w:rFonts w:cs="Times New Roman" w:hint="eastAsia"/>
          <w:kern w:val="2"/>
          <w:szCs w:val="21"/>
        </w:rPr>
        <w:t>、</w:t>
      </w:r>
      <w:r w:rsidRPr="00470F37">
        <w:rPr>
          <w:rFonts w:cs="Times New Roman"/>
          <w:kern w:val="2"/>
          <w:szCs w:val="21"/>
        </w:rPr>
        <w:t>药包材生物学评价与试验选择指导原则</w:t>
      </w:r>
      <w:r w:rsidRPr="00470F37">
        <w:rPr>
          <w:rFonts w:cs="Times New Roman" w:hint="eastAsia"/>
          <w:kern w:val="2"/>
          <w:szCs w:val="21"/>
        </w:rPr>
        <w:t>、药包材微生物检测指导原则</w:t>
      </w:r>
      <w:r w:rsidR="007733D7" w:rsidRPr="00470F37">
        <w:rPr>
          <w:rFonts w:cs="Times New Roman"/>
          <w:kern w:val="2"/>
          <w:szCs w:val="21"/>
        </w:rPr>
        <w:t>4</w:t>
      </w:r>
      <w:r w:rsidRPr="00470F37">
        <w:rPr>
          <w:rFonts w:cs="Times New Roman" w:hint="eastAsia"/>
          <w:kern w:val="2"/>
          <w:szCs w:val="21"/>
        </w:rPr>
        <w:t>个</w:t>
      </w:r>
      <w:r w:rsidRPr="00470F37">
        <w:rPr>
          <w:rFonts w:cs="Times New Roman"/>
          <w:kern w:val="2"/>
          <w:szCs w:val="21"/>
        </w:rPr>
        <w:t>指导原则</w:t>
      </w:r>
      <w:r w:rsidR="007733D7" w:rsidRPr="00470F37">
        <w:rPr>
          <w:rFonts w:cs="Times New Roman" w:hint="eastAsia"/>
          <w:kern w:val="2"/>
          <w:szCs w:val="21"/>
        </w:rPr>
        <w:t>；</w:t>
      </w:r>
      <w:r w:rsidRPr="00470F37">
        <w:rPr>
          <w:rFonts w:cs="Times New Roman" w:hint="eastAsia"/>
          <w:kern w:val="2"/>
          <w:szCs w:val="21"/>
        </w:rPr>
        <w:t>以及</w:t>
      </w:r>
      <w:r w:rsidR="00BB559B" w:rsidRPr="00470F37">
        <w:rPr>
          <w:rFonts w:cs="Times New Roman" w:hint="eastAsia"/>
          <w:kern w:val="2"/>
          <w:szCs w:val="21"/>
        </w:rPr>
        <w:t>相关多个</w:t>
      </w:r>
      <w:r w:rsidRPr="00470F37">
        <w:rPr>
          <w:rFonts w:cs="Times New Roman"/>
          <w:kern w:val="2"/>
          <w:szCs w:val="21"/>
        </w:rPr>
        <w:t>配套</w:t>
      </w:r>
      <w:r w:rsidRPr="00470F37">
        <w:rPr>
          <w:rFonts w:cs="Times New Roman" w:hint="eastAsia"/>
          <w:kern w:val="2"/>
          <w:szCs w:val="21"/>
        </w:rPr>
        <w:t>通用检测方法</w:t>
      </w:r>
      <w:r w:rsidRPr="00470F37">
        <w:rPr>
          <w:rFonts w:cs="Times New Roman"/>
          <w:kern w:val="2"/>
          <w:szCs w:val="21"/>
        </w:rPr>
        <w:t>。</w:t>
      </w:r>
    </w:p>
    <w:p w14:paraId="101CCDFB" w14:textId="475809E2" w:rsidR="005625A2" w:rsidRPr="00470F37" w:rsidRDefault="00D539CD" w:rsidP="005625A2">
      <w:pPr>
        <w:widowControl w:val="0"/>
        <w:adjustRightInd w:val="0"/>
        <w:snapToGrid w:val="0"/>
        <w:ind w:firstLine="422"/>
        <w:jc w:val="both"/>
        <w:rPr>
          <w:rFonts w:cs="Times New Roman"/>
          <w:b/>
          <w:bCs/>
          <w:kern w:val="2"/>
          <w:szCs w:val="21"/>
        </w:rPr>
      </w:pPr>
      <w:r>
        <w:rPr>
          <w:rFonts w:cs="Times New Roman" w:hint="eastAsia"/>
          <w:b/>
          <w:bCs/>
          <w:kern w:val="2"/>
          <w:szCs w:val="21"/>
        </w:rPr>
        <w:t>三</w:t>
      </w:r>
      <w:r w:rsidR="005625A2" w:rsidRPr="00470F37">
        <w:rPr>
          <w:rFonts w:cs="Times New Roman"/>
          <w:b/>
          <w:bCs/>
          <w:kern w:val="2"/>
          <w:szCs w:val="21"/>
        </w:rPr>
        <w:t>、需重点说明的内容</w:t>
      </w:r>
    </w:p>
    <w:p w14:paraId="3C16D712"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1</w:t>
      </w:r>
      <w:r w:rsidRPr="00470F37">
        <w:rPr>
          <w:rFonts w:cs="Times New Roman" w:hint="eastAsia"/>
          <w:b/>
          <w:bCs/>
          <w:kern w:val="2"/>
          <w:szCs w:val="21"/>
        </w:rPr>
        <w:t>．</w:t>
      </w:r>
      <w:r w:rsidRPr="00470F37">
        <w:rPr>
          <w:rFonts w:cs="Times New Roman"/>
          <w:b/>
          <w:bCs/>
          <w:kern w:val="2"/>
          <w:szCs w:val="21"/>
        </w:rPr>
        <w:t>关于标准适用范围的说明</w:t>
      </w:r>
    </w:p>
    <w:p w14:paraId="5345B2EB" w14:textId="5513DAE2"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本通则仅适用于无菌供应的预灌封注射器产品，通过市场调研，目前采用预灌封注射器包装的药品大都是采用非终端灭菌工艺，对于部分采用终端灭菌工艺的产品其采用的包材也为非无菌产品。因此在标准范围中增加限定</w:t>
      </w:r>
      <w:r w:rsidRPr="00470F37">
        <w:rPr>
          <w:rFonts w:ascii="宋体" w:hAnsi="宋体" w:cs="Times New Roman"/>
          <w:kern w:val="2"/>
          <w:szCs w:val="21"/>
        </w:rPr>
        <w:t>“本通则适用于</w:t>
      </w:r>
      <w:r w:rsidR="00BB559B" w:rsidRPr="00470F37">
        <w:rPr>
          <w:rFonts w:ascii="宋体" w:hAnsi="宋体" w:cs="Times New Roman"/>
          <w:kern w:val="2"/>
          <w:szCs w:val="21"/>
        </w:rPr>
        <w:t>药品包装用</w:t>
      </w:r>
      <w:r w:rsidR="00BB559B" w:rsidRPr="00470F37">
        <w:rPr>
          <w:rFonts w:ascii="宋体" w:hAnsi="宋体" w:cs="Times New Roman" w:hint="eastAsia"/>
          <w:kern w:val="2"/>
          <w:szCs w:val="21"/>
        </w:rPr>
        <w:t>巢盒包装</w:t>
      </w:r>
      <w:r w:rsidRPr="00470F37">
        <w:rPr>
          <w:rFonts w:ascii="宋体" w:hAnsi="宋体" w:cs="Times New Roman"/>
          <w:kern w:val="2"/>
          <w:szCs w:val="21"/>
        </w:rPr>
        <w:t>无菌供应的预灌封注射器。</w:t>
      </w:r>
      <w:r w:rsidR="00BB559B" w:rsidRPr="00470F37">
        <w:rPr>
          <w:rFonts w:ascii="宋体" w:hAnsi="宋体" w:cs="Times New Roman"/>
          <w:kern w:val="2"/>
          <w:szCs w:val="21"/>
        </w:rPr>
        <w:t>药品包装用</w:t>
      </w:r>
      <w:r w:rsidRPr="00470F37">
        <w:rPr>
          <w:rFonts w:ascii="宋体" w:hAnsi="宋体" w:cs="Times New Roman"/>
          <w:kern w:val="2"/>
          <w:szCs w:val="21"/>
        </w:rPr>
        <w:t>非无菌供应的预灌封注射器可参</w:t>
      </w:r>
      <w:r w:rsidRPr="00470F37">
        <w:rPr>
          <w:rFonts w:ascii="宋体" w:hAnsi="宋体" w:cs="Times New Roman" w:hint="eastAsia"/>
          <w:kern w:val="2"/>
          <w:szCs w:val="21"/>
        </w:rPr>
        <w:t>考</w:t>
      </w:r>
      <w:r w:rsidRPr="00470F37">
        <w:rPr>
          <w:rFonts w:ascii="宋体" w:hAnsi="宋体" w:cs="Times New Roman"/>
          <w:kern w:val="2"/>
          <w:szCs w:val="21"/>
        </w:rPr>
        <w:t>本通则</w:t>
      </w:r>
      <w:r w:rsidRPr="00470F37">
        <w:rPr>
          <w:rFonts w:ascii="宋体" w:hAnsi="宋体" w:cs="Times New Roman" w:hint="eastAsia"/>
          <w:kern w:val="2"/>
          <w:szCs w:val="21"/>
        </w:rPr>
        <w:t>”</w:t>
      </w:r>
      <w:r w:rsidRPr="00470F37">
        <w:rPr>
          <w:rFonts w:ascii="宋体" w:hAnsi="宋体" w:cs="Times New Roman"/>
          <w:kern w:val="2"/>
          <w:szCs w:val="21"/>
        </w:rPr>
        <w:t>。</w:t>
      </w:r>
    </w:p>
    <w:p w14:paraId="33EDB1FF"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2</w:t>
      </w:r>
      <w:r w:rsidRPr="00470F37">
        <w:rPr>
          <w:rFonts w:cs="Times New Roman" w:hint="eastAsia"/>
          <w:b/>
          <w:bCs/>
          <w:kern w:val="2"/>
          <w:szCs w:val="21"/>
        </w:rPr>
        <w:t>．</w:t>
      </w:r>
      <w:r w:rsidRPr="00470F37">
        <w:rPr>
          <w:rFonts w:cs="Times New Roman"/>
          <w:b/>
          <w:bCs/>
          <w:kern w:val="2"/>
          <w:szCs w:val="21"/>
        </w:rPr>
        <w:t>关于材质的说明</w:t>
      </w:r>
    </w:p>
    <w:p w14:paraId="40D24832"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通过前期市场调研和标准研究，目前套筒的材质主要包括硼硅玻璃、环烯烃（如环戊烯</w:t>
      </w:r>
      <w:r w:rsidRPr="00470F37">
        <w:rPr>
          <w:rFonts w:cs="Times New Roman" w:hint="eastAsia"/>
          <w:kern w:val="2"/>
          <w:szCs w:val="21"/>
        </w:rPr>
        <w:t>、</w:t>
      </w:r>
      <w:r w:rsidRPr="00470F37">
        <w:rPr>
          <w:rFonts w:cs="Times New Roman"/>
          <w:kern w:val="2"/>
          <w:szCs w:val="21"/>
        </w:rPr>
        <w:t>降冰片烯）聚合物（</w:t>
      </w:r>
      <w:r w:rsidRPr="00470F37">
        <w:rPr>
          <w:rFonts w:cs="Times New Roman"/>
          <w:kern w:val="2"/>
          <w:szCs w:val="21"/>
        </w:rPr>
        <w:t>COP</w:t>
      </w:r>
      <w:r w:rsidRPr="00470F37">
        <w:rPr>
          <w:rFonts w:cs="Times New Roman"/>
          <w:kern w:val="2"/>
          <w:szCs w:val="21"/>
        </w:rPr>
        <w:t>）、环状烯烃（如环戊烯</w:t>
      </w:r>
      <w:r w:rsidRPr="00470F37">
        <w:rPr>
          <w:rFonts w:cs="Times New Roman" w:hint="eastAsia"/>
          <w:kern w:val="2"/>
          <w:szCs w:val="21"/>
        </w:rPr>
        <w:t>、</w:t>
      </w:r>
      <w:r w:rsidRPr="00470F37">
        <w:rPr>
          <w:rFonts w:cs="Times New Roman"/>
          <w:kern w:val="2"/>
          <w:szCs w:val="21"/>
        </w:rPr>
        <w:t>降冰片烯）与</w:t>
      </w:r>
      <w:r w:rsidRPr="00470F37">
        <w:rPr>
          <w:rFonts w:cs="Times New Roman" w:hint="eastAsia"/>
          <w:kern w:val="2"/>
          <w:szCs w:val="21"/>
        </w:rPr>
        <w:t>烯烃（如乙烯或丙烯）</w:t>
      </w:r>
      <w:r w:rsidRPr="00470F37">
        <w:rPr>
          <w:rFonts w:cs="Times New Roman"/>
          <w:kern w:val="2"/>
          <w:szCs w:val="21"/>
        </w:rPr>
        <w:t>的共聚物（</w:t>
      </w:r>
      <w:r w:rsidRPr="00470F37">
        <w:rPr>
          <w:rFonts w:cs="Times New Roman"/>
          <w:kern w:val="2"/>
          <w:szCs w:val="21"/>
        </w:rPr>
        <w:t>COC</w:t>
      </w:r>
      <w:r w:rsidRPr="00470F37">
        <w:rPr>
          <w:rFonts w:cs="Times New Roman"/>
          <w:kern w:val="2"/>
          <w:szCs w:val="21"/>
        </w:rPr>
        <w:t>）。同时</w:t>
      </w:r>
      <w:r w:rsidRPr="00470F37">
        <w:rPr>
          <w:rFonts w:cs="Times New Roman"/>
          <w:kern w:val="2"/>
          <w:szCs w:val="21"/>
        </w:rPr>
        <w:t>ISO11040-6</w:t>
      </w:r>
      <w:r w:rsidRPr="00470F37">
        <w:rPr>
          <w:rFonts w:cs="Times New Roman"/>
          <w:kern w:val="2"/>
          <w:szCs w:val="21"/>
        </w:rPr>
        <w:t>标准中给出的材质中还包含聚丙烯材质，但目前市场上大部分使用聚丙烯材质的预灌封注射器包装及灌装工艺与本标准中规定的巢盒式包装的产品存在不同。同时也存在巢盒包装的聚丙烯材质的预灌封注射器，因此结合市场调研和企业反馈意见，在材质说明部分增加了聚丙烯举例。</w:t>
      </w:r>
    </w:p>
    <w:p w14:paraId="5E2887B8"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3</w:t>
      </w:r>
      <w:r w:rsidRPr="00470F37">
        <w:rPr>
          <w:rFonts w:cs="Times New Roman" w:hint="eastAsia"/>
          <w:b/>
          <w:bCs/>
          <w:kern w:val="2"/>
          <w:szCs w:val="21"/>
        </w:rPr>
        <w:t>．</w:t>
      </w:r>
      <w:r w:rsidRPr="00470F37">
        <w:rPr>
          <w:rFonts w:cs="Times New Roman"/>
          <w:b/>
          <w:bCs/>
          <w:kern w:val="2"/>
          <w:szCs w:val="21"/>
        </w:rPr>
        <w:t>关于术语和定义的说明</w:t>
      </w:r>
    </w:p>
    <w:p w14:paraId="53EB8AB7"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为了区分药品生产企业单独配置一次性使用无菌注射针的情况，将以往的预灌封注射器（带针）修订为桩针预灌封注射器。同时将针筒修订为套筒，将不配置活塞和推杆的产品定义为半组装预灌封注射器。</w:t>
      </w:r>
    </w:p>
    <w:p w14:paraId="0E356567"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4</w:t>
      </w:r>
      <w:r w:rsidRPr="00470F37">
        <w:rPr>
          <w:rFonts w:cs="Times New Roman" w:hint="eastAsia"/>
          <w:b/>
          <w:bCs/>
          <w:kern w:val="2"/>
          <w:szCs w:val="21"/>
        </w:rPr>
        <w:t>．</w:t>
      </w:r>
      <w:r w:rsidRPr="00470F37">
        <w:rPr>
          <w:rFonts w:cs="Times New Roman"/>
          <w:b/>
          <w:bCs/>
          <w:kern w:val="2"/>
          <w:szCs w:val="21"/>
        </w:rPr>
        <w:t>关于针尺寸规格的说明</w:t>
      </w:r>
    </w:p>
    <w:p w14:paraId="317FC881"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lastRenderedPageBreak/>
        <w:t>ISO11040</w:t>
      </w:r>
      <w:r w:rsidRPr="00470F37">
        <w:rPr>
          <w:rFonts w:cs="Times New Roman"/>
          <w:kern w:val="2"/>
          <w:szCs w:val="21"/>
        </w:rPr>
        <w:t>、</w:t>
      </w:r>
      <w:r w:rsidRPr="00470F37">
        <w:rPr>
          <w:rFonts w:cs="Times New Roman"/>
          <w:kern w:val="2"/>
          <w:szCs w:val="21"/>
        </w:rPr>
        <w:t>GB/T18457</w:t>
      </w:r>
      <w:r w:rsidRPr="00470F37">
        <w:rPr>
          <w:rFonts w:cs="Times New Roman"/>
          <w:kern w:val="2"/>
          <w:szCs w:val="21"/>
        </w:rPr>
        <w:t>、</w:t>
      </w:r>
      <w:r w:rsidRPr="00470F37">
        <w:rPr>
          <w:rFonts w:cs="Times New Roman"/>
          <w:kern w:val="2"/>
          <w:szCs w:val="21"/>
        </w:rPr>
        <w:t>GB15811</w:t>
      </w:r>
      <w:r w:rsidRPr="00470F37">
        <w:rPr>
          <w:rFonts w:cs="Times New Roman"/>
          <w:kern w:val="2"/>
          <w:szCs w:val="21"/>
        </w:rPr>
        <w:t>、</w:t>
      </w:r>
      <w:r w:rsidRPr="00470F37">
        <w:rPr>
          <w:rFonts w:cs="Times New Roman"/>
          <w:kern w:val="2"/>
          <w:szCs w:val="21"/>
        </w:rPr>
        <w:t>YBB00092004-2015</w:t>
      </w:r>
      <w:r w:rsidRPr="00470F37">
        <w:rPr>
          <w:rFonts w:cs="Times New Roman"/>
          <w:kern w:val="2"/>
          <w:szCs w:val="21"/>
        </w:rPr>
        <w:t>中关于桩针的尺寸规格均不相同。通过市场调研，预灌封注射器产品不会用到大于</w:t>
      </w:r>
      <w:r w:rsidRPr="00470F37">
        <w:rPr>
          <w:rFonts w:cs="Times New Roman"/>
          <w:kern w:val="2"/>
          <w:szCs w:val="21"/>
        </w:rPr>
        <w:t>0.50mm</w:t>
      </w:r>
      <w:r w:rsidRPr="00470F37">
        <w:rPr>
          <w:rFonts w:cs="Times New Roman"/>
          <w:kern w:val="2"/>
          <w:szCs w:val="21"/>
        </w:rPr>
        <w:t>的针，因此本通则将针的规格限定在</w:t>
      </w:r>
      <w:r w:rsidRPr="00470F37">
        <w:rPr>
          <w:rFonts w:cs="Times New Roman"/>
          <w:kern w:val="2"/>
          <w:szCs w:val="21"/>
        </w:rPr>
        <w:t>0.30-0.50mm</w:t>
      </w:r>
      <w:r w:rsidRPr="00470F37">
        <w:rPr>
          <w:rFonts w:cs="Times New Roman"/>
          <w:kern w:val="2"/>
          <w:szCs w:val="21"/>
        </w:rPr>
        <w:t>之间。</w:t>
      </w:r>
    </w:p>
    <w:p w14:paraId="0E3BDD86"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5</w:t>
      </w:r>
      <w:r w:rsidRPr="00470F37">
        <w:rPr>
          <w:rFonts w:cs="Times New Roman" w:hint="eastAsia"/>
          <w:b/>
          <w:bCs/>
          <w:kern w:val="2"/>
          <w:szCs w:val="21"/>
        </w:rPr>
        <w:t>．</w:t>
      </w:r>
      <w:r w:rsidRPr="00470F37">
        <w:rPr>
          <w:rFonts w:cs="Times New Roman"/>
          <w:b/>
          <w:bCs/>
          <w:kern w:val="2"/>
          <w:szCs w:val="21"/>
        </w:rPr>
        <w:t>关于环氧乙烷残留量的说明</w:t>
      </w:r>
    </w:p>
    <w:p w14:paraId="29AE1D4C"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较第一次公开征求意见稿，本次对于环氧乙烷残留量控制指标和测定方法都进行了修改。依据</w:t>
      </w:r>
      <w:r w:rsidRPr="00470F37">
        <w:rPr>
          <w:rFonts w:cs="Times New Roman"/>
          <w:kern w:val="2"/>
          <w:szCs w:val="21"/>
        </w:rPr>
        <w:t>ISO10993.7</w:t>
      </w:r>
      <w:r w:rsidRPr="00470F37">
        <w:rPr>
          <w:rFonts w:cs="Times New Roman"/>
          <w:kern w:val="2"/>
          <w:szCs w:val="21"/>
        </w:rPr>
        <w:t>进行安全</w:t>
      </w:r>
      <w:r w:rsidRPr="00470F37">
        <w:rPr>
          <w:rFonts w:cs="Times New Roman" w:hint="eastAsia"/>
          <w:kern w:val="2"/>
          <w:szCs w:val="21"/>
        </w:rPr>
        <w:t>限值</w:t>
      </w:r>
      <w:r w:rsidRPr="00470F37">
        <w:rPr>
          <w:rFonts w:cs="Times New Roman"/>
          <w:kern w:val="2"/>
          <w:szCs w:val="21"/>
        </w:rPr>
        <w:t>推导，</w:t>
      </w:r>
      <w:r w:rsidRPr="00470F37">
        <w:rPr>
          <w:rFonts w:cs="Times New Roman" w:hint="eastAsia"/>
          <w:kern w:val="2"/>
          <w:szCs w:val="21"/>
        </w:rPr>
        <w:t>成人（</w:t>
      </w:r>
      <w:r w:rsidRPr="00470F37">
        <w:rPr>
          <w:rFonts w:cs="Times New Roman" w:hint="eastAsia"/>
          <w:kern w:val="2"/>
          <w:szCs w:val="21"/>
        </w:rPr>
        <w:t>7</w:t>
      </w:r>
      <w:r w:rsidRPr="00470F37">
        <w:rPr>
          <w:rFonts w:cs="Times New Roman"/>
          <w:kern w:val="2"/>
          <w:szCs w:val="21"/>
        </w:rPr>
        <w:t>0</w:t>
      </w:r>
      <w:r w:rsidRPr="00470F37">
        <w:rPr>
          <w:rFonts w:cs="Times New Roman" w:hint="eastAsia"/>
          <w:kern w:val="2"/>
          <w:szCs w:val="21"/>
        </w:rPr>
        <w:t>kg</w:t>
      </w:r>
      <w:r w:rsidRPr="00470F37">
        <w:rPr>
          <w:rFonts w:cs="Times New Roman" w:hint="eastAsia"/>
          <w:kern w:val="2"/>
          <w:szCs w:val="21"/>
        </w:rPr>
        <w:t>）持久接触产品的</w:t>
      </w:r>
      <w:r w:rsidRPr="00470F37">
        <w:rPr>
          <w:rFonts w:cs="Times New Roman"/>
          <w:kern w:val="2"/>
          <w:szCs w:val="21"/>
        </w:rPr>
        <w:t>可耐受接触</w:t>
      </w:r>
      <w:r w:rsidRPr="00470F37">
        <w:rPr>
          <w:rFonts w:cs="Times New Roman" w:hint="eastAsia"/>
          <w:kern w:val="2"/>
          <w:szCs w:val="21"/>
        </w:rPr>
        <w:t>量（</w:t>
      </w:r>
      <w:r w:rsidRPr="00470F37">
        <w:rPr>
          <w:rFonts w:cs="Times New Roman" w:hint="eastAsia"/>
          <w:kern w:val="2"/>
          <w:szCs w:val="21"/>
        </w:rPr>
        <w:t>TE</w:t>
      </w:r>
      <w:r w:rsidRPr="00470F37">
        <w:rPr>
          <w:rFonts w:cs="Times New Roman" w:hint="eastAsia"/>
          <w:kern w:val="2"/>
          <w:szCs w:val="21"/>
        </w:rPr>
        <w:t>）为</w:t>
      </w:r>
      <w:r w:rsidRPr="00470F37">
        <w:rPr>
          <w:rFonts w:cs="Times New Roman"/>
          <w:kern w:val="2"/>
          <w:szCs w:val="21"/>
        </w:rPr>
        <w:t>100</w:t>
      </w:r>
      <w:r w:rsidRPr="00470F37">
        <w:rPr>
          <w:rFonts w:cs="Times New Roman"/>
          <w:i/>
          <w:iCs/>
          <w:kern w:val="2"/>
          <w:szCs w:val="21"/>
        </w:rPr>
        <w:t>μ</w:t>
      </w:r>
      <w:r w:rsidRPr="00470F37">
        <w:rPr>
          <w:rFonts w:cs="Times New Roman"/>
          <w:kern w:val="2"/>
          <w:szCs w:val="21"/>
        </w:rPr>
        <w:t>g</w:t>
      </w:r>
      <w:r w:rsidRPr="00470F37">
        <w:rPr>
          <w:rFonts w:cs="Times New Roman" w:hint="eastAsia"/>
          <w:kern w:val="2"/>
          <w:szCs w:val="21"/>
        </w:rPr>
        <w:t>/</w:t>
      </w:r>
      <w:r w:rsidRPr="00470F37">
        <w:rPr>
          <w:rFonts w:cs="Times New Roman"/>
          <w:kern w:val="2"/>
          <w:szCs w:val="21"/>
        </w:rPr>
        <w:t>day</w:t>
      </w:r>
      <w:r w:rsidRPr="00470F37">
        <w:rPr>
          <w:rFonts w:cs="Times New Roman" w:hint="eastAsia"/>
          <w:kern w:val="2"/>
          <w:szCs w:val="21"/>
        </w:rPr>
        <w:t>，接触人群按照新生儿</w:t>
      </w:r>
      <w:r w:rsidRPr="00470F37">
        <w:rPr>
          <w:rFonts w:cs="Times New Roman"/>
          <w:kern w:val="2"/>
          <w:szCs w:val="21"/>
        </w:rPr>
        <w:t>3.5</w:t>
      </w:r>
      <w:r w:rsidRPr="00470F37">
        <w:rPr>
          <w:rFonts w:cs="Times New Roman" w:hint="eastAsia"/>
          <w:kern w:val="2"/>
          <w:szCs w:val="21"/>
        </w:rPr>
        <w:t>kg</w:t>
      </w:r>
      <w:r w:rsidRPr="00470F37">
        <w:rPr>
          <w:rFonts w:cs="Times New Roman" w:hint="eastAsia"/>
          <w:kern w:val="2"/>
          <w:szCs w:val="21"/>
        </w:rPr>
        <w:t>的体重进行计算，其</w:t>
      </w:r>
      <w:r w:rsidRPr="00470F37">
        <w:rPr>
          <w:rFonts w:cs="Times New Roman"/>
          <w:kern w:val="2"/>
          <w:szCs w:val="21"/>
        </w:rPr>
        <w:t>可耐受接触</w:t>
      </w:r>
      <w:r w:rsidRPr="00470F37">
        <w:rPr>
          <w:rFonts w:cs="Times New Roman" w:hint="eastAsia"/>
          <w:kern w:val="2"/>
          <w:szCs w:val="21"/>
        </w:rPr>
        <w:t>量（</w:t>
      </w:r>
      <w:r w:rsidRPr="00470F37">
        <w:rPr>
          <w:rFonts w:cs="Times New Roman" w:hint="eastAsia"/>
          <w:kern w:val="2"/>
          <w:szCs w:val="21"/>
        </w:rPr>
        <w:t>TE</w:t>
      </w:r>
      <w:r w:rsidRPr="00470F37">
        <w:rPr>
          <w:rFonts w:cs="Times New Roman" w:hint="eastAsia"/>
          <w:kern w:val="2"/>
          <w:szCs w:val="21"/>
        </w:rPr>
        <w:t>）为</w:t>
      </w:r>
      <w:r w:rsidRPr="00470F37">
        <w:rPr>
          <w:rFonts w:cs="Times New Roman"/>
          <w:kern w:val="2"/>
          <w:szCs w:val="21"/>
        </w:rPr>
        <w:t>5</w:t>
      </w:r>
      <w:r w:rsidRPr="00470F37">
        <w:rPr>
          <w:rFonts w:cs="Times New Roman"/>
          <w:i/>
          <w:iCs/>
          <w:kern w:val="2"/>
          <w:szCs w:val="21"/>
        </w:rPr>
        <w:t>μ</w:t>
      </w:r>
      <w:r w:rsidRPr="00470F37">
        <w:rPr>
          <w:rFonts w:cs="Times New Roman"/>
          <w:kern w:val="2"/>
          <w:szCs w:val="21"/>
        </w:rPr>
        <w:t>g</w:t>
      </w:r>
      <w:r w:rsidRPr="00470F37">
        <w:rPr>
          <w:rFonts w:cs="Times New Roman" w:hint="eastAsia"/>
          <w:kern w:val="2"/>
          <w:szCs w:val="21"/>
        </w:rPr>
        <w:t>/</w:t>
      </w:r>
      <w:r w:rsidRPr="00470F37">
        <w:rPr>
          <w:rFonts w:cs="Times New Roman"/>
          <w:kern w:val="2"/>
          <w:szCs w:val="21"/>
        </w:rPr>
        <w:t>day</w:t>
      </w:r>
      <w:r w:rsidRPr="00470F37">
        <w:rPr>
          <w:rFonts w:cs="Times New Roman" w:hint="eastAsia"/>
          <w:kern w:val="2"/>
          <w:szCs w:val="21"/>
        </w:rPr>
        <w:t>，因此将指标修改为</w:t>
      </w:r>
      <w:r w:rsidRPr="00470F37">
        <w:rPr>
          <w:rFonts w:cs="Times New Roman"/>
          <w:kern w:val="2"/>
          <w:szCs w:val="21"/>
        </w:rPr>
        <w:t>5</w:t>
      </w:r>
      <w:r w:rsidRPr="00470F37">
        <w:rPr>
          <w:rFonts w:cs="Times New Roman"/>
          <w:i/>
          <w:iCs/>
          <w:kern w:val="2"/>
          <w:szCs w:val="21"/>
        </w:rPr>
        <w:t>μ</w:t>
      </w:r>
      <w:r w:rsidRPr="00470F37">
        <w:rPr>
          <w:rFonts w:cs="Times New Roman"/>
          <w:kern w:val="2"/>
          <w:szCs w:val="21"/>
        </w:rPr>
        <w:t>g</w:t>
      </w:r>
      <w:r w:rsidRPr="00470F37">
        <w:rPr>
          <w:rFonts w:cs="Times New Roman" w:hint="eastAsia"/>
          <w:kern w:val="2"/>
          <w:szCs w:val="21"/>
        </w:rPr>
        <w:t>/</w:t>
      </w:r>
      <w:r w:rsidRPr="00470F37">
        <w:rPr>
          <w:rFonts w:cs="Times New Roman" w:hint="eastAsia"/>
          <w:kern w:val="2"/>
          <w:szCs w:val="21"/>
        </w:rPr>
        <w:t>支。同时考虑到环氧乙烷化学性能比较活泼</w:t>
      </w:r>
      <w:r w:rsidRPr="00470F37">
        <w:rPr>
          <w:rFonts w:cs="Times New Roman"/>
          <w:kern w:val="2"/>
          <w:szCs w:val="21"/>
        </w:rPr>
        <w:t>可能会</w:t>
      </w:r>
      <w:r w:rsidRPr="00470F37">
        <w:rPr>
          <w:rFonts w:cs="Times New Roman" w:hint="eastAsia"/>
          <w:kern w:val="2"/>
          <w:szCs w:val="21"/>
        </w:rPr>
        <w:t>药物</w:t>
      </w:r>
      <w:r w:rsidRPr="00470F37">
        <w:rPr>
          <w:rFonts w:cs="Times New Roman"/>
          <w:kern w:val="2"/>
          <w:szCs w:val="21"/>
        </w:rPr>
        <w:t>带来一些潜在的风险</w:t>
      </w:r>
      <w:r w:rsidRPr="00470F37">
        <w:rPr>
          <w:rFonts w:cs="Times New Roman" w:hint="eastAsia"/>
          <w:kern w:val="2"/>
          <w:szCs w:val="21"/>
        </w:rPr>
        <w:t>，在标准中给出相关描述加以提示</w:t>
      </w:r>
      <w:r w:rsidRPr="00470F37">
        <w:rPr>
          <w:rFonts w:cs="Times New Roman"/>
          <w:kern w:val="2"/>
          <w:szCs w:val="21"/>
        </w:rPr>
        <w:t>。</w:t>
      </w:r>
    </w:p>
    <w:p w14:paraId="17A6A841" w14:textId="77777777" w:rsidR="005625A2" w:rsidRPr="00470F37" w:rsidRDefault="005625A2"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6</w:t>
      </w:r>
      <w:r w:rsidRPr="00470F37">
        <w:rPr>
          <w:rFonts w:cs="Times New Roman" w:hint="eastAsia"/>
          <w:b/>
          <w:bCs/>
          <w:kern w:val="2"/>
          <w:szCs w:val="21"/>
        </w:rPr>
        <w:t>．</w:t>
      </w:r>
      <w:r w:rsidRPr="00470F37">
        <w:rPr>
          <w:rFonts w:cs="Times New Roman"/>
          <w:b/>
          <w:bCs/>
          <w:kern w:val="2"/>
          <w:szCs w:val="21"/>
        </w:rPr>
        <w:t>关于滑动性能的说明</w:t>
      </w:r>
    </w:p>
    <w:p w14:paraId="6F918F91"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ISO11040</w:t>
      </w:r>
      <w:r w:rsidRPr="00470F37">
        <w:rPr>
          <w:rFonts w:cs="Times New Roman"/>
          <w:kern w:val="2"/>
          <w:szCs w:val="21"/>
        </w:rPr>
        <w:t>标准中给出了滑动性能测定目的</w:t>
      </w:r>
      <w:r w:rsidRPr="00470F37">
        <w:rPr>
          <w:rFonts w:cs="Times New Roman" w:hint="eastAsia"/>
          <w:kern w:val="2"/>
          <w:szCs w:val="21"/>
        </w:rPr>
        <w:t>，</w:t>
      </w:r>
      <w:r w:rsidRPr="00470F37">
        <w:rPr>
          <w:rFonts w:cs="Times New Roman"/>
          <w:kern w:val="2"/>
          <w:szCs w:val="21"/>
        </w:rPr>
        <w:t>即用于评估套筒内壁硅油润滑的质量和黏稠度</w:t>
      </w:r>
      <w:r w:rsidRPr="00470F37">
        <w:rPr>
          <w:rFonts w:cs="Times New Roman" w:hint="eastAsia"/>
          <w:kern w:val="2"/>
          <w:szCs w:val="21"/>
        </w:rPr>
        <w:t>。</w:t>
      </w:r>
      <w:r w:rsidRPr="00470F37">
        <w:rPr>
          <w:rFonts w:cs="Times New Roman"/>
          <w:kern w:val="2"/>
          <w:szCs w:val="21"/>
        </w:rPr>
        <w:t>但是市场上存在不喷涂硅油产品，同时该类产品也需评价滑动性能，用于评估活塞与套筒的配合性以及终产品的使用性能。综合考虑</w:t>
      </w:r>
      <w:r w:rsidRPr="00470F37">
        <w:rPr>
          <w:rFonts w:cs="Times New Roman" w:hint="eastAsia"/>
          <w:kern w:val="2"/>
          <w:szCs w:val="21"/>
        </w:rPr>
        <w:t>，</w:t>
      </w:r>
      <w:r w:rsidRPr="00470F37">
        <w:rPr>
          <w:rFonts w:cs="Times New Roman"/>
          <w:kern w:val="2"/>
          <w:szCs w:val="21"/>
        </w:rPr>
        <w:t>将原半组装中的滑动性能调整到中通则中，同时删除活塞润滑性。</w:t>
      </w:r>
    </w:p>
    <w:p w14:paraId="6A074D9E" w14:textId="6E354044" w:rsidR="005625A2" w:rsidRPr="00470F37" w:rsidRDefault="007F74FC" w:rsidP="005625A2">
      <w:pPr>
        <w:widowControl w:val="0"/>
        <w:adjustRightInd w:val="0"/>
        <w:snapToGrid w:val="0"/>
        <w:ind w:firstLine="422"/>
        <w:jc w:val="both"/>
        <w:rPr>
          <w:rFonts w:cs="Times New Roman"/>
          <w:b/>
          <w:bCs/>
          <w:kern w:val="2"/>
          <w:szCs w:val="21"/>
        </w:rPr>
      </w:pPr>
      <w:r w:rsidRPr="00470F37">
        <w:rPr>
          <w:rFonts w:cs="Times New Roman"/>
          <w:b/>
          <w:bCs/>
          <w:kern w:val="2"/>
          <w:szCs w:val="21"/>
        </w:rPr>
        <w:t>7</w:t>
      </w:r>
      <w:r w:rsidR="005625A2" w:rsidRPr="00470F37">
        <w:rPr>
          <w:rFonts w:cs="Times New Roman" w:hint="eastAsia"/>
          <w:b/>
          <w:bCs/>
          <w:kern w:val="2"/>
          <w:szCs w:val="21"/>
        </w:rPr>
        <w:t>．</w:t>
      </w:r>
      <w:r w:rsidR="005625A2" w:rsidRPr="00470F37">
        <w:rPr>
          <w:rFonts w:cs="Times New Roman"/>
          <w:b/>
          <w:bCs/>
          <w:kern w:val="2"/>
          <w:szCs w:val="21"/>
        </w:rPr>
        <w:t xml:space="preserve">9251 </w:t>
      </w:r>
      <w:r w:rsidR="005625A2" w:rsidRPr="00470F37">
        <w:rPr>
          <w:rFonts w:cs="Times New Roman"/>
          <w:b/>
          <w:bCs/>
          <w:kern w:val="2"/>
          <w:szCs w:val="21"/>
        </w:rPr>
        <w:t>细菌内毒素检查法应用指导原则</w:t>
      </w:r>
      <w:r w:rsidR="005625A2" w:rsidRPr="00470F37">
        <w:rPr>
          <w:rFonts w:cs="Times New Roman" w:hint="eastAsia"/>
          <w:b/>
          <w:bCs/>
          <w:kern w:val="2"/>
          <w:szCs w:val="21"/>
        </w:rPr>
        <w:t>中</w:t>
      </w:r>
      <w:r w:rsidR="005625A2" w:rsidRPr="00470F37">
        <w:rPr>
          <w:rFonts w:cs="Times New Roman"/>
          <w:b/>
          <w:bCs/>
          <w:kern w:val="2"/>
          <w:szCs w:val="21"/>
        </w:rPr>
        <w:t>拟修订的药包材内容</w:t>
      </w:r>
    </w:p>
    <w:p w14:paraId="3539A1F5" w14:textId="77777777" w:rsidR="005625A2" w:rsidRPr="00470F37" w:rsidRDefault="005625A2" w:rsidP="005625A2">
      <w:pPr>
        <w:widowControl w:val="0"/>
        <w:adjustRightInd w:val="0"/>
        <w:snapToGrid w:val="0"/>
        <w:ind w:firstLine="420"/>
        <w:jc w:val="both"/>
        <w:rPr>
          <w:rFonts w:cs="Times New Roman"/>
          <w:kern w:val="2"/>
          <w:szCs w:val="21"/>
        </w:rPr>
      </w:pPr>
      <w:r w:rsidRPr="00470F37">
        <w:rPr>
          <w:rFonts w:cs="Times New Roman"/>
          <w:kern w:val="2"/>
          <w:szCs w:val="21"/>
        </w:rPr>
        <w:t>细菌内毒素限值的设定</w:t>
      </w:r>
      <w:r w:rsidRPr="00470F37">
        <w:rPr>
          <w:rFonts w:cs="Times New Roman" w:hint="eastAsia"/>
          <w:kern w:val="2"/>
          <w:szCs w:val="21"/>
        </w:rPr>
        <w:t>拟增加如下内容：需要制定直接接触药品的包装材料和容器（简称药包材）的细菌内毒素限值时，应结合其所包装制剂的细菌内毒素限值一并考虑。</w:t>
      </w:r>
    </w:p>
    <w:p w14:paraId="28A123B0" w14:textId="77777777" w:rsidR="00AA2147" w:rsidRDefault="005625A2" w:rsidP="00AA2147">
      <w:pPr>
        <w:widowControl w:val="0"/>
        <w:adjustRightInd w:val="0"/>
        <w:snapToGrid w:val="0"/>
        <w:ind w:firstLine="420"/>
        <w:jc w:val="both"/>
        <w:rPr>
          <w:rFonts w:cs="Times New Roman"/>
          <w:kern w:val="2"/>
          <w:szCs w:val="21"/>
        </w:rPr>
      </w:pPr>
      <w:r w:rsidRPr="00470F37">
        <w:rPr>
          <w:rFonts w:cs="Times New Roman"/>
          <w:kern w:val="2"/>
          <w:szCs w:val="21"/>
        </w:rPr>
        <w:t>供试品的前处理方法</w:t>
      </w:r>
      <w:r w:rsidRPr="00470F37">
        <w:rPr>
          <w:rFonts w:cs="Times New Roman" w:hint="eastAsia"/>
          <w:kern w:val="2"/>
          <w:szCs w:val="21"/>
        </w:rPr>
        <w:t>拟增加如下内容：对于容器类药包材一般采用加入标示容量的内毒素检查用水浸泡容器内腔的方法进行供试液制备；对于非容器类的药包材，应将药包材置于无热原玻璃器皿内，一般加入不超过</w:t>
      </w:r>
      <w:r w:rsidRPr="00470F37">
        <w:rPr>
          <w:rFonts w:cs="Times New Roman"/>
          <w:kern w:val="2"/>
          <w:szCs w:val="21"/>
        </w:rPr>
        <w:t>40m</w:t>
      </w:r>
      <w:r w:rsidR="00753E68" w:rsidRPr="00470F37">
        <w:rPr>
          <w:rFonts w:cs="Times New Roman" w:hint="eastAsia"/>
          <w:kern w:val="2"/>
          <w:szCs w:val="21"/>
        </w:rPr>
        <w:t>l</w:t>
      </w:r>
      <w:r w:rsidRPr="00470F37">
        <w:rPr>
          <w:rFonts w:cs="Times New Roman" w:hint="eastAsia"/>
          <w:kern w:val="2"/>
          <w:szCs w:val="21"/>
        </w:rPr>
        <w:t>的细菌内毒素检查用水进行供试液制备，其中针对体积较大或者较小的药包材，可以相应的增加或者减少提取液的体积，同时在内毒素限量方面做出相应的调整。对于无菌供应的药包材，应采用</w:t>
      </w:r>
      <w:r w:rsidRPr="00C11F3D">
        <w:rPr>
          <w:rFonts w:cs="Times New Roman"/>
          <w:kern w:val="2"/>
          <w:szCs w:val="21"/>
        </w:rPr>
        <w:t>37℃±1℃</w:t>
      </w:r>
      <w:r w:rsidRPr="00C11F3D">
        <w:rPr>
          <w:rFonts w:cs="Times New Roman"/>
          <w:kern w:val="2"/>
          <w:szCs w:val="21"/>
        </w:rPr>
        <w:t>，提取不少于</w:t>
      </w:r>
      <w:r w:rsidRPr="00C11F3D">
        <w:rPr>
          <w:rFonts w:cs="Times New Roman"/>
          <w:kern w:val="2"/>
          <w:szCs w:val="21"/>
        </w:rPr>
        <w:t>1h</w:t>
      </w:r>
      <w:r w:rsidRPr="00470F37">
        <w:rPr>
          <w:rFonts w:cs="Times New Roman" w:hint="eastAsia"/>
          <w:kern w:val="2"/>
          <w:szCs w:val="21"/>
        </w:rPr>
        <w:t>的条件制备供试液；对于非无菌供应的包装无菌药品的药包材，应按照所包装制剂推荐的灭菌条件进行供试液制备。</w:t>
      </w:r>
    </w:p>
    <w:p w14:paraId="5E604D7E" w14:textId="10B96A4E" w:rsidR="00637CF0" w:rsidRPr="00AA2147" w:rsidRDefault="00637CF0" w:rsidP="00AA2147">
      <w:pPr>
        <w:widowControl w:val="0"/>
        <w:adjustRightInd w:val="0"/>
        <w:snapToGrid w:val="0"/>
        <w:ind w:firstLine="422"/>
        <w:jc w:val="both"/>
        <w:rPr>
          <w:rFonts w:cs="Times New Roman" w:hint="eastAsia"/>
          <w:kern w:val="2"/>
          <w:szCs w:val="21"/>
        </w:rPr>
      </w:pPr>
      <w:r w:rsidRPr="00470F37">
        <w:rPr>
          <w:rFonts w:cs="Times New Roman" w:hint="eastAsia"/>
          <w:b/>
          <w:bCs/>
          <w:kern w:val="2"/>
          <w:szCs w:val="21"/>
        </w:rPr>
        <w:t>四</w:t>
      </w:r>
      <w:r w:rsidRPr="00470F37">
        <w:rPr>
          <w:rFonts w:cs="Times New Roman"/>
          <w:b/>
          <w:bCs/>
          <w:kern w:val="2"/>
          <w:szCs w:val="21"/>
        </w:rPr>
        <w:t xml:space="preserve">. </w:t>
      </w:r>
      <w:r w:rsidR="00AA2147">
        <w:rPr>
          <w:rFonts w:cs="Times New Roman" w:hint="eastAsia"/>
          <w:b/>
          <w:bCs/>
          <w:kern w:val="2"/>
          <w:szCs w:val="21"/>
        </w:rPr>
        <w:t>反馈意见未</w:t>
      </w:r>
      <w:r w:rsidR="00AA2147">
        <w:rPr>
          <w:rFonts w:cs="Times New Roman"/>
          <w:b/>
          <w:bCs/>
          <w:kern w:val="2"/>
          <w:szCs w:val="21"/>
        </w:rPr>
        <w:t>采纳说明</w:t>
      </w:r>
    </w:p>
    <w:p w14:paraId="3C50EBA2" w14:textId="77777777" w:rsidR="00AA2147" w:rsidRPr="00470F37" w:rsidRDefault="00A87068" w:rsidP="00AA2147">
      <w:pPr>
        <w:widowControl w:val="0"/>
        <w:adjustRightInd w:val="0"/>
        <w:snapToGrid w:val="0"/>
        <w:ind w:firstLine="420"/>
        <w:jc w:val="both"/>
        <w:rPr>
          <w:rFonts w:cs="Times New Roman"/>
          <w:kern w:val="2"/>
          <w:szCs w:val="21"/>
        </w:rPr>
      </w:pPr>
      <w:r w:rsidRPr="00470F37">
        <w:rPr>
          <w:rFonts w:cs="Times New Roman" w:hint="eastAsia"/>
          <w:kern w:val="2"/>
          <w:szCs w:val="21"/>
        </w:rPr>
        <w:t>1</w:t>
      </w:r>
      <w:r w:rsidRPr="00470F37">
        <w:rPr>
          <w:rFonts w:cs="Times New Roman"/>
          <w:kern w:val="2"/>
          <w:szCs w:val="21"/>
        </w:rPr>
        <w:t>.</w:t>
      </w:r>
      <w:r w:rsidR="00AA2147" w:rsidRPr="00470F37">
        <w:rPr>
          <w:rFonts w:cs="Times New Roman"/>
          <w:kern w:val="2"/>
          <w:szCs w:val="21"/>
        </w:rPr>
        <w:t xml:space="preserve"> </w:t>
      </w:r>
      <w:r w:rsidR="00AA2147" w:rsidRPr="00470F37">
        <w:rPr>
          <w:rFonts w:cs="Times New Roman" w:hint="eastAsia"/>
          <w:kern w:val="2"/>
          <w:szCs w:val="21"/>
        </w:rPr>
        <w:t>通则</w:t>
      </w:r>
      <w:r w:rsidR="00AA2147" w:rsidRPr="00470F37">
        <w:rPr>
          <w:rFonts w:cs="Times New Roman" w:hint="eastAsia"/>
          <w:kern w:val="2"/>
          <w:szCs w:val="21"/>
        </w:rPr>
        <w:t>5</w:t>
      </w:r>
      <w:r w:rsidR="00AA2147" w:rsidRPr="00470F37">
        <w:rPr>
          <w:rFonts w:cs="Times New Roman"/>
          <w:kern w:val="2"/>
          <w:szCs w:val="21"/>
        </w:rPr>
        <w:t>510</w:t>
      </w:r>
      <w:r w:rsidR="00AA2147" w:rsidRPr="00470F37">
        <w:rPr>
          <w:rFonts w:cs="Times New Roman" w:hint="eastAsia"/>
          <w:kern w:val="2"/>
          <w:szCs w:val="21"/>
        </w:rPr>
        <w:t>中“产品质量控制”</w:t>
      </w:r>
    </w:p>
    <w:p w14:paraId="076C7488" w14:textId="77777777" w:rsidR="00AA2147" w:rsidRPr="00470F37" w:rsidRDefault="00AA2147" w:rsidP="00AA2147">
      <w:pPr>
        <w:widowControl w:val="0"/>
        <w:adjustRightInd w:val="0"/>
        <w:snapToGrid w:val="0"/>
        <w:ind w:firstLine="420"/>
        <w:jc w:val="both"/>
        <w:rPr>
          <w:rFonts w:cs="Times New Roman"/>
          <w:kern w:val="2"/>
          <w:szCs w:val="21"/>
        </w:rPr>
      </w:pPr>
      <w:r w:rsidRPr="00470F37">
        <w:rPr>
          <w:rFonts w:cs="Times New Roman" w:hint="eastAsia"/>
          <w:kern w:val="2"/>
          <w:szCs w:val="21"/>
        </w:rPr>
        <w:t>建议将“预灌封注射器的生产方和使用方，应以保证药品质量可控、满足临床需求和使用安全为目的，根据生产、使用的实际情况，选择合适的质量要求项目”修改为“为保证药品质量可控、满足临床需求和安全使用，药品生产企业和药包材生产企业就质量控制项目的责任达成一致”。</w:t>
      </w:r>
    </w:p>
    <w:p w14:paraId="40686E32" w14:textId="1C9AB91B" w:rsidR="00A87068" w:rsidRPr="00470F37" w:rsidRDefault="00AA2147" w:rsidP="00AA2147">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回复：未采纳。本通则不涉及药品生产企业和药包材生产企业关于质量控制责任方面的内容。</w:t>
      </w:r>
    </w:p>
    <w:p w14:paraId="7587B5BC" w14:textId="77777777" w:rsidR="00AA2147" w:rsidRPr="00470F37" w:rsidRDefault="00A87068" w:rsidP="00AA2147">
      <w:pPr>
        <w:widowControl w:val="0"/>
        <w:adjustRightInd w:val="0"/>
        <w:snapToGrid w:val="0"/>
        <w:ind w:firstLine="420"/>
        <w:jc w:val="both"/>
        <w:rPr>
          <w:rFonts w:cs="Times New Roman"/>
          <w:kern w:val="2"/>
          <w:szCs w:val="21"/>
        </w:rPr>
      </w:pPr>
      <w:r w:rsidRPr="00470F37">
        <w:rPr>
          <w:rFonts w:cs="Times New Roman" w:hint="eastAsia"/>
          <w:kern w:val="2"/>
          <w:szCs w:val="21"/>
        </w:rPr>
        <w:t>2</w:t>
      </w:r>
      <w:r w:rsidRPr="00470F37">
        <w:rPr>
          <w:rFonts w:cs="Times New Roman"/>
          <w:kern w:val="2"/>
          <w:szCs w:val="21"/>
        </w:rPr>
        <w:t xml:space="preserve">. </w:t>
      </w:r>
      <w:r w:rsidR="00AA2147" w:rsidRPr="00470F37">
        <w:rPr>
          <w:rFonts w:cs="Times New Roman" w:hint="eastAsia"/>
          <w:kern w:val="2"/>
          <w:szCs w:val="21"/>
        </w:rPr>
        <w:t>通则</w:t>
      </w:r>
      <w:r w:rsidR="00AA2147" w:rsidRPr="00470F37">
        <w:rPr>
          <w:rFonts w:cs="Times New Roman" w:hint="eastAsia"/>
          <w:kern w:val="2"/>
          <w:szCs w:val="21"/>
        </w:rPr>
        <w:t>5</w:t>
      </w:r>
      <w:r w:rsidR="00AA2147" w:rsidRPr="00470F37">
        <w:rPr>
          <w:rFonts w:cs="Times New Roman"/>
          <w:kern w:val="2"/>
          <w:szCs w:val="21"/>
        </w:rPr>
        <w:t>510</w:t>
      </w:r>
      <w:r w:rsidR="00AA2147" w:rsidRPr="00470F37">
        <w:rPr>
          <w:rFonts w:cs="Times New Roman" w:hint="eastAsia"/>
          <w:kern w:val="2"/>
          <w:szCs w:val="21"/>
        </w:rPr>
        <w:t>中“范围”</w:t>
      </w:r>
    </w:p>
    <w:p w14:paraId="7253E34E" w14:textId="77777777" w:rsidR="00AA2147" w:rsidRPr="00470F37" w:rsidRDefault="00AA2147" w:rsidP="00AA2147">
      <w:pPr>
        <w:widowControl w:val="0"/>
        <w:adjustRightInd w:val="0"/>
        <w:snapToGrid w:val="0"/>
        <w:ind w:firstLine="420"/>
        <w:jc w:val="both"/>
        <w:rPr>
          <w:rFonts w:cs="Times New Roman"/>
          <w:kern w:val="2"/>
          <w:szCs w:val="21"/>
        </w:rPr>
      </w:pPr>
      <w:r w:rsidRPr="00470F37">
        <w:rPr>
          <w:rFonts w:cs="Times New Roman" w:hint="eastAsia"/>
          <w:kern w:val="2"/>
          <w:szCs w:val="21"/>
        </w:rPr>
        <w:t>建议明晰该通则是否仅适用于以无菌形式供应的预灌封注射器。对于非无菌形式供应的</w:t>
      </w:r>
      <w:r w:rsidRPr="00470F37">
        <w:rPr>
          <w:rFonts w:cs="Times New Roman" w:hint="eastAsia"/>
          <w:kern w:val="2"/>
          <w:szCs w:val="21"/>
        </w:rPr>
        <w:lastRenderedPageBreak/>
        <w:t>注射器散件（如制剂生产厂需进一步加工的玻璃注射针筒等），请明确是否涵盖在本通则要求中。或请明晰具体相关通则（如玻璃注射针筒是否仅需要符合通则</w:t>
      </w:r>
      <w:r w:rsidRPr="00470F37">
        <w:rPr>
          <w:rFonts w:cs="Times New Roman"/>
          <w:kern w:val="2"/>
          <w:szCs w:val="21"/>
        </w:rPr>
        <w:t>5104</w:t>
      </w:r>
      <w:r w:rsidRPr="00470F37">
        <w:rPr>
          <w:rFonts w:cs="Times New Roman" w:hint="eastAsia"/>
          <w:kern w:val="2"/>
          <w:szCs w:val="21"/>
        </w:rPr>
        <w:t>等）。</w:t>
      </w:r>
    </w:p>
    <w:p w14:paraId="05258BA6" w14:textId="53E9E998" w:rsidR="00A87068" w:rsidRPr="00470F37" w:rsidRDefault="00AA2147"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回复：未采纳。适用范围已明确本通则适用于药品包装用巢盒包装无菌供应的预灌封注射器。药品包装用非无菌供应的预灌封注射器可参考本通则。</w:t>
      </w:r>
    </w:p>
    <w:p w14:paraId="1A30CC0F" w14:textId="77777777" w:rsidR="00C05BAA" w:rsidRPr="00470F37" w:rsidRDefault="0022063F" w:rsidP="00C05BAA">
      <w:pPr>
        <w:widowControl w:val="0"/>
        <w:adjustRightInd w:val="0"/>
        <w:snapToGrid w:val="0"/>
        <w:ind w:firstLine="420"/>
        <w:jc w:val="both"/>
        <w:rPr>
          <w:rFonts w:cs="Times New Roman"/>
          <w:kern w:val="2"/>
          <w:szCs w:val="21"/>
        </w:rPr>
      </w:pPr>
      <w:r w:rsidRPr="00470F37">
        <w:rPr>
          <w:rFonts w:cs="Times New Roman" w:hint="eastAsia"/>
          <w:kern w:val="2"/>
          <w:szCs w:val="21"/>
        </w:rPr>
        <w:t>3</w:t>
      </w:r>
      <w:r w:rsidRPr="00470F37">
        <w:rPr>
          <w:rFonts w:cs="Times New Roman"/>
          <w:kern w:val="2"/>
          <w:szCs w:val="21"/>
        </w:rPr>
        <w:t xml:space="preserve">. </w:t>
      </w:r>
      <w:r w:rsidR="00C05BAA" w:rsidRPr="00470F37">
        <w:rPr>
          <w:rFonts w:cs="Times New Roman" w:hint="eastAsia"/>
          <w:kern w:val="2"/>
          <w:szCs w:val="21"/>
        </w:rPr>
        <w:t>通则</w:t>
      </w:r>
      <w:r w:rsidR="00C05BAA" w:rsidRPr="00470F37">
        <w:rPr>
          <w:rFonts w:cs="Times New Roman" w:hint="eastAsia"/>
          <w:kern w:val="2"/>
          <w:szCs w:val="21"/>
        </w:rPr>
        <w:t>5</w:t>
      </w:r>
      <w:r w:rsidR="00C05BAA" w:rsidRPr="00470F37">
        <w:rPr>
          <w:rFonts w:cs="Times New Roman"/>
          <w:kern w:val="2"/>
          <w:szCs w:val="21"/>
        </w:rPr>
        <w:t>510</w:t>
      </w:r>
      <w:r w:rsidR="00C05BAA" w:rsidRPr="00470F37">
        <w:rPr>
          <w:rFonts w:cs="Times New Roman" w:hint="eastAsia"/>
          <w:kern w:val="2"/>
          <w:szCs w:val="21"/>
        </w:rPr>
        <w:t>中“组件和材料要求”</w:t>
      </w:r>
    </w:p>
    <w:p w14:paraId="5D110B41" w14:textId="77777777" w:rsidR="00C05BAA" w:rsidRPr="00470F37" w:rsidRDefault="00C05BAA" w:rsidP="00C05BAA">
      <w:pPr>
        <w:widowControl w:val="0"/>
        <w:adjustRightInd w:val="0"/>
        <w:snapToGrid w:val="0"/>
        <w:ind w:firstLine="420"/>
        <w:jc w:val="both"/>
        <w:rPr>
          <w:rFonts w:cs="Times New Roman"/>
          <w:kern w:val="2"/>
          <w:szCs w:val="21"/>
        </w:rPr>
      </w:pPr>
      <w:r w:rsidRPr="00470F37">
        <w:rPr>
          <w:rFonts w:cs="Times New Roman" w:hint="eastAsia"/>
          <w:kern w:val="2"/>
          <w:szCs w:val="21"/>
        </w:rPr>
        <w:t>建议半组装预灌封注射器应符合半组装预灌封注射器通则（通则</w:t>
      </w:r>
      <w:r w:rsidRPr="00470F37">
        <w:rPr>
          <w:rFonts w:cs="Times New Roman" w:hint="eastAsia"/>
          <w:kern w:val="2"/>
          <w:szCs w:val="21"/>
        </w:rPr>
        <w:t>5511</w:t>
      </w:r>
      <w:r w:rsidRPr="00470F37">
        <w:rPr>
          <w:rFonts w:cs="Times New Roman" w:hint="eastAsia"/>
          <w:kern w:val="2"/>
          <w:szCs w:val="21"/>
        </w:rPr>
        <w:t>）的要求或符合预灌封注射器用玻璃套筒通则（通则</w:t>
      </w:r>
      <w:r w:rsidRPr="00470F37">
        <w:rPr>
          <w:rFonts w:cs="Times New Roman" w:hint="eastAsia"/>
          <w:kern w:val="2"/>
          <w:szCs w:val="21"/>
        </w:rPr>
        <w:t>5104</w:t>
      </w:r>
      <w:r w:rsidRPr="00470F37">
        <w:rPr>
          <w:rFonts w:cs="Times New Roman" w:hint="eastAsia"/>
          <w:kern w:val="2"/>
          <w:szCs w:val="21"/>
        </w:rPr>
        <w:t>）。</w:t>
      </w:r>
    </w:p>
    <w:p w14:paraId="2C5E211C" w14:textId="3608A6C0" w:rsidR="0022063F" w:rsidRPr="00470F37" w:rsidRDefault="00C05BAA"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回复：未采纳。半组装预灌封注射器不仅包含套筒还包含护帽，且除玻璃半组装预灌封注射器外还包含塑料半组装预灌封注射器。</w:t>
      </w:r>
    </w:p>
    <w:p w14:paraId="69B777C8" w14:textId="77777777" w:rsidR="00C05BAA" w:rsidRPr="00470F37" w:rsidRDefault="0022063F" w:rsidP="00C05BAA">
      <w:pPr>
        <w:widowControl w:val="0"/>
        <w:adjustRightInd w:val="0"/>
        <w:snapToGrid w:val="0"/>
        <w:ind w:firstLine="420"/>
        <w:jc w:val="both"/>
        <w:rPr>
          <w:rFonts w:cs="Times New Roman"/>
          <w:bCs/>
          <w:kern w:val="2"/>
          <w:szCs w:val="21"/>
        </w:rPr>
      </w:pPr>
      <w:r w:rsidRPr="00470F37">
        <w:rPr>
          <w:rFonts w:cs="Times New Roman" w:hint="eastAsia"/>
          <w:kern w:val="2"/>
          <w:szCs w:val="21"/>
        </w:rPr>
        <w:t>4</w:t>
      </w:r>
      <w:r w:rsidRPr="00470F37">
        <w:rPr>
          <w:rFonts w:cs="Times New Roman"/>
          <w:kern w:val="2"/>
          <w:szCs w:val="21"/>
        </w:rPr>
        <w:t xml:space="preserve">. </w:t>
      </w:r>
      <w:r w:rsidR="00C05BAA" w:rsidRPr="00470F37">
        <w:rPr>
          <w:rFonts w:cs="Times New Roman" w:hint="eastAsia"/>
          <w:bCs/>
          <w:kern w:val="2"/>
          <w:szCs w:val="21"/>
        </w:rPr>
        <w:t>通则</w:t>
      </w:r>
      <w:r w:rsidR="00C05BAA" w:rsidRPr="00470F37">
        <w:rPr>
          <w:rFonts w:cs="Times New Roman" w:hint="eastAsia"/>
          <w:bCs/>
          <w:kern w:val="2"/>
          <w:szCs w:val="21"/>
        </w:rPr>
        <w:t>5</w:t>
      </w:r>
      <w:r w:rsidR="00C05BAA" w:rsidRPr="00470F37">
        <w:rPr>
          <w:rFonts w:cs="Times New Roman"/>
          <w:bCs/>
          <w:kern w:val="2"/>
          <w:szCs w:val="21"/>
        </w:rPr>
        <w:t>511</w:t>
      </w:r>
      <w:r w:rsidR="00C05BAA" w:rsidRPr="00470F37">
        <w:rPr>
          <w:rFonts w:cs="Times New Roman"/>
          <w:bCs/>
          <w:kern w:val="2"/>
          <w:szCs w:val="21"/>
        </w:rPr>
        <w:t>中</w:t>
      </w:r>
      <w:r w:rsidR="00C05BAA" w:rsidRPr="00470F37">
        <w:rPr>
          <w:rFonts w:ascii="宋体" w:hAnsi="宋体" w:cs="Times New Roman"/>
          <w:bCs/>
          <w:kern w:val="2"/>
          <w:szCs w:val="21"/>
        </w:rPr>
        <w:t>“</w:t>
      </w:r>
      <w:r w:rsidR="00C05BAA" w:rsidRPr="00470F37">
        <w:rPr>
          <w:rFonts w:ascii="宋体" w:hAnsi="宋体" w:cs="Times New Roman" w:hint="eastAsia"/>
          <w:bCs/>
          <w:kern w:val="2"/>
          <w:szCs w:val="21"/>
        </w:rPr>
        <w:t>生产要求</w:t>
      </w:r>
      <w:r w:rsidR="00C05BAA" w:rsidRPr="00470F37">
        <w:rPr>
          <w:rFonts w:ascii="宋体" w:hAnsi="宋体" w:cs="Times New Roman"/>
          <w:bCs/>
          <w:kern w:val="2"/>
          <w:szCs w:val="21"/>
        </w:rPr>
        <w:t>”</w:t>
      </w:r>
    </w:p>
    <w:p w14:paraId="3E7B1BE2" w14:textId="77777777" w:rsidR="00C05BAA" w:rsidRPr="00470F37" w:rsidRDefault="00C05BAA" w:rsidP="00C05BAA">
      <w:pPr>
        <w:widowControl w:val="0"/>
        <w:adjustRightInd w:val="0"/>
        <w:snapToGrid w:val="0"/>
        <w:ind w:firstLine="420"/>
        <w:jc w:val="both"/>
        <w:rPr>
          <w:rFonts w:cs="Times New Roman"/>
          <w:bCs/>
          <w:kern w:val="2"/>
          <w:szCs w:val="21"/>
        </w:rPr>
      </w:pPr>
      <w:r w:rsidRPr="00140080">
        <w:rPr>
          <w:rFonts w:cs="Times New Roman" w:hint="eastAsia"/>
          <w:bCs/>
          <w:kern w:val="2"/>
          <w:szCs w:val="21"/>
        </w:rPr>
        <w:t>即使灭菌工艺影响了套筒的颜色或透明度，只要符合规定，客户同意套筒的颜色和透明度，也可能不是问题</w:t>
      </w:r>
      <w:r w:rsidRPr="00470F37">
        <w:rPr>
          <w:rFonts w:cs="Times New Roman" w:hint="eastAsia"/>
          <w:bCs/>
          <w:kern w:val="2"/>
          <w:szCs w:val="21"/>
        </w:rPr>
        <w:t>，故建议删除“对于塑料半组装预灌封注射器应关注灭菌工艺对套筒颜色及透明度的影响”。</w:t>
      </w:r>
    </w:p>
    <w:p w14:paraId="6E05C473" w14:textId="4E8D38ED" w:rsidR="0022063F" w:rsidRPr="00C05BAA" w:rsidRDefault="00C05BAA" w:rsidP="00C05BAA">
      <w:pPr>
        <w:widowControl w:val="0"/>
        <w:adjustRightInd w:val="0"/>
        <w:snapToGrid w:val="0"/>
        <w:ind w:firstLine="420"/>
        <w:jc w:val="both"/>
        <w:rPr>
          <w:rFonts w:cs="Times New Roman" w:hint="eastAsia"/>
          <w:bCs/>
          <w:kern w:val="2"/>
          <w:szCs w:val="21"/>
        </w:rPr>
      </w:pPr>
      <w:r w:rsidRPr="00470F37">
        <w:rPr>
          <w:rFonts w:cs="Times New Roman" w:hint="eastAsia"/>
          <w:bCs/>
          <w:kern w:val="2"/>
          <w:szCs w:val="21"/>
        </w:rPr>
        <w:t>回复：未采纳。由于灭菌工艺可能会对塑料半组装预灌封注射器的套筒颜色及透明度产生影响，故本通则在生产要求中要求生产企业应对该方面问题进行关注，并非表示灭菌工艺影响了套筒颜色及透明度即不可接受。</w:t>
      </w:r>
    </w:p>
    <w:p w14:paraId="53264B6F" w14:textId="77777777" w:rsidR="00C05BAA" w:rsidRPr="00470F37" w:rsidRDefault="00BA34F0" w:rsidP="00C05BAA">
      <w:pPr>
        <w:widowControl w:val="0"/>
        <w:adjustRightInd w:val="0"/>
        <w:snapToGrid w:val="0"/>
        <w:ind w:firstLine="420"/>
        <w:jc w:val="both"/>
        <w:rPr>
          <w:rFonts w:cs="Times New Roman"/>
          <w:bCs/>
          <w:kern w:val="2"/>
          <w:szCs w:val="21"/>
        </w:rPr>
      </w:pPr>
      <w:r w:rsidRPr="00470F37">
        <w:rPr>
          <w:rFonts w:cs="Times New Roman" w:hint="eastAsia"/>
          <w:kern w:val="2"/>
          <w:szCs w:val="21"/>
        </w:rPr>
        <w:t>5</w:t>
      </w:r>
      <w:r w:rsidRPr="00470F37">
        <w:rPr>
          <w:rFonts w:cs="Times New Roman"/>
          <w:kern w:val="2"/>
          <w:szCs w:val="21"/>
        </w:rPr>
        <w:t xml:space="preserve">. </w:t>
      </w:r>
      <w:r w:rsidR="00C05BAA" w:rsidRPr="00470F37">
        <w:rPr>
          <w:rFonts w:cs="Times New Roman" w:hint="eastAsia"/>
          <w:bCs/>
          <w:kern w:val="2"/>
          <w:szCs w:val="21"/>
        </w:rPr>
        <w:t>通则</w:t>
      </w:r>
      <w:r w:rsidR="00C05BAA" w:rsidRPr="00470F37">
        <w:rPr>
          <w:rFonts w:cs="Times New Roman" w:hint="eastAsia"/>
          <w:bCs/>
          <w:kern w:val="2"/>
          <w:szCs w:val="21"/>
        </w:rPr>
        <w:t>5</w:t>
      </w:r>
      <w:r w:rsidR="00C05BAA" w:rsidRPr="00470F37">
        <w:rPr>
          <w:rFonts w:cs="Times New Roman"/>
          <w:bCs/>
          <w:kern w:val="2"/>
          <w:szCs w:val="21"/>
        </w:rPr>
        <w:t>511</w:t>
      </w:r>
      <w:r w:rsidR="00C05BAA" w:rsidRPr="00470F37">
        <w:rPr>
          <w:rFonts w:cs="Times New Roman"/>
          <w:bCs/>
          <w:kern w:val="2"/>
          <w:szCs w:val="21"/>
        </w:rPr>
        <w:t>中</w:t>
      </w:r>
      <w:r w:rsidR="00C05BAA" w:rsidRPr="00470F37">
        <w:rPr>
          <w:rFonts w:ascii="宋体" w:hAnsi="宋体" w:cs="Times New Roman"/>
          <w:bCs/>
          <w:kern w:val="2"/>
          <w:szCs w:val="21"/>
        </w:rPr>
        <w:t>“</w:t>
      </w:r>
      <w:r w:rsidR="00C05BAA" w:rsidRPr="00470F37">
        <w:rPr>
          <w:rFonts w:ascii="宋体" w:hAnsi="宋体" w:cs="Times New Roman" w:hint="eastAsia"/>
          <w:bCs/>
          <w:kern w:val="2"/>
          <w:szCs w:val="21"/>
        </w:rPr>
        <w:t>生产要求</w:t>
      </w:r>
      <w:r w:rsidR="00C05BAA" w:rsidRPr="00470F37">
        <w:rPr>
          <w:rFonts w:ascii="宋体" w:hAnsi="宋体" w:cs="Times New Roman"/>
          <w:bCs/>
          <w:kern w:val="2"/>
          <w:szCs w:val="21"/>
        </w:rPr>
        <w:t>”</w:t>
      </w:r>
    </w:p>
    <w:p w14:paraId="7F28B17E" w14:textId="77777777" w:rsidR="00C05BAA" w:rsidRPr="00470F37" w:rsidRDefault="00C05BAA" w:rsidP="00C05BAA">
      <w:pPr>
        <w:widowControl w:val="0"/>
        <w:adjustRightInd w:val="0"/>
        <w:snapToGrid w:val="0"/>
        <w:ind w:firstLine="420"/>
        <w:jc w:val="both"/>
        <w:rPr>
          <w:rFonts w:cs="Times New Roman"/>
          <w:kern w:val="2"/>
          <w:szCs w:val="21"/>
        </w:rPr>
      </w:pPr>
      <w:r w:rsidRPr="004E44FD">
        <w:rPr>
          <w:rFonts w:cs="Times New Roman" w:hint="eastAsia"/>
          <w:kern w:val="2"/>
          <w:szCs w:val="21"/>
        </w:rPr>
        <w:t>灌装设备也可以设计成适合半组装预灌装注射器的包装</w:t>
      </w:r>
      <w:r w:rsidRPr="00470F37">
        <w:rPr>
          <w:rFonts w:cs="Times New Roman" w:hint="eastAsia"/>
          <w:kern w:val="2"/>
          <w:szCs w:val="21"/>
        </w:rPr>
        <w:t>，建议将“巢板、巢盒的尺寸需考虑与药品生产企业灌装设备的配合性”修改为“包装的尺寸应由半组装预灌封注射器生产企业和买方协商确定”。</w:t>
      </w:r>
    </w:p>
    <w:p w14:paraId="76A95A00" w14:textId="7C05B342" w:rsidR="0022063F" w:rsidRPr="00C05BAA" w:rsidRDefault="00C05BAA"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回复：未采纳。通则中的描述与建议并不矛盾，故未采纳。</w:t>
      </w:r>
    </w:p>
    <w:p w14:paraId="4245B268" w14:textId="77777777" w:rsidR="00C05BAA" w:rsidRPr="004E44FD" w:rsidRDefault="00140080" w:rsidP="00C05BAA">
      <w:pPr>
        <w:widowControl w:val="0"/>
        <w:adjustRightInd w:val="0"/>
        <w:snapToGrid w:val="0"/>
        <w:ind w:firstLine="420"/>
        <w:jc w:val="both"/>
        <w:rPr>
          <w:rFonts w:cs="Times New Roman"/>
          <w:kern w:val="2"/>
          <w:szCs w:val="21"/>
        </w:rPr>
      </w:pPr>
      <w:r w:rsidRPr="00470F37">
        <w:rPr>
          <w:rFonts w:cs="Times New Roman" w:hint="eastAsia"/>
          <w:bCs/>
          <w:kern w:val="2"/>
          <w:szCs w:val="21"/>
        </w:rPr>
        <w:t>6</w:t>
      </w:r>
      <w:r w:rsidRPr="00470F37">
        <w:rPr>
          <w:rFonts w:cs="Times New Roman"/>
          <w:bCs/>
          <w:kern w:val="2"/>
          <w:szCs w:val="21"/>
        </w:rPr>
        <w:t xml:space="preserve">. </w:t>
      </w:r>
      <w:bookmarkStart w:id="0" w:name="_Hlk161820249"/>
      <w:r w:rsidR="00C05BAA" w:rsidRPr="00470F37">
        <w:rPr>
          <w:rFonts w:cs="Times New Roman" w:hint="eastAsia"/>
          <w:bCs/>
          <w:kern w:val="2"/>
          <w:szCs w:val="21"/>
        </w:rPr>
        <w:t>通则</w:t>
      </w:r>
      <w:r w:rsidR="00C05BAA" w:rsidRPr="00470F37">
        <w:rPr>
          <w:rFonts w:cs="Times New Roman" w:hint="eastAsia"/>
          <w:bCs/>
          <w:kern w:val="2"/>
          <w:szCs w:val="21"/>
        </w:rPr>
        <w:t>5</w:t>
      </w:r>
      <w:r w:rsidR="00C05BAA" w:rsidRPr="00470F37">
        <w:rPr>
          <w:rFonts w:cs="Times New Roman"/>
          <w:bCs/>
          <w:kern w:val="2"/>
          <w:szCs w:val="21"/>
        </w:rPr>
        <w:t>511</w:t>
      </w:r>
      <w:r w:rsidR="00C05BAA" w:rsidRPr="00470F37">
        <w:rPr>
          <w:rFonts w:cs="Times New Roman"/>
          <w:bCs/>
          <w:kern w:val="2"/>
          <w:szCs w:val="21"/>
        </w:rPr>
        <w:t>中</w:t>
      </w:r>
      <w:r w:rsidR="00C05BAA" w:rsidRPr="00470F37">
        <w:rPr>
          <w:rFonts w:ascii="宋体" w:hAnsi="宋体" w:cs="Times New Roman"/>
          <w:bCs/>
          <w:kern w:val="2"/>
          <w:szCs w:val="21"/>
        </w:rPr>
        <w:t>“</w:t>
      </w:r>
      <w:r w:rsidR="00C05BAA" w:rsidRPr="00470F37">
        <w:rPr>
          <w:rFonts w:ascii="宋体" w:hAnsi="宋体" w:cs="Times New Roman" w:hint="eastAsia"/>
          <w:bCs/>
          <w:kern w:val="2"/>
          <w:szCs w:val="21"/>
        </w:rPr>
        <w:t>生产要求</w:t>
      </w:r>
      <w:r w:rsidR="00C05BAA" w:rsidRPr="00470F37">
        <w:rPr>
          <w:rFonts w:ascii="宋体" w:hAnsi="宋体" w:cs="Times New Roman"/>
          <w:bCs/>
          <w:kern w:val="2"/>
          <w:szCs w:val="21"/>
        </w:rPr>
        <w:t>”</w:t>
      </w:r>
      <w:bookmarkEnd w:id="0"/>
    </w:p>
    <w:p w14:paraId="06DA1DD2" w14:textId="77777777" w:rsidR="00C05BAA" w:rsidRPr="00470F37" w:rsidRDefault="00C05BAA" w:rsidP="00C05BAA">
      <w:pPr>
        <w:widowControl w:val="0"/>
        <w:adjustRightInd w:val="0"/>
        <w:snapToGrid w:val="0"/>
        <w:ind w:firstLine="420"/>
        <w:jc w:val="both"/>
        <w:rPr>
          <w:rFonts w:cs="Times New Roman"/>
          <w:kern w:val="2"/>
          <w:szCs w:val="21"/>
        </w:rPr>
      </w:pPr>
      <w:r w:rsidRPr="00470F37">
        <w:rPr>
          <w:rFonts w:cs="Times New Roman" w:hint="eastAsia"/>
          <w:kern w:val="2"/>
          <w:szCs w:val="21"/>
        </w:rPr>
        <w:t>建议删除“保护袋可保护产品免受外部污染物（如灰尘或污垢）的污染</w:t>
      </w:r>
      <w:r w:rsidRPr="00470F37">
        <w:rPr>
          <w:rFonts w:cs="Times New Roman" w:hint="eastAsia"/>
          <w:kern w:val="2"/>
          <w:szCs w:val="21"/>
        </w:rPr>
        <w:t xml:space="preserve"> </w:t>
      </w:r>
      <w:r w:rsidRPr="00470F37">
        <w:rPr>
          <w:rFonts w:cs="Times New Roman" w:hint="eastAsia"/>
          <w:kern w:val="2"/>
          <w:szCs w:val="21"/>
        </w:rPr>
        <w:t>。如宣称保护袋在其货架期内可保持产品无菌，应对其无菌保持能力进行评价”，该要求已包含在“半组装预灌封注射器的包装系统应确保产品在其货架期内无菌”。</w:t>
      </w:r>
    </w:p>
    <w:p w14:paraId="25B5342E" w14:textId="0F1AF8B0" w:rsidR="00140080" w:rsidRPr="00C05BAA" w:rsidRDefault="00C05BAA"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回复：未采纳。保持产品在其货架期内无菌并非是保护袋必需具备的功能，仅是宣称保护袋具有该功能时，应对其无菌保持能力进行评价。</w:t>
      </w:r>
    </w:p>
    <w:p w14:paraId="2B03409A" w14:textId="77777777" w:rsidR="00C05BAA" w:rsidRPr="00470F37" w:rsidRDefault="00140080" w:rsidP="00C05BAA">
      <w:pPr>
        <w:widowControl w:val="0"/>
        <w:adjustRightInd w:val="0"/>
        <w:snapToGrid w:val="0"/>
        <w:ind w:firstLine="420"/>
        <w:jc w:val="both"/>
        <w:rPr>
          <w:rFonts w:ascii="宋体" w:hAnsi="宋体" w:cs="Times New Roman"/>
          <w:bCs/>
          <w:kern w:val="2"/>
          <w:szCs w:val="21"/>
        </w:rPr>
      </w:pPr>
      <w:r w:rsidRPr="00470F37">
        <w:rPr>
          <w:rFonts w:cs="Times New Roman" w:hint="eastAsia"/>
          <w:bCs/>
          <w:kern w:val="2"/>
          <w:szCs w:val="21"/>
        </w:rPr>
        <w:t>7</w:t>
      </w:r>
      <w:r w:rsidRPr="00470F37">
        <w:rPr>
          <w:rFonts w:cs="Times New Roman"/>
          <w:bCs/>
          <w:kern w:val="2"/>
          <w:szCs w:val="21"/>
        </w:rPr>
        <w:t xml:space="preserve">. </w:t>
      </w:r>
      <w:r w:rsidR="00C05BAA" w:rsidRPr="00470F37">
        <w:rPr>
          <w:rFonts w:cs="Times New Roman" w:hint="eastAsia"/>
          <w:bCs/>
          <w:kern w:val="2"/>
          <w:szCs w:val="21"/>
        </w:rPr>
        <w:t>通则</w:t>
      </w:r>
      <w:r w:rsidR="00C05BAA" w:rsidRPr="00470F37">
        <w:rPr>
          <w:rFonts w:cs="Times New Roman" w:hint="eastAsia"/>
          <w:bCs/>
          <w:kern w:val="2"/>
          <w:szCs w:val="21"/>
        </w:rPr>
        <w:t>5</w:t>
      </w:r>
      <w:r w:rsidR="00C05BAA" w:rsidRPr="00470F37">
        <w:rPr>
          <w:rFonts w:cs="Times New Roman"/>
          <w:bCs/>
          <w:kern w:val="2"/>
          <w:szCs w:val="21"/>
        </w:rPr>
        <w:t>511</w:t>
      </w:r>
      <w:r w:rsidR="00C05BAA" w:rsidRPr="00470F37">
        <w:rPr>
          <w:rFonts w:cs="Times New Roman"/>
          <w:bCs/>
          <w:kern w:val="2"/>
          <w:szCs w:val="21"/>
        </w:rPr>
        <w:t>中</w:t>
      </w:r>
      <w:r w:rsidR="00C05BAA" w:rsidRPr="00470F37">
        <w:rPr>
          <w:rFonts w:ascii="宋体" w:hAnsi="宋体" w:cs="Times New Roman"/>
          <w:bCs/>
          <w:kern w:val="2"/>
          <w:szCs w:val="21"/>
        </w:rPr>
        <w:t>“</w:t>
      </w:r>
      <w:r w:rsidR="00C05BAA" w:rsidRPr="00470F37">
        <w:rPr>
          <w:rFonts w:ascii="宋体" w:hAnsi="宋体" w:cs="Times New Roman" w:hint="eastAsia"/>
          <w:bCs/>
          <w:kern w:val="2"/>
          <w:szCs w:val="21"/>
        </w:rPr>
        <w:t>鲁尔圆锥接头</w:t>
      </w:r>
      <w:r w:rsidR="00C05BAA" w:rsidRPr="00470F37">
        <w:rPr>
          <w:rFonts w:ascii="宋体" w:hAnsi="宋体" w:cs="Times New Roman"/>
          <w:bCs/>
          <w:kern w:val="2"/>
          <w:szCs w:val="21"/>
        </w:rPr>
        <w:t>”</w:t>
      </w:r>
    </w:p>
    <w:p w14:paraId="36D22D8F" w14:textId="77777777" w:rsidR="00C05BAA" w:rsidRPr="00470F37" w:rsidRDefault="00C05BAA" w:rsidP="00C05BAA">
      <w:pPr>
        <w:widowControl w:val="0"/>
        <w:adjustRightInd w:val="0"/>
        <w:snapToGrid w:val="0"/>
        <w:ind w:firstLine="420"/>
        <w:jc w:val="both"/>
        <w:rPr>
          <w:rFonts w:cs="Times New Roman"/>
          <w:kern w:val="2"/>
          <w:szCs w:val="21"/>
        </w:rPr>
      </w:pPr>
      <w:r w:rsidRPr="009749E2">
        <w:rPr>
          <w:rFonts w:cs="Times New Roman" w:hint="eastAsia"/>
          <w:kern w:val="2"/>
          <w:szCs w:val="21"/>
        </w:rPr>
        <w:t>半组装预灌封注射器不可用，因此无需进行临床安全性测试。</w:t>
      </w:r>
      <w:r w:rsidRPr="00470F37">
        <w:rPr>
          <w:rFonts w:cs="Times New Roman" w:hint="eastAsia"/>
          <w:kern w:val="2"/>
          <w:szCs w:val="21"/>
        </w:rPr>
        <w:t>建议将“用于评价不桩针半组装预灌封注射器鲁尔圆锥接头的适配性以及临床使用安全性”修改为“用于评价不桩针半组装预灌封注射器鲁尔圆锥接头的适配性以及临床前使用安全性”。</w:t>
      </w:r>
    </w:p>
    <w:p w14:paraId="580E4349" w14:textId="73EFC8E3" w:rsidR="00140080" w:rsidRPr="00C05BAA" w:rsidRDefault="00C05BAA"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回复：未采纳。不桩针半组装预灌封注射器在生产后直到临床使用，这期间其鲁尔圆锥接头不再变化，因此需要对半组装预灌封注射器鲁尔圆锥接头的临床使用安全性进行评价。</w:t>
      </w:r>
    </w:p>
    <w:p w14:paraId="4E7B9C04" w14:textId="77777777" w:rsidR="00C05BAA" w:rsidRPr="009749E2" w:rsidRDefault="004E44FD" w:rsidP="00C05BAA">
      <w:pPr>
        <w:widowControl w:val="0"/>
        <w:adjustRightInd w:val="0"/>
        <w:snapToGrid w:val="0"/>
        <w:ind w:firstLine="420"/>
        <w:jc w:val="both"/>
        <w:rPr>
          <w:rFonts w:cs="Times New Roman"/>
          <w:kern w:val="2"/>
          <w:szCs w:val="21"/>
        </w:rPr>
      </w:pPr>
      <w:r w:rsidRPr="00470F37">
        <w:rPr>
          <w:rFonts w:cs="Times New Roman" w:hint="eastAsia"/>
          <w:bCs/>
          <w:kern w:val="2"/>
          <w:szCs w:val="21"/>
        </w:rPr>
        <w:t>8</w:t>
      </w:r>
      <w:r w:rsidRPr="00470F37">
        <w:rPr>
          <w:rFonts w:cs="Times New Roman"/>
          <w:bCs/>
          <w:kern w:val="2"/>
          <w:szCs w:val="21"/>
        </w:rPr>
        <w:t xml:space="preserve">. </w:t>
      </w:r>
      <w:r w:rsidR="00C05BAA" w:rsidRPr="00470F37">
        <w:rPr>
          <w:rFonts w:cs="Times New Roman" w:hint="eastAsia"/>
          <w:bCs/>
          <w:kern w:val="2"/>
          <w:szCs w:val="21"/>
        </w:rPr>
        <w:t>通则</w:t>
      </w:r>
      <w:r w:rsidR="00C05BAA" w:rsidRPr="00470F37">
        <w:rPr>
          <w:rFonts w:cs="Times New Roman" w:hint="eastAsia"/>
          <w:bCs/>
          <w:kern w:val="2"/>
          <w:szCs w:val="21"/>
        </w:rPr>
        <w:t>5</w:t>
      </w:r>
      <w:r w:rsidR="00C05BAA" w:rsidRPr="00470F37">
        <w:rPr>
          <w:rFonts w:cs="Times New Roman"/>
          <w:bCs/>
          <w:kern w:val="2"/>
          <w:szCs w:val="21"/>
        </w:rPr>
        <w:t>511</w:t>
      </w:r>
      <w:r w:rsidR="00C05BAA" w:rsidRPr="00470F37">
        <w:rPr>
          <w:rFonts w:cs="Times New Roman"/>
          <w:bCs/>
          <w:kern w:val="2"/>
          <w:szCs w:val="21"/>
        </w:rPr>
        <w:t>中</w:t>
      </w:r>
      <w:r w:rsidR="00C05BAA" w:rsidRPr="00470F37">
        <w:rPr>
          <w:rFonts w:ascii="宋体" w:hAnsi="宋体" w:cs="Times New Roman"/>
          <w:bCs/>
          <w:kern w:val="2"/>
          <w:szCs w:val="21"/>
        </w:rPr>
        <w:t>“</w:t>
      </w:r>
      <w:r w:rsidR="00C05BAA" w:rsidRPr="00470F37">
        <w:rPr>
          <w:rFonts w:ascii="宋体" w:hAnsi="宋体" w:cs="Times New Roman" w:hint="eastAsia"/>
          <w:bCs/>
          <w:kern w:val="2"/>
          <w:szCs w:val="21"/>
        </w:rPr>
        <w:t>针</w:t>
      </w:r>
      <w:r w:rsidR="00C05BAA" w:rsidRPr="00470F37">
        <w:rPr>
          <w:rFonts w:ascii="宋体" w:hAnsi="宋体" w:cs="Times New Roman"/>
          <w:bCs/>
          <w:kern w:val="2"/>
          <w:szCs w:val="21"/>
        </w:rPr>
        <w:t>”</w:t>
      </w:r>
    </w:p>
    <w:p w14:paraId="771D268F" w14:textId="77777777" w:rsidR="00C05BAA" w:rsidRPr="00470F37" w:rsidRDefault="00C05BAA" w:rsidP="00C05BAA">
      <w:pPr>
        <w:widowControl w:val="0"/>
        <w:adjustRightInd w:val="0"/>
        <w:snapToGrid w:val="0"/>
        <w:ind w:firstLine="420"/>
        <w:rPr>
          <w:rFonts w:cs="Times New Roman"/>
          <w:kern w:val="2"/>
          <w:szCs w:val="21"/>
        </w:rPr>
      </w:pPr>
      <w:r w:rsidRPr="009749E2">
        <w:rPr>
          <w:rFonts w:cs="Times New Roman" w:hint="eastAsia"/>
          <w:kern w:val="2"/>
          <w:szCs w:val="21"/>
        </w:rPr>
        <w:lastRenderedPageBreak/>
        <w:t>半组装预灌封注射器不可用，因此无需进行临床安全性测试。</w:t>
      </w:r>
      <w:r w:rsidRPr="00470F37">
        <w:rPr>
          <w:rFonts w:cs="Times New Roman" w:hint="eastAsia"/>
          <w:kern w:val="2"/>
          <w:szCs w:val="21"/>
        </w:rPr>
        <w:t>建议将“用于评价桩针半组装预灌封注射器针的临床使用安全性及相关性能。”修改为“用于评价桩针半组装预灌封注射器针的临床前使用安全性及相关性能”</w:t>
      </w:r>
    </w:p>
    <w:p w14:paraId="5B8C4A99" w14:textId="67129453" w:rsidR="00910D96" w:rsidRPr="00470F37" w:rsidRDefault="00C05BAA" w:rsidP="00C05BAA">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回复：未采纳。桩针半组装预灌封注射器在生产后直到临床使用，这期间其针不再变化，因此需要对半组装预灌封注射器鲁尔圆锥接头的临床使用安全性进行评价。</w:t>
      </w:r>
    </w:p>
    <w:p w14:paraId="3B543043" w14:textId="77777777" w:rsidR="00C7090E" w:rsidRPr="00470F37" w:rsidRDefault="00D70618" w:rsidP="00C7090E">
      <w:pPr>
        <w:widowControl w:val="0"/>
        <w:adjustRightInd w:val="0"/>
        <w:snapToGrid w:val="0"/>
        <w:ind w:firstLine="420"/>
        <w:jc w:val="both"/>
        <w:rPr>
          <w:rFonts w:ascii="宋体" w:hAnsi="宋体" w:cs="Times New Roman"/>
          <w:bCs/>
          <w:kern w:val="2"/>
          <w:szCs w:val="21"/>
        </w:rPr>
      </w:pPr>
      <w:r w:rsidRPr="00470F37">
        <w:rPr>
          <w:rFonts w:cs="Times New Roman" w:hint="eastAsia"/>
          <w:kern w:val="2"/>
          <w:szCs w:val="21"/>
        </w:rPr>
        <w:t>9</w:t>
      </w:r>
      <w:r w:rsidRPr="00470F37">
        <w:rPr>
          <w:rFonts w:cs="Times New Roman"/>
          <w:kern w:val="2"/>
          <w:szCs w:val="21"/>
        </w:rPr>
        <w:t xml:space="preserve">. </w:t>
      </w:r>
      <w:r w:rsidR="00C7090E" w:rsidRPr="00470F37">
        <w:rPr>
          <w:rFonts w:cs="Times New Roman" w:hint="eastAsia"/>
          <w:bCs/>
          <w:kern w:val="2"/>
          <w:szCs w:val="21"/>
        </w:rPr>
        <w:t>通则</w:t>
      </w:r>
      <w:r w:rsidR="00C7090E" w:rsidRPr="00470F37">
        <w:rPr>
          <w:rFonts w:cs="Times New Roman" w:hint="eastAsia"/>
          <w:bCs/>
          <w:kern w:val="2"/>
          <w:szCs w:val="21"/>
        </w:rPr>
        <w:t>5</w:t>
      </w:r>
      <w:r w:rsidR="00C7090E" w:rsidRPr="00470F37">
        <w:rPr>
          <w:rFonts w:cs="Times New Roman"/>
          <w:bCs/>
          <w:kern w:val="2"/>
          <w:szCs w:val="21"/>
        </w:rPr>
        <w:t>511</w:t>
      </w:r>
      <w:r w:rsidR="00C7090E" w:rsidRPr="00470F37">
        <w:rPr>
          <w:rFonts w:cs="Times New Roman"/>
          <w:bCs/>
          <w:kern w:val="2"/>
          <w:szCs w:val="21"/>
        </w:rPr>
        <w:t>中</w:t>
      </w:r>
      <w:r w:rsidR="00C7090E" w:rsidRPr="00470F37">
        <w:rPr>
          <w:rFonts w:ascii="宋体" w:hAnsi="宋体" w:cs="Times New Roman"/>
          <w:bCs/>
          <w:kern w:val="2"/>
          <w:szCs w:val="21"/>
        </w:rPr>
        <w:t>“</w:t>
      </w:r>
      <w:r w:rsidR="00C7090E" w:rsidRPr="00470F37">
        <w:rPr>
          <w:rFonts w:ascii="宋体" w:hAnsi="宋体" w:cs="Times New Roman" w:hint="eastAsia"/>
          <w:bCs/>
          <w:kern w:val="2"/>
          <w:szCs w:val="21"/>
        </w:rPr>
        <w:t>环氧乙烷残留量</w:t>
      </w:r>
      <w:r w:rsidR="00C7090E" w:rsidRPr="00470F37">
        <w:rPr>
          <w:rFonts w:ascii="宋体" w:hAnsi="宋体" w:cs="Times New Roman"/>
          <w:bCs/>
          <w:kern w:val="2"/>
          <w:szCs w:val="21"/>
        </w:rPr>
        <w:t>”</w:t>
      </w:r>
    </w:p>
    <w:p w14:paraId="27CC3D1A" w14:textId="77777777" w:rsidR="00C7090E" w:rsidRPr="00263F3C" w:rsidRDefault="00C7090E" w:rsidP="00C7090E">
      <w:pPr>
        <w:widowControl w:val="0"/>
        <w:adjustRightInd w:val="0"/>
        <w:snapToGrid w:val="0"/>
        <w:ind w:firstLine="420"/>
        <w:jc w:val="both"/>
        <w:rPr>
          <w:rFonts w:cs="Times New Roman"/>
          <w:kern w:val="2"/>
          <w:szCs w:val="21"/>
        </w:rPr>
      </w:pPr>
      <w:r w:rsidRPr="00470F37">
        <w:rPr>
          <w:rFonts w:cs="Times New Roman" w:hint="eastAsia"/>
          <w:kern w:val="2"/>
          <w:szCs w:val="21"/>
        </w:rPr>
        <w:t>建议修改为“</w:t>
      </w:r>
      <w:r w:rsidRPr="00263F3C">
        <w:rPr>
          <w:rFonts w:cs="Times New Roman" w:hint="eastAsia"/>
          <w:kern w:val="2"/>
          <w:szCs w:val="21"/>
        </w:rPr>
        <w:t>用于评价采用环氧乙烷灭菌的产品灭菌剂残留量。如采用环氧乙烷灭菌，需考虑环氧乙烷对患者带来的风险以及对药物产生的影响。取样品，照药包材环氧乙烷测定法（通则</w:t>
      </w:r>
      <w:r w:rsidRPr="00263F3C">
        <w:rPr>
          <w:rFonts w:cs="Times New Roman"/>
          <w:kern w:val="2"/>
          <w:szCs w:val="21"/>
        </w:rPr>
        <w:t>4209</w:t>
      </w:r>
      <w:r w:rsidRPr="00263F3C">
        <w:rPr>
          <w:rFonts w:cs="Times New Roman" w:hint="eastAsia"/>
          <w:kern w:val="2"/>
          <w:szCs w:val="21"/>
        </w:rPr>
        <w:t>）进行试验，方法</w:t>
      </w:r>
      <w:r w:rsidRPr="00263F3C">
        <w:rPr>
          <w:rFonts w:cs="Times New Roman"/>
          <w:kern w:val="2"/>
          <w:szCs w:val="21"/>
        </w:rPr>
        <w:t>1</w:t>
      </w:r>
      <w:r w:rsidRPr="00263F3C">
        <w:rPr>
          <w:rFonts w:cs="Times New Roman" w:hint="eastAsia"/>
          <w:kern w:val="2"/>
          <w:szCs w:val="21"/>
        </w:rPr>
        <w:t>中每支样品的环氧乙烷残留量应小于</w:t>
      </w:r>
      <w:r w:rsidRPr="00263F3C">
        <w:rPr>
          <w:rFonts w:cs="Times New Roman"/>
          <w:kern w:val="2"/>
          <w:szCs w:val="21"/>
        </w:rPr>
        <w:t>5 μg</w:t>
      </w:r>
      <w:r w:rsidRPr="00263F3C">
        <w:rPr>
          <w:rFonts w:cs="Times New Roman" w:hint="eastAsia"/>
          <w:kern w:val="2"/>
          <w:szCs w:val="21"/>
        </w:rPr>
        <w:t>。当使用方法</w:t>
      </w:r>
      <w:r w:rsidRPr="00263F3C">
        <w:rPr>
          <w:rFonts w:cs="Times New Roman"/>
          <w:kern w:val="2"/>
          <w:szCs w:val="21"/>
        </w:rPr>
        <w:t>2</w:t>
      </w:r>
      <w:r w:rsidRPr="00263F3C">
        <w:rPr>
          <w:rFonts w:cs="Times New Roman" w:hint="eastAsia"/>
          <w:kern w:val="2"/>
          <w:szCs w:val="21"/>
        </w:rPr>
        <w:t>时，应在考虑风险评估的情况下建立接受标准</w:t>
      </w:r>
      <w:r w:rsidRPr="00263F3C">
        <w:rPr>
          <w:rFonts w:cs="Times New Roman"/>
          <w:kern w:val="2"/>
          <w:szCs w:val="21"/>
        </w:rPr>
        <w:t>(</w:t>
      </w:r>
      <w:r w:rsidRPr="00263F3C">
        <w:rPr>
          <w:rFonts w:cs="Times New Roman" w:hint="eastAsia"/>
          <w:kern w:val="2"/>
          <w:szCs w:val="21"/>
        </w:rPr>
        <w:t>因为样品的大小可能会对接受标准、目标人群、注射部位产生影响</w:t>
      </w:r>
      <w:r w:rsidRPr="00263F3C">
        <w:rPr>
          <w:rFonts w:cs="Times New Roman"/>
          <w:kern w:val="2"/>
          <w:szCs w:val="21"/>
        </w:rPr>
        <w:t>)</w:t>
      </w:r>
      <w:r w:rsidRPr="00263F3C">
        <w:rPr>
          <w:rFonts w:cs="Times New Roman" w:hint="eastAsia"/>
          <w:kern w:val="2"/>
          <w:szCs w:val="21"/>
        </w:rPr>
        <w:t>。</w:t>
      </w:r>
      <w:r w:rsidRPr="00263F3C">
        <w:rPr>
          <w:rFonts w:cs="Times New Roman"/>
          <w:kern w:val="2"/>
          <w:szCs w:val="21"/>
        </w:rPr>
        <w:t>ISO 10993-7</w:t>
      </w:r>
      <w:r w:rsidRPr="00263F3C">
        <w:rPr>
          <w:rFonts w:cs="Times New Roman" w:hint="eastAsia"/>
          <w:kern w:val="2"/>
          <w:szCs w:val="21"/>
        </w:rPr>
        <w:t>提供了计算接受标准的指南。如果工艺验证可以证明环氧乙烷残留量是符合的（在工艺验证时进行该项测试，然后根据工艺参数验证进行批次放行），那么可以在放行时免于该项测试</w:t>
      </w:r>
      <w:r w:rsidRPr="00470F37">
        <w:rPr>
          <w:rFonts w:cs="Times New Roman" w:hint="eastAsia"/>
          <w:kern w:val="2"/>
          <w:szCs w:val="21"/>
        </w:rPr>
        <w:t>”</w:t>
      </w:r>
      <w:r w:rsidRPr="00263F3C">
        <w:rPr>
          <w:rFonts w:cs="Times New Roman" w:hint="eastAsia"/>
          <w:kern w:val="2"/>
          <w:szCs w:val="21"/>
        </w:rPr>
        <w:t>。</w:t>
      </w:r>
    </w:p>
    <w:p w14:paraId="38112691" w14:textId="66FACF9F" w:rsidR="00D70618" w:rsidRPr="00470F37" w:rsidRDefault="00C7090E" w:rsidP="00C7090E">
      <w:pPr>
        <w:widowControl w:val="0"/>
        <w:adjustRightInd w:val="0"/>
        <w:snapToGrid w:val="0"/>
        <w:ind w:firstLine="420"/>
        <w:jc w:val="both"/>
        <w:rPr>
          <w:rFonts w:cs="Times New Roman" w:hint="eastAsia"/>
          <w:kern w:val="2"/>
          <w:szCs w:val="21"/>
        </w:rPr>
      </w:pPr>
      <w:r w:rsidRPr="00470F37">
        <w:rPr>
          <w:rFonts w:cs="Times New Roman" w:hint="eastAsia"/>
          <w:kern w:val="2"/>
          <w:szCs w:val="21"/>
        </w:rPr>
        <w:t>回复：未采纳。</w:t>
      </w:r>
      <w:r>
        <w:rPr>
          <w:rFonts w:cs="Times New Roman" w:hint="eastAsia"/>
          <w:kern w:val="2"/>
          <w:szCs w:val="21"/>
        </w:rPr>
        <w:t>企业应</w:t>
      </w:r>
      <w:r>
        <w:rPr>
          <w:rFonts w:cs="Times New Roman"/>
          <w:kern w:val="2"/>
          <w:szCs w:val="21"/>
        </w:rPr>
        <w:t>制定企业标准或质量协议，规定放行要求</w:t>
      </w:r>
      <w:r w:rsidRPr="00470F37">
        <w:rPr>
          <w:rFonts w:cs="Times New Roman" w:hint="eastAsia"/>
          <w:kern w:val="2"/>
          <w:szCs w:val="21"/>
        </w:rPr>
        <w:t>。</w:t>
      </w:r>
    </w:p>
    <w:p w14:paraId="4D3296D0" w14:textId="04E84240" w:rsidR="00263F3C" w:rsidRPr="00C7090E" w:rsidRDefault="00D70618" w:rsidP="00C7090E">
      <w:pPr>
        <w:widowControl w:val="0"/>
        <w:adjustRightInd w:val="0"/>
        <w:snapToGrid w:val="0"/>
        <w:ind w:firstLine="420"/>
        <w:jc w:val="both"/>
        <w:rPr>
          <w:rFonts w:cs="Times New Roman"/>
          <w:kern w:val="2"/>
          <w:szCs w:val="21"/>
        </w:rPr>
      </w:pPr>
      <w:r w:rsidRPr="00470F37">
        <w:rPr>
          <w:rFonts w:cs="Times New Roman" w:hint="eastAsia"/>
          <w:kern w:val="2"/>
          <w:szCs w:val="21"/>
        </w:rPr>
        <w:t>1</w:t>
      </w:r>
      <w:r w:rsidRPr="00470F37">
        <w:rPr>
          <w:rFonts w:cs="Times New Roman"/>
          <w:kern w:val="2"/>
          <w:szCs w:val="21"/>
        </w:rPr>
        <w:t xml:space="preserve">0. </w:t>
      </w:r>
      <w:r w:rsidR="00263F3C" w:rsidRPr="00470F37">
        <w:rPr>
          <w:rFonts w:cs="Times New Roman" w:hint="eastAsia"/>
          <w:bCs/>
          <w:kern w:val="2"/>
          <w:szCs w:val="21"/>
        </w:rPr>
        <w:t>通则</w:t>
      </w:r>
      <w:r w:rsidR="00263F3C" w:rsidRPr="00470F37">
        <w:rPr>
          <w:rFonts w:cs="Times New Roman" w:hint="eastAsia"/>
          <w:bCs/>
          <w:kern w:val="2"/>
          <w:szCs w:val="21"/>
        </w:rPr>
        <w:t>5</w:t>
      </w:r>
      <w:r w:rsidR="00263F3C" w:rsidRPr="00470F37">
        <w:rPr>
          <w:rFonts w:cs="Times New Roman"/>
          <w:bCs/>
          <w:kern w:val="2"/>
          <w:szCs w:val="21"/>
        </w:rPr>
        <w:t>511</w:t>
      </w:r>
      <w:r w:rsidR="00263F3C" w:rsidRPr="00470F37">
        <w:rPr>
          <w:rFonts w:cs="Times New Roman"/>
          <w:bCs/>
          <w:kern w:val="2"/>
          <w:szCs w:val="21"/>
        </w:rPr>
        <w:t>中</w:t>
      </w:r>
      <w:r w:rsidR="00263F3C" w:rsidRPr="00470F37">
        <w:rPr>
          <w:rFonts w:ascii="宋体" w:hAnsi="宋体" w:cs="Times New Roman"/>
          <w:bCs/>
          <w:kern w:val="2"/>
          <w:szCs w:val="21"/>
        </w:rPr>
        <w:t>“</w:t>
      </w:r>
      <w:r w:rsidR="00263F3C" w:rsidRPr="00470F37">
        <w:rPr>
          <w:rFonts w:ascii="宋体" w:hAnsi="宋体" w:cs="Times New Roman" w:hint="eastAsia"/>
          <w:bCs/>
          <w:kern w:val="2"/>
          <w:szCs w:val="21"/>
        </w:rPr>
        <w:t>无菌</w:t>
      </w:r>
      <w:r w:rsidR="00263F3C" w:rsidRPr="00470F37">
        <w:rPr>
          <w:rFonts w:ascii="宋体" w:hAnsi="宋体" w:cs="Times New Roman"/>
          <w:bCs/>
          <w:kern w:val="2"/>
          <w:szCs w:val="21"/>
        </w:rPr>
        <w:t>”</w:t>
      </w:r>
    </w:p>
    <w:p w14:paraId="598F485B" w14:textId="5027F8BA" w:rsidR="00263F3C" w:rsidRPr="00470F37" w:rsidRDefault="00263F3C" w:rsidP="005625A2">
      <w:pPr>
        <w:widowControl w:val="0"/>
        <w:adjustRightInd w:val="0"/>
        <w:snapToGrid w:val="0"/>
        <w:ind w:firstLine="420"/>
        <w:jc w:val="both"/>
        <w:rPr>
          <w:rFonts w:ascii="宋体" w:hAnsi="宋体" w:cs="Times New Roman"/>
          <w:bCs/>
          <w:kern w:val="2"/>
          <w:szCs w:val="21"/>
        </w:rPr>
      </w:pPr>
      <w:r w:rsidRPr="00470F37">
        <w:rPr>
          <w:rFonts w:ascii="宋体" w:hAnsi="宋体" w:cs="Times New Roman" w:hint="eastAsia"/>
          <w:bCs/>
          <w:kern w:val="2"/>
          <w:szCs w:val="21"/>
        </w:rPr>
        <w:t>建议修改为“</w:t>
      </w:r>
      <w:r w:rsidRPr="00470F37">
        <w:rPr>
          <w:rFonts w:cs="Times New Roman" w:hint="eastAsia"/>
          <w:bCs/>
          <w:kern w:val="2"/>
          <w:szCs w:val="21"/>
        </w:rPr>
        <w:t>照药包材微生物检测指导原则（指导原则</w:t>
      </w:r>
      <w:r w:rsidRPr="00470F37">
        <w:rPr>
          <w:rFonts w:cs="Times New Roman"/>
          <w:bCs/>
          <w:kern w:val="2"/>
          <w:szCs w:val="21"/>
        </w:rPr>
        <w:t>9653</w:t>
      </w:r>
      <w:r w:rsidRPr="00470F37">
        <w:rPr>
          <w:rFonts w:cs="Times New Roman" w:hint="eastAsia"/>
          <w:bCs/>
          <w:kern w:val="2"/>
          <w:szCs w:val="21"/>
        </w:rPr>
        <w:t>）进行无菌检查，应无菌。如果工艺验证可以证明产品是无菌的（在工艺验证时进行该项测试，然后根据工艺参数验证进行批次放行），那么可以在放行时免于该项测试。</w:t>
      </w:r>
      <w:r w:rsidRPr="00470F37">
        <w:rPr>
          <w:rFonts w:ascii="宋体" w:hAnsi="宋体" w:cs="Times New Roman" w:hint="eastAsia"/>
          <w:bCs/>
          <w:kern w:val="2"/>
          <w:szCs w:val="21"/>
        </w:rPr>
        <w:t>”</w:t>
      </w:r>
    </w:p>
    <w:p w14:paraId="7032D297" w14:textId="76075778" w:rsidR="00263F3C" w:rsidRPr="00470F37" w:rsidRDefault="00263F3C" w:rsidP="00263F3C">
      <w:pPr>
        <w:widowControl w:val="0"/>
        <w:adjustRightInd w:val="0"/>
        <w:snapToGrid w:val="0"/>
        <w:ind w:firstLine="420"/>
        <w:jc w:val="both"/>
        <w:rPr>
          <w:rFonts w:cs="Times New Roman"/>
          <w:kern w:val="2"/>
          <w:szCs w:val="21"/>
        </w:rPr>
      </w:pPr>
      <w:r w:rsidRPr="00470F37">
        <w:rPr>
          <w:rFonts w:cs="Times New Roman" w:hint="eastAsia"/>
          <w:kern w:val="2"/>
          <w:szCs w:val="21"/>
        </w:rPr>
        <w:t>回复：未采纳。</w:t>
      </w:r>
      <w:r w:rsidR="00C7090E">
        <w:rPr>
          <w:rFonts w:cs="Times New Roman" w:hint="eastAsia"/>
          <w:kern w:val="2"/>
          <w:szCs w:val="21"/>
        </w:rPr>
        <w:t>企业应</w:t>
      </w:r>
      <w:r w:rsidR="00C7090E">
        <w:rPr>
          <w:rFonts w:cs="Times New Roman"/>
          <w:kern w:val="2"/>
          <w:szCs w:val="21"/>
        </w:rPr>
        <w:t>制定企业标准或质量协议，规定放行要求</w:t>
      </w:r>
      <w:r w:rsidR="00C7090E" w:rsidRPr="00470F37">
        <w:rPr>
          <w:rFonts w:cs="Times New Roman" w:hint="eastAsia"/>
          <w:kern w:val="2"/>
          <w:szCs w:val="21"/>
        </w:rPr>
        <w:t>。</w:t>
      </w:r>
      <w:bookmarkStart w:id="1" w:name="_GoBack"/>
      <w:bookmarkEnd w:id="1"/>
    </w:p>
    <w:p w14:paraId="49F06891" w14:textId="2EBB663D" w:rsidR="005625A2" w:rsidRPr="00470F37" w:rsidRDefault="00637CF0" w:rsidP="005625A2">
      <w:pPr>
        <w:widowControl w:val="0"/>
        <w:adjustRightInd w:val="0"/>
        <w:snapToGrid w:val="0"/>
        <w:ind w:firstLine="422"/>
        <w:jc w:val="both"/>
        <w:rPr>
          <w:rFonts w:cs="Times New Roman"/>
          <w:b/>
          <w:bCs/>
          <w:kern w:val="2"/>
          <w:szCs w:val="21"/>
        </w:rPr>
      </w:pPr>
      <w:r w:rsidRPr="00470F37">
        <w:rPr>
          <w:rFonts w:cs="Times New Roman" w:hint="eastAsia"/>
          <w:b/>
          <w:bCs/>
          <w:kern w:val="2"/>
          <w:szCs w:val="21"/>
        </w:rPr>
        <w:t>六</w:t>
      </w:r>
      <w:r w:rsidR="005625A2" w:rsidRPr="00470F37">
        <w:rPr>
          <w:rFonts w:cs="Times New Roman"/>
          <w:b/>
          <w:bCs/>
          <w:kern w:val="2"/>
          <w:szCs w:val="21"/>
        </w:rPr>
        <w:t>、参考文献</w:t>
      </w:r>
    </w:p>
    <w:p w14:paraId="26E8601D" w14:textId="77777777" w:rsidR="005625A2" w:rsidRPr="00470F37" w:rsidRDefault="005625A2" w:rsidP="005625A2">
      <w:pPr>
        <w:widowControl w:val="0"/>
        <w:adjustRightInd w:val="0"/>
        <w:snapToGrid w:val="0"/>
        <w:ind w:left="315" w:hangingChars="150" w:hanging="315"/>
        <w:jc w:val="both"/>
        <w:rPr>
          <w:rFonts w:cs="Times New Roman"/>
          <w:kern w:val="2"/>
          <w:szCs w:val="21"/>
        </w:rPr>
      </w:pPr>
      <w:r w:rsidRPr="00470F37">
        <w:rPr>
          <w:rFonts w:cs="Times New Roman" w:hint="eastAsia"/>
          <w:kern w:val="2"/>
          <w:szCs w:val="21"/>
        </w:rPr>
        <w:t>[</w:t>
      </w:r>
      <w:r w:rsidRPr="00470F37">
        <w:rPr>
          <w:rFonts w:cs="Times New Roman"/>
          <w:kern w:val="2"/>
          <w:szCs w:val="21"/>
        </w:rPr>
        <w:t xml:space="preserve">1] </w:t>
      </w:r>
      <w:r w:rsidRPr="00470F37">
        <w:rPr>
          <w:rFonts w:cs="Times New Roman" w:hint="eastAsia"/>
          <w:kern w:val="2"/>
          <w:szCs w:val="21"/>
        </w:rPr>
        <w:t>国家食品药品监督管理总局</w:t>
      </w:r>
      <w:r w:rsidRPr="00470F37">
        <w:rPr>
          <w:rFonts w:cs="Times New Roman"/>
          <w:kern w:val="2"/>
          <w:szCs w:val="21"/>
        </w:rPr>
        <w:t>.</w:t>
      </w:r>
      <w:r w:rsidRPr="00470F37">
        <w:rPr>
          <w:rFonts w:cs="Times New Roman" w:hint="eastAsia"/>
          <w:kern w:val="2"/>
          <w:szCs w:val="21"/>
        </w:rPr>
        <w:t xml:space="preserve"> </w:t>
      </w:r>
      <w:r w:rsidRPr="00470F37">
        <w:rPr>
          <w:rFonts w:cs="Times New Roman" w:hint="eastAsia"/>
          <w:kern w:val="2"/>
          <w:szCs w:val="21"/>
        </w:rPr>
        <w:t>化学药品注射剂与塑料包装材料相容性研究技术指导原则</w:t>
      </w:r>
      <w:r w:rsidRPr="00470F37">
        <w:rPr>
          <w:rFonts w:cs="Times New Roman" w:hint="eastAsia"/>
          <w:kern w:val="2"/>
          <w:szCs w:val="21"/>
        </w:rPr>
        <w:t>[</w:t>
      </w:r>
      <w:r w:rsidRPr="00470F37">
        <w:rPr>
          <w:rFonts w:cs="Times New Roman"/>
          <w:kern w:val="2"/>
          <w:szCs w:val="21"/>
        </w:rPr>
        <w:t>R]</w:t>
      </w:r>
      <w:r w:rsidRPr="00470F37">
        <w:rPr>
          <w:rFonts w:cs="Times New Roman" w:hint="eastAsia"/>
          <w:kern w:val="2"/>
          <w:szCs w:val="21"/>
        </w:rPr>
        <w:t>.</w:t>
      </w:r>
      <w:r w:rsidRPr="00470F37">
        <w:rPr>
          <w:rFonts w:cs="Times New Roman"/>
          <w:kern w:val="2"/>
          <w:szCs w:val="21"/>
        </w:rPr>
        <w:t xml:space="preserve"> 2012.</w:t>
      </w:r>
    </w:p>
    <w:p w14:paraId="3BBBFF6B" w14:textId="77777777" w:rsidR="005625A2" w:rsidRPr="00470F37" w:rsidRDefault="005625A2" w:rsidP="005625A2">
      <w:pPr>
        <w:widowControl w:val="0"/>
        <w:adjustRightInd w:val="0"/>
        <w:snapToGrid w:val="0"/>
        <w:ind w:left="315" w:hangingChars="150" w:hanging="315"/>
        <w:jc w:val="both"/>
        <w:rPr>
          <w:rFonts w:cs="Times New Roman"/>
          <w:kern w:val="2"/>
          <w:szCs w:val="21"/>
        </w:rPr>
      </w:pPr>
      <w:r w:rsidRPr="00470F37">
        <w:rPr>
          <w:rFonts w:cs="Times New Roman" w:hint="eastAsia"/>
          <w:kern w:val="2"/>
          <w:szCs w:val="21"/>
        </w:rPr>
        <w:t>[</w:t>
      </w:r>
      <w:r w:rsidRPr="00470F37">
        <w:rPr>
          <w:rFonts w:cs="Times New Roman"/>
          <w:kern w:val="2"/>
          <w:szCs w:val="21"/>
        </w:rPr>
        <w:t xml:space="preserve">2] </w:t>
      </w:r>
      <w:r w:rsidRPr="00470F37">
        <w:rPr>
          <w:rFonts w:cs="Times New Roman" w:hint="eastAsia"/>
          <w:kern w:val="2"/>
          <w:szCs w:val="21"/>
        </w:rPr>
        <w:t>国家食品药品监督管理总局</w:t>
      </w:r>
      <w:r w:rsidRPr="00470F37">
        <w:rPr>
          <w:rFonts w:cs="Times New Roman"/>
          <w:kern w:val="2"/>
          <w:szCs w:val="21"/>
        </w:rPr>
        <w:t>.</w:t>
      </w:r>
      <w:r w:rsidRPr="00470F37">
        <w:rPr>
          <w:rFonts w:cs="Times New Roman" w:hint="eastAsia"/>
          <w:kern w:val="2"/>
          <w:szCs w:val="21"/>
        </w:rPr>
        <w:t>化学药品注射剂与药用玻璃包装容器相容性研究技术指导原则（试行）</w:t>
      </w:r>
      <w:r w:rsidRPr="00470F37">
        <w:rPr>
          <w:rFonts w:cs="Times New Roman" w:hint="eastAsia"/>
          <w:kern w:val="2"/>
          <w:szCs w:val="21"/>
        </w:rPr>
        <w:t>[</w:t>
      </w:r>
      <w:r w:rsidRPr="00470F37">
        <w:rPr>
          <w:rFonts w:cs="Times New Roman"/>
          <w:kern w:val="2"/>
          <w:szCs w:val="21"/>
        </w:rPr>
        <w:t>R]. 2015.</w:t>
      </w:r>
    </w:p>
    <w:p w14:paraId="36427F44" w14:textId="77777777" w:rsidR="005625A2" w:rsidRPr="00470F37" w:rsidRDefault="005625A2" w:rsidP="005625A2">
      <w:pPr>
        <w:widowControl w:val="0"/>
        <w:adjustRightInd w:val="0"/>
        <w:snapToGrid w:val="0"/>
        <w:ind w:left="315" w:hangingChars="150" w:hanging="315"/>
        <w:jc w:val="both"/>
        <w:rPr>
          <w:rFonts w:cs="Times New Roman"/>
          <w:kern w:val="2"/>
          <w:szCs w:val="21"/>
        </w:rPr>
      </w:pPr>
      <w:r w:rsidRPr="00470F37">
        <w:rPr>
          <w:rFonts w:cs="Times New Roman"/>
          <w:kern w:val="2"/>
          <w:szCs w:val="21"/>
        </w:rPr>
        <w:t xml:space="preserve">[3] </w:t>
      </w:r>
      <w:r w:rsidRPr="00470F37">
        <w:rPr>
          <w:rFonts w:cs="Times New Roman" w:hint="eastAsia"/>
          <w:kern w:val="2"/>
          <w:szCs w:val="21"/>
        </w:rPr>
        <w:t>国家食品药品监督管理总局</w:t>
      </w:r>
      <w:r w:rsidRPr="00470F37">
        <w:rPr>
          <w:rFonts w:cs="Times New Roman"/>
          <w:kern w:val="2"/>
          <w:szCs w:val="21"/>
        </w:rPr>
        <w:t>.</w:t>
      </w:r>
      <w:r w:rsidRPr="00470F37">
        <w:rPr>
          <w:rFonts w:cs="Times New Roman" w:hint="eastAsia"/>
          <w:kern w:val="2"/>
          <w:szCs w:val="21"/>
        </w:rPr>
        <w:t xml:space="preserve"> </w:t>
      </w:r>
      <w:r w:rsidRPr="00470F37">
        <w:rPr>
          <w:rFonts w:cs="Times New Roman" w:hint="eastAsia"/>
          <w:kern w:val="2"/>
          <w:szCs w:val="21"/>
        </w:rPr>
        <w:t>化学药品与弹性体密封件相容性研究技术指导原则（试行）</w:t>
      </w:r>
      <w:r w:rsidRPr="00470F37">
        <w:rPr>
          <w:rFonts w:cs="Times New Roman" w:hint="eastAsia"/>
          <w:kern w:val="2"/>
          <w:szCs w:val="21"/>
        </w:rPr>
        <w:t>[</w:t>
      </w:r>
      <w:r w:rsidRPr="00470F37">
        <w:rPr>
          <w:rFonts w:cs="Times New Roman"/>
          <w:kern w:val="2"/>
          <w:szCs w:val="21"/>
        </w:rPr>
        <w:t>R]. 2021.</w:t>
      </w:r>
    </w:p>
    <w:p w14:paraId="301933EA"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hint="eastAsia"/>
          <w:kern w:val="2"/>
          <w:szCs w:val="21"/>
        </w:rPr>
        <w:t>[</w:t>
      </w:r>
      <w:r w:rsidRPr="00470F37">
        <w:rPr>
          <w:rFonts w:cs="Times New Roman"/>
          <w:kern w:val="2"/>
          <w:szCs w:val="21"/>
        </w:rPr>
        <w:t xml:space="preserve">4]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YBB00112004-2015 </w:t>
      </w:r>
      <w:r w:rsidRPr="00470F37">
        <w:rPr>
          <w:rFonts w:cs="Times New Roman" w:hint="eastAsia"/>
          <w:kern w:val="2"/>
          <w:szCs w:val="21"/>
        </w:rPr>
        <w:t>预灌封注射器组合件（带注射针）</w:t>
      </w:r>
      <w:r w:rsidRPr="00470F37">
        <w:rPr>
          <w:rFonts w:cs="Times New Roman" w:hint="eastAsia"/>
          <w:kern w:val="2"/>
          <w:szCs w:val="21"/>
        </w:rPr>
        <w:t>[</w:t>
      </w:r>
      <w:r w:rsidRPr="00470F37">
        <w:rPr>
          <w:rFonts w:cs="Times New Roman"/>
          <w:kern w:val="2"/>
          <w:szCs w:val="21"/>
        </w:rPr>
        <w:t>S].</w:t>
      </w:r>
    </w:p>
    <w:p w14:paraId="51E9542D"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 xml:space="preserve">[5]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YBB00062004-2015 </w:t>
      </w:r>
      <w:r w:rsidRPr="00470F37">
        <w:rPr>
          <w:rFonts w:cs="Times New Roman" w:hint="eastAsia"/>
          <w:kern w:val="2"/>
          <w:szCs w:val="21"/>
        </w:rPr>
        <w:t>预灌封注射器用硼硅玻璃针管</w:t>
      </w:r>
      <w:r w:rsidRPr="00470F37">
        <w:rPr>
          <w:rFonts w:cs="Times New Roman" w:hint="eastAsia"/>
          <w:kern w:val="2"/>
          <w:szCs w:val="21"/>
        </w:rPr>
        <w:t>[</w:t>
      </w:r>
      <w:r w:rsidRPr="00470F37">
        <w:rPr>
          <w:rFonts w:cs="Times New Roman"/>
          <w:kern w:val="2"/>
          <w:szCs w:val="21"/>
        </w:rPr>
        <w:t>S].</w:t>
      </w:r>
    </w:p>
    <w:p w14:paraId="7F4F16B7"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 xml:space="preserve">[6]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YBB00092004-2015 </w:t>
      </w:r>
      <w:r w:rsidRPr="00470F37">
        <w:rPr>
          <w:rFonts w:cs="Times New Roman" w:hint="eastAsia"/>
          <w:kern w:val="2"/>
          <w:szCs w:val="21"/>
        </w:rPr>
        <w:t>预灌封注射器用不锈钢注射针</w:t>
      </w:r>
      <w:r w:rsidRPr="00470F37">
        <w:rPr>
          <w:rFonts w:cs="Times New Roman" w:hint="eastAsia"/>
          <w:kern w:val="2"/>
          <w:szCs w:val="21"/>
        </w:rPr>
        <w:t>[</w:t>
      </w:r>
      <w:r w:rsidRPr="00470F37">
        <w:rPr>
          <w:rFonts w:cs="Times New Roman"/>
          <w:kern w:val="2"/>
          <w:szCs w:val="21"/>
        </w:rPr>
        <w:t>S].</w:t>
      </w:r>
    </w:p>
    <w:p w14:paraId="1827588E"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 xml:space="preserve">[7]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YBB00072004-2015 </w:t>
      </w:r>
      <w:r w:rsidRPr="00470F37">
        <w:rPr>
          <w:rFonts w:cs="Times New Roman" w:hint="eastAsia"/>
          <w:kern w:val="2"/>
          <w:szCs w:val="21"/>
        </w:rPr>
        <w:t>预灌封注射器用氯化丁基橡胶活塞</w:t>
      </w:r>
      <w:r w:rsidRPr="00470F37">
        <w:rPr>
          <w:rFonts w:cs="Times New Roman" w:hint="eastAsia"/>
          <w:kern w:val="2"/>
          <w:szCs w:val="21"/>
        </w:rPr>
        <w:t>[</w:t>
      </w:r>
      <w:r w:rsidRPr="00470F37">
        <w:rPr>
          <w:rFonts w:cs="Times New Roman"/>
          <w:kern w:val="2"/>
          <w:szCs w:val="21"/>
        </w:rPr>
        <w:t>S].</w:t>
      </w:r>
    </w:p>
    <w:p w14:paraId="387CEC9E"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 xml:space="preserve">[8]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YBB00082004-2015 </w:t>
      </w:r>
      <w:r w:rsidRPr="00470F37">
        <w:rPr>
          <w:rFonts w:cs="Times New Roman" w:hint="eastAsia"/>
          <w:kern w:val="2"/>
          <w:szCs w:val="21"/>
        </w:rPr>
        <w:t>预灌封注射器用溴化丁基橡胶活塞</w:t>
      </w:r>
      <w:r w:rsidRPr="00470F37">
        <w:rPr>
          <w:rFonts w:cs="Times New Roman" w:hint="eastAsia"/>
          <w:kern w:val="2"/>
          <w:szCs w:val="21"/>
        </w:rPr>
        <w:t>[</w:t>
      </w:r>
      <w:r w:rsidRPr="00470F37">
        <w:rPr>
          <w:rFonts w:cs="Times New Roman"/>
          <w:kern w:val="2"/>
          <w:szCs w:val="21"/>
        </w:rPr>
        <w:t>S].</w:t>
      </w:r>
    </w:p>
    <w:p w14:paraId="2B8E499C" w14:textId="77777777" w:rsidR="005625A2" w:rsidRPr="00470F37" w:rsidRDefault="005625A2" w:rsidP="005625A2">
      <w:pPr>
        <w:widowControl w:val="0"/>
        <w:adjustRightInd w:val="0"/>
        <w:snapToGrid w:val="0"/>
        <w:ind w:left="315" w:hangingChars="150" w:hanging="315"/>
        <w:jc w:val="both"/>
        <w:rPr>
          <w:rFonts w:cs="Times New Roman"/>
          <w:kern w:val="2"/>
          <w:szCs w:val="21"/>
        </w:rPr>
      </w:pPr>
      <w:r w:rsidRPr="00470F37">
        <w:rPr>
          <w:rFonts w:cs="Times New Roman"/>
          <w:kern w:val="2"/>
          <w:szCs w:val="21"/>
        </w:rPr>
        <w:t xml:space="preserve">[9]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YBB00102004-2015 </w:t>
      </w:r>
      <w:r w:rsidRPr="00470F37">
        <w:rPr>
          <w:rFonts w:cs="Times New Roman" w:hint="eastAsia"/>
          <w:kern w:val="2"/>
          <w:szCs w:val="21"/>
        </w:rPr>
        <w:t>预灌封注射器用聚异戊二烯橡胶针头护帽</w:t>
      </w:r>
      <w:r w:rsidRPr="00470F37">
        <w:rPr>
          <w:rFonts w:cs="Times New Roman" w:hint="eastAsia"/>
          <w:kern w:val="2"/>
          <w:szCs w:val="21"/>
        </w:rPr>
        <w:t>[</w:t>
      </w:r>
      <w:r w:rsidRPr="00470F37">
        <w:rPr>
          <w:rFonts w:cs="Times New Roman"/>
          <w:kern w:val="2"/>
          <w:szCs w:val="21"/>
        </w:rPr>
        <w:t>S].</w:t>
      </w:r>
    </w:p>
    <w:p w14:paraId="0CAAA1D8"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[10] ISO11040.4</w:t>
      </w:r>
      <w:r w:rsidRPr="00470F37">
        <w:rPr>
          <w:rFonts w:cs="Times New Roman"/>
          <w:kern w:val="2"/>
          <w:szCs w:val="21"/>
        </w:rPr>
        <w:t>预灌封注射器</w:t>
      </w:r>
      <w:r w:rsidRPr="00470F37">
        <w:rPr>
          <w:rFonts w:cs="Times New Roman"/>
          <w:kern w:val="2"/>
          <w:szCs w:val="21"/>
        </w:rPr>
        <w:t xml:space="preserve"> </w:t>
      </w:r>
      <w:r w:rsidRPr="00470F37">
        <w:rPr>
          <w:rFonts w:cs="Times New Roman"/>
          <w:kern w:val="2"/>
          <w:szCs w:val="21"/>
        </w:rPr>
        <w:t>第</w:t>
      </w:r>
      <w:r w:rsidRPr="00470F37">
        <w:rPr>
          <w:rFonts w:cs="Times New Roman"/>
          <w:kern w:val="2"/>
          <w:szCs w:val="21"/>
        </w:rPr>
        <w:t>4</w:t>
      </w:r>
      <w:r w:rsidRPr="00470F37">
        <w:rPr>
          <w:rFonts w:cs="Times New Roman"/>
          <w:kern w:val="2"/>
          <w:szCs w:val="21"/>
        </w:rPr>
        <w:t>部分</w:t>
      </w:r>
      <w:r w:rsidRPr="00470F37">
        <w:rPr>
          <w:rFonts w:cs="Times New Roman"/>
          <w:kern w:val="2"/>
          <w:szCs w:val="21"/>
        </w:rPr>
        <w:t xml:space="preserve"> </w:t>
      </w:r>
      <w:r w:rsidRPr="00470F37">
        <w:rPr>
          <w:rFonts w:cs="Times New Roman"/>
          <w:kern w:val="2"/>
          <w:szCs w:val="21"/>
        </w:rPr>
        <w:t>玻璃套筒和灭菌后待充装半组装注射器</w:t>
      </w:r>
      <w:r w:rsidRPr="00470F37">
        <w:rPr>
          <w:rFonts w:cs="Times New Roman" w:hint="eastAsia"/>
          <w:kern w:val="2"/>
          <w:szCs w:val="21"/>
        </w:rPr>
        <w:t>[</w:t>
      </w:r>
      <w:r w:rsidRPr="00470F37">
        <w:rPr>
          <w:rFonts w:cs="Times New Roman"/>
          <w:kern w:val="2"/>
          <w:szCs w:val="21"/>
        </w:rPr>
        <w:t>S].</w:t>
      </w:r>
    </w:p>
    <w:p w14:paraId="090F897A"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lastRenderedPageBreak/>
        <w:t>[11] ISO11040.5</w:t>
      </w:r>
      <w:r w:rsidRPr="00470F37">
        <w:rPr>
          <w:rFonts w:cs="Times New Roman"/>
          <w:kern w:val="2"/>
          <w:szCs w:val="21"/>
        </w:rPr>
        <w:t>预灌封注射器</w:t>
      </w:r>
      <w:r w:rsidRPr="00470F37">
        <w:rPr>
          <w:rFonts w:cs="Times New Roman"/>
          <w:kern w:val="2"/>
          <w:szCs w:val="21"/>
        </w:rPr>
        <w:t xml:space="preserve"> </w:t>
      </w:r>
      <w:r w:rsidRPr="00470F37">
        <w:rPr>
          <w:rFonts w:cs="Times New Roman"/>
          <w:kern w:val="2"/>
          <w:szCs w:val="21"/>
        </w:rPr>
        <w:t>第</w:t>
      </w:r>
      <w:r w:rsidRPr="00470F37">
        <w:rPr>
          <w:rFonts w:cs="Times New Roman"/>
          <w:kern w:val="2"/>
          <w:szCs w:val="21"/>
        </w:rPr>
        <w:t>5</w:t>
      </w:r>
      <w:r w:rsidRPr="00470F37">
        <w:rPr>
          <w:rFonts w:cs="Times New Roman"/>
          <w:kern w:val="2"/>
          <w:szCs w:val="21"/>
        </w:rPr>
        <w:t>部分</w:t>
      </w:r>
      <w:r w:rsidRPr="00470F37">
        <w:rPr>
          <w:rFonts w:cs="Times New Roman"/>
          <w:kern w:val="2"/>
          <w:szCs w:val="21"/>
        </w:rPr>
        <w:t xml:space="preserve"> </w:t>
      </w:r>
      <w:r w:rsidRPr="00470F37">
        <w:rPr>
          <w:rFonts w:cs="Times New Roman"/>
          <w:kern w:val="2"/>
          <w:szCs w:val="21"/>
        </w:rPr>
        <w:t>注射剂活塞</w:t>
      </w:r>
      <w:r w:rsidRPr="00470F37">
        <w:rPr>
          <w:rFonts w:cs="Times New Roman" w:hint="eastAsia"/>
          <w:kern w:val="2"/>
          <w:szCs w:val="21"/>
        </w:rPr>
        <w:t>[</w:t>
      </w:r>
      <w:r w:rsidRPr="00470F37">
        <w:rPr>
          <w:rFonts w:cs="Times New Roman"/>
          <w:kern w:val="2"/>
          <w:szCs w:val="21"/>
        </w:rPr>
        <w:t>S].</w:t>
      </w:r>
    </w:p>
    <w:p w14:paraId="3419D507"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[12] ISO11040.6</w:t>
      </w:r>
      <w:r w:rsidRPr="00470F37">
        <w:rPr>
          <w:rFonts w:cs="Times New Roman"/>
          <w:kern w:val="2"/>
          <w:szCs w:val="21"/>
        </w:rPr>
        <w:t>预灌封注射器</w:t>
      </w:r>
      <w:r w:rsidRPr="00470F37">
        <w:rPr>
          <w:rFonts w:cs="Times New Roman"/>
          <w:kern w:val="2"/>
          <w:szCs w:val="21"/>
        </w:rPr>
        <w:t xml:space="preserve"> </w:t>
      </w:r>
      <w:r w:rsidRPr="00470F37">
        <w:rPr>
          <w:rFonts w:cs="Times New Roman"/>
          <w:kern w:val="2"/>
          <w:szCs w:val="21"/>
        </w:rPr>
        <w:t>第</w:t>
      </w:r>
      <w:r w:rsidRPr="00470F37">
        <w:rPr>
          <w:rFonts w:cs="Times New Roman"/>
          <w:kern w:val="2"/>
          <w:szCs w:val="21"/>
        </w:rPr>
        <w:t>6</w:t>
      </w:r>
      <w:r w:rsidRPr="00470F37">
        <w:rPr>
          <w:rFonts w:cs="Times New Roman"/>
          <w:kern w:val="2"/>
          <w:szCs w:val="21"/>
        </w:rPr>
        <w:t>部分</w:t>
      </w:r>
      <w:r w:rsidRPr="00470F37">
        <w:rPr>
          <w:rFonts w:cs="Times New Roman"/>
          <w:kern w:val="2"/>
          <w:szCs w:val="21"/>
        </w:rPr>
        <w:t xml:space="preserve"> </w:t>
      </w:r>
      <w:r w:rsidRPr="00470F37">
        <w:rPr>
          <w:rFonts w:cs="Times New Roman"/>
          <w:kern w:val="2"/>
          <w:szCs w:val="21"/>
        </w:rPr>
        <w:t>塑料套筒和灭菌后待充装半组装注射器</w:t>
      </w:r>
      <w:r w:rsidRPr="00470F37">
        <w:rPr>
          <w:rFonts w:cs="Times New Roman" w:hint="eastAsia"/>
          <w:kern w:val="2"/>
          <w:szCs w:val="21"/>
        </w:rPr>
        <w:t>[</w:t>
      </w:r>
      <w:r w:rsidRPr="00470F37">
        <w:rPr>
          <w:rFonts w:cs="Times New Roman"/>
          <w:kern w:val="2"/>
          <w:szCs w:val="21"/>
        </w:rPr>
        <w:t>S].</w:t>
      </w:r>
    </w:p>
    <w:p w14:paraId="5E0E40DD"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[13] ISO11040.7</w:t>
      </w:r>
      <w:r w:rsidRPr="00470F37">
        <w:rPr>
          <w:rFonts w:cs="Times New Roman"/>
          <w:kern w:val="2"/>
          <w:szCs w:val="21"/>
        </w:rPr>
        <w:t>预灌封注射器</w:t>
      </w:r>
      <w:r w:rsidRPr="00470F37">
        <w:rPr>
          <w:rFonts w:cs="Times New Roman"/>
          <w:kern w:val="2"/>
          <w:szCs w:val="21"/>
        </w:rPr>
        <w:t xml:space="preserve"> </w:t>
      </w:r>
      <w:r w:rsidRPr="00470F37">
        <w:rPr>
          <w:rFonts w:cs="Times New Roman"/>
          <w:kern w:val="2"/>
          <w:szCs w:val="21"/>
        </w:rPr>
        <w:t>第</w:t>
      </w:r>
      <w:r w:rsidRPr="00470F37">
        <w:rPr>
          <w:rFonts w:cs="Times New Roman"/>
          <w:kern w:val="2"/>
          <w:szCs w:val="21"/>
        </w:rPr>
        <w:t>7</w:t>
      </w:r>
      <w:r w:rsidRPr="00470F37">
        <w:rPr>
          <w:rFonts w:cs="Times New Roman"/>
          <w:kern w:val="2"/>
          <w:szCs w:val="21"/>
        </w:rPr>
        <w:t>部分</w:t>
      </w:r>
      <w:r w:rsidRPr="00470F37">
        <w:rPr>
          <w:rFonts w:cs="Times New Roman"/>
          <w:kern w:val="2"/>
          <w:szCs w:val="21"/>
        </w:rPr>
        <w:t xml:space="preserve"> </w:t>
      </w:r>
      <w:r w:rsidRPr="00470F37">
        <w:rPr>
          <w:rFonts w:cs="Times New Roman"/>
          <w:kern w:val="2"/>
          <w:szCs w:val="21"/>
        </w:rPr>
        <w:t>灭菌后待充装半组装注射器用包装系统</w:t>
      </w:r>
      <w:r w:rsidRPr="00470F37">
        <w:rPr>
          <w:rFonts w:cs="Times New Roman" w:hint="eastAsia"/>
          <w:kern w:val="2"/>
          <w:szCs w:val="21"/>
        </w:rPr>
        <w:t>[</w:t>
      </w:r>
      <w:r w:rsidRPr="00470F37">
        <w:rPr>
          <w:rFonts w:cs="Times New Roman"/>
          <w:kern w:val="2"/>
          <w:szCs w:val="21"/>
        </w:rPr>
        <w:t>S].</w:t>
      </w:r>
    </w:p>
    <w:p w14:paraId="63DB3786"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kern w:val="2"/>
          <w:szCs w:val="21"/>
        </w:rPr>
        <w:t>[14] ISO11040.8</w:t>
      </w:r>
      <w:r w:rsidRPr="00470F37">
        <w:rPr>
          <w:rFonts w:cs="Times New Roman"/>
          <w:kern w:val="2"/>
          <w:szCs w:val="21"/>
        </w:rPr>
        <w:t>预灌封注射器</w:t>
      </w:r>
      <w:r w:rsidRPr="00470F37">
        <w:rPr>
          <w:rFonts w:cs="Times New Roman"/>
          <w:kern w:val="2"/>
          <w:szCs w:val="21"/>
        </w:rPr>
        <w:t xml:space="preserve"> </w:t>
      </w:r>
      <w:r w:rsidRPr="00470F37">
        <w:rPr>
          <w:rFonts w:cs="Times New Roman"/>
          <w:kern w:val="2"/>
          <w:szCs w:val="21"/>
        </w:rPr>
        <w:t>第</w:t>
      </w:r>
      <w:r w:rsidRPr="00470F37">
        <w:rPr>
          <w:rFonts w:cs="Times New Roman"/>
          <w:kern w:val="2"/>
          <w:szCs w:val="21"/>
        </w:rPr>
        <w:t>8</w:t>
      </w:r>
      <w:r w:rsidRPr="00470F37">
        <w:rPr>
          <w:rFonts w:cs="Times New Roman"/>
          <w:kern w:val="2"/>
          <w:szCs w:val="21"/>
        </w:rPr>
        <w:t>部分</w:t>
      </w:r>
      <w:r w:rsidRPr="00470F37">
        <w:rPr>
          <w:rFonts w:cs="Times New Roman"/>
          <w:kern w:val="2"/>
          <w:szCs w:val="21"/>
        </w:rPr>
        <w:t xml:space="preserve"> </w:t>
      </w:r>
      <w:r w:rsidRPr="00470F37">
        <w:rPr>
          <w:rFonts w:cs="Times New Roman"/>
          <w:kern w:val="2"/>
          <w:szCs w:val="21"/>
        </w:rPr>
        <w:t>成品预灌封注射器的要求和检测方法</w:t>
      </w:r>
      <w:r w:rsidRPr="00470F37">
        <w:rPr>
          <w:rFonts w:cs="Times New Roman" w:hint="eastAsia"/>
          <w:kern w:val="2"/>
          <w:szCs w:val="21"/>
        </w:rPr>
        <w:t>[</w:t>
      </w:r>
      <w:r w:rsidRPr="00470F37">
        <w:rPr>
          <w:rFonts w:cs="Times New Roman"/>
          <w:kern w:val="2"/>
          <w:szCs w:val="21"/>
        </w:rPr>
        <w:t>S].</w:t>
      </w:r>
    </w:p>
    <w:p w14:paraId="6BEDF654" w14:textId="77777777" w:rsidR="005625A2" w:rsidRPr="00470F37" w:rsidRDefault="005625A2" w:rsidP="005625A2">
      <w:pPr>
        <w:widowControl w:val="0"/>
        <w:adjustRightInd w:val="0"/>
        <w:snapToGrid w:val="0"/>
        <w:ind w:left="420" w:hangingChars="200" w:hanging="420"/>
        <w:jc w:val="both"/>
        <w:rPr>
          <w:rFonts w:cs="Times New Roman"/>
          <w:kern w:val="2"/>
          <w:szCs w:val="21"/>
        </w:rPr>
      </w:pPr>
      <w:r w:rsidRPr="00470F37">
        <w:rPr>
          <w:rFonts w:cs="Times New Roman"/>
          <w:kern w:val="2"/>
          <w:szCs w:val="21"/>
        </w:rPr>
        <w:t>[15] PDA Technical Report No. 73 Prefilled Syringe User Requirements for Biotechnology Applications</w:t>
      </w:r>
      <w:r w:rsidRPr="00470F37">
        <w:rPr>
          <w:rFonts w:cs="Times New Roman" w:hint="eastAsia"/>
          <w:kern w:val="2"/>
          <w:szCs w:val="21"/>
        </w:rPr>
        <w:t>[</w:t>
      </w:r>
      <w:r w:rsidRPr="00470F37">
        <w:rPr>
          <w:rFonts w:cs="Times New Roman"/>
          <w:kern w:val="2"/>
          <w:szCs w:val="21"/>
        </w:rPr>
        <w:t>R</w:t>
      </w:r>
      <w:r w:rsidRPr="00470F37">
        <w:rPr>
          <w:rFonts w:cs="Times New Roman" w:hint="eastAsia"/>
          <w:kern w:val="2"/>
          <w:szCs w:val="21"/>
        </w:rPr>
        <w:t>]</w:t>
      </w:r>
      <w:r w:rsidRPr="00470F37">
        <w:rPr>
          <w:rFonts w:cs="Times New Roman"/>
          <w:kern w:val="2"/>
          <w:szCs w:val="21"/>
        </w:rPr>
        <w:t>.</w:t>
      </w:r>
    </w:p>
    <w:p w14:paraId="230FEEE0"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hint="eastAsia"/>
          <w:kern w:val="2"/>
          <w:szCs w:val="21"/>
        </w:rPr>
        <w:t>[</w:t>
      </w:r>
      <w:r w:rsidRPr="00470F37">
        <w:rPr>
          <w:rFonts w:cs="Times New Roman"/>
          <w:kern w:val="2"/>
          <w:szCs w:val="21"/>
        </w:rPr>
        <w:t xml:space="preserve">16]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GB/T18457-2015 </w:t>
      </w:r>
      <w:r w:rsidRPr="00470F37">
        <w:rPr>
          <w:rFonts w:cs="Times New Roman" w:hint="eastAsia"/>
          <w:kern w:val="2"/>
          <w:szCs w:val="21"/>
        </w:rPr>
        <w:t>制造医疗器械用不锈钢针管</w:t>
      </w:r>
      <w:r w:rsidRPr="00470F37">
        <w:rPr>
          <w:rFonts w:cs="Times New Roman" w:hint="eastAsia"/>
          <w:kern w:val="2"/>
          <w:szCs w:val="21"/>
        </w:rPr>
        <w:t>[</w:t>
      </w:r>
      <w:r w:rsidRPr="00470F37">
        <w:rPr>
          <w:rFonts w:cs="Times New Roman"/>
          <w:kern w:val="2"/>
          <w:szCs w:val="21"/>
        </w:rPr>
        <w:t>S].</w:t>
      </w:r>
    </w:p>
    <w:p w14:paraId="354BD2AE" w14:textId="77777777" w:rsidR="005625A2" w:rsidRPr="00470F37" w:rsidRDefault="005625A2" w:rsidP="005625A2">
      <w:pPr>
        <w:widowControl w:val="0"/>
        <w:adjustRightInd w:val="0"/>
        <w:snapToGrid w:val="0"/>
        <w:ind w:firstLineChars="0" w:firstLine="0"/>
        <w:jc w:val="both"/>
        <w:rPr>
          <w:rFonts w:cs="Times New Roman"/>
          <w:kern w:val="2"/>
          <w:szCs w:val="21"/>
        </w:rPr>
      </w:pPr>
      <w:r w:rsidRPr="00470F37">
        <w:rPr>
          <w:rFonts w:cs="Times New Roman" w:hint="eastAsia"/>
          <w:kern w:val="2"/>
          <w:szCs w:val="21"/>
        </w:rPr>
        <w:t>[</w:t>
      </w:r>
      <w:r w:rsidRPr="00470F37">
        <w:rPr>
          <w:rFonts w:cs="Times New Roman"/>
          <w:kern w:val="2"/>
          <w:szCs w:val="21"/>
        </w:rPr>
        <w:t xml:space="preserve">17] </w:t>
      </w:r>
      <w:r w:rsidRPr="00470F37">
        <w:rPr>
          <w:rFonts w:cs="Times New Roman" w:hint="eastAsia"/>
          <w:kern w:val="2"/>
          <w:szCs w:val="21"/>
        </w:rPr>
        <w:t>国家食品药品监督管理总局</w:t>
      </w:r>
      <w:r w:rsidRPr="00470F37">
        <w:rPr>
          <w:rFonts w:cs="Times New Roman" w:hint="eastAsia"/>
          <w:kern w:val="2"/>
          <w:szCs w:val="21"/>
        </w:rPr>
        <w:t>.</w:t>
      </w:r>
      <w:r w:rsidRPr="00470F37">
        <w:rPr>
          <w:rFonts w:cs="Times New Roman"/>
          <w:kern w:val="2"/>
          <w:szCs w:val="21"/>
        </w:rPr>
        <w:t xml:space="preserve"> GB15811-2016 </w:t>
      </w:r>
      <w:r w:rsidRPr="00470F37">
        <w:rPr>
          <w:rFonts w:cs="Times New Roman" w:hint="eastAsia"/>
          <w:kern w:val="2"/>
          <w:szCs w:val="21"/>
        </w:rPr>
        <w:t>一次性使用无菌注射针</w:t>
      </w:r>
      <w:r w:rsidRPr="00470F37">
        <w:rPr>
          <w:rFonts w:cs="Times New Roman" w:hint="eastAsia"/>
          <w:kern w:val="2"/>
          <w:szCs w:val="21"/>
        </w:rPr>
        <w:t>[</w:t>
      </w:r>
      <w:r w:rsidRPr="00470F37">
        <w:rPr>
          <w:rFonts w:cs="Times New Roman"/>
          <w:kern w:val="2"/>
          <w:szCs w:val="21"/>
        </w:rPr>
        <w:t>S].</w:t>
      </w:r>
    </w:p>
    <w:p w14:paraId="5E5A6E18" w14:textId="540320C7" w:rsidR="00483AE9" w:rsidRPr="00470F37" w:rsidRDefault="005625A2" w:rsidP="00C11F3D">
      <w:pPr>
        <w:widowControl w:val="0"/>
        <w:adjustRightInd w:val="0"/>
        <w:snapToGrid w:val="0"/>
        <w:ind w:firstLineChars="0" w:firstLine="0"/>
        <w:jc w:val="both"/>
      </w:pPr>
      <w:r w:rsidRPr="00470F37">
        <w:rPr>
          <w:rFonts w:cs="Times New Roman" w:hint="eastAsia"/>
          <w:kern w:val="2"/>
          <w:szCs w:val="21"/>
        </w:rPr>
        <w:t>[</w:t>
      </w:r>
      <w:r w:rsidRPr="00470F37">
        <w:rPr>
          <w:rFonts w:cs="Times New Roman"/>
          <w:kern w:val="2"/>
          <w:szCs w:val="21"/>
        </w:rPr>
        <w:t xml:space="preserve">18] ISO10993.7 </w:t>
      </w:r>
      <w:r w:rsidRPr="00470F37">
        <w:rPr>
          <w:rFonts w:cs="Times New Roman" w:hint="eastAsia"/>
          <w:kern w:val="2"/>
          <w:szCs w:val="21"/>
        </w:rPr>
        <w:t>医疗器械生物学评价</w:t>
      </w:r>
      <w:r w:rsidRPr="00470F37">
        <w:rPr>
          <w:rFonts w:cs="Times New Roman" w:hint="eastAsia"/>
          <w:kern w:val="2"/>
          <w:szCs w:val="21"/>
        </w:rPr>
        <w:t xml:space="preserve"> </w:t>
      </w:r>
      <w:r w:rsidRPr="00470F37">
        <w:rPr>
          <w:rFonts w:cs="Times New Roman" w:hint="eastAsia"/>
          <w:kern w:val="2"/>
          <w:szCs w:val="21"/>
        </w:rPr>
        <w:t>第</w:t>
      </w:r>
      <w:r w:rsidRPr="00470F37">
        <w:rPr>
          <w:rFonts w:cs="Times New Roman" w:hint="eastAsia"/>
          <w:kern w:val="2"/>
          <w:szCs w:val="21"/>
        </w:rPr>
        <w:t>7</w:t>
      </w:r>
      <w:r w:rsidRPr="00470F37">
        <w:rPr>
          <w:rFonts w:cs="Times New Roman" w:hint="eastAsia"/>
          <w:kern w:val="2"/>
          <w:szCs w:val="21"/>
        </w:rPr>
        <w:t>部分：环氧乙烷灭菌残留量</w:t>
      </w:r>
      <w:r w:rsidRPr="00470F37">
        <w:rPr>
          <w:rFonts w:cs="Times New Roman" w:hint="eastAsia"/>
          <w:kern w:val="2"/>
          <w:szCs w:val="21"/>
        </w:rPr>
        <w:t>[</w:t>
      </w:r>
      <w:r w:rsidRPr="00470F37">
        <w:rPr>
          <w:rFonts w:cs="Times New Roman"/>
          <w:kern w:val="2"/>
          <w:szCs w:val="21"/>
        </w:rPr>
        <w:t>S].</w:t>
      </w:r>
    </w:p>
    <w:sectPr w:rsidR="00483AE9" w:rsidRPr="00470F3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78D1" w14:textId="77777777" w:rsidR="00E308E7" w:rsidRDefault="00E308E7" w:rsidP="005625A2">
      <w:pPr>
        <w:spacing w:line="240" w:lineRule="auto"/>
        <w:ind w:firstLine="420"/>
      </w:pPr>
      <w:r>
        <w:separator/>
      </w:r>
    </w:p>
  </w:endnote>
  <w:endnote w:type="continuationSeparator" w:id="0">
    <w:p w14:paraId="45FEAEAC" w14:textId="77777777" w:rsidR="00E308E7" w:rsidRDefault="00E308E7" w:rsidP="005625A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E332" w14:textId="77777777" w:rsidR="005625A2" w:rsidRDefault="005625A2">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23254"/>
      <w:docPartObj>
        <w:docPartGallery w:val="Page Numbers (Bottom of Page)"/>
        <w:docPartUnique/>
      </w:docPartObj>
    </w:sdtPr>
    <w:sdtEndPr/>
    <w:sdtContent>
      <w:sdt>
        <w:sdtPr>
          <w:id w:val="1728636285"/>
          <w:docPartObj>
            <w:docPartGallery w:val="Page Numbers (Top of Page)"/>
            <w:docPartUnique/>
          </w:docPartObj>
        </w:sdtPr>
        <w:sdtEndPr/>
        <w:sdtContent>
          <w:p w14:paraId="49BCF478" w14:textId="78CF2309" w:rsidR="00470F37" w:rsidRDefault="00470F37">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090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090E">
              <w:rPr>
                <w:b/>
                <w:bCs/>
                <w:noProof/>
              </w:rPr>
              <w:t>5</w:t>
            </w:r>
            <w:r>
              <w:rPr>
                <w:b/>
                <w:bCs/>
                <w:sz w:val="24"/>
                <w:szCs w:val="24"/>
              </w:rPr>
              <w:fldChar w:fldCharType="end"/>
            </w:r>
          </w:p>
        </w:sdtContent>
      </w:sdt>
    </w:sdtContent>
  </w:sdt>
  <w:p w14:paraId="330F7392" w14:textId="77777777" w:rsidR="005625A2" w:rsidRDefault="005625A2">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D4EC" w14:textId="77777777" w:rsidR="005625A2" w:rsidRDefault="005625A2">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4F02" w14:textId="77777777" w:rsidR="00E308E7" w:rsidRDefault="00E308E7" w:rsidP="005625A2">
      <w:pPr>
        <w:spacing w:line="240" w:lineRule="auto"/>
        <w:ind w:firstLine="420"/>
      </w:pPr>
      <w:r>
        <w:separator/>
      </w:r>
    </w:p>
  </w:footnote>
  <w:footnote w:type="continuationSeparator" w:id="0">
    <w:p w14:paraId="3EFA90F1" w14:textId="77777777" w:rsidR="00E308E7" w:rsidRDefault="00E308E7" w:rsidP="005625A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5F05" w14:textId="7F8FC9B0" w:rsidR="005625A2" w:rsidRDefault="00E308E7">
    <w:pPr>
      <w:pStyle w:val="a3"/>
      <w:ind w:firstLine="360"/>
    </w:pPr>
    <w:r>
      <w:rPr>
        <w:noProof/>
      </w:rPr>
      <w:pict w14:anchorId="61471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1884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566" w14:textId="7E5E4FC7" w:rsidR="005625A2" w:rsidRPr="00E72CD8" w:rsidRDefault="00E308E7" w:rsidP="007F74FC">
    <w:pPr>
      <w:pStyle w:val="a3"/>
      <w:pBdr>
        <w:bottom w:val="single" w:sz="4" w:space="1" w:color="auto"/>
      </w:pBdr>
      <w:ind w:firstLine="360"/>
      <w:jc w:val="right"/>
      <w:rPr>
        <w:sz w:val="21"/>
        <w:szCs w:val="21"/>
      </w:rPr>
    </w:pPr>
    <w:r>
      <w:rPr>
        <w:noProof/>
      </w:rPr>
      <w:pict w14:anchorId="52BB8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1884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5625A2" w:rsidRPr="00E72CD8">
      <w:rPr>
        <w:rFonts w:hint="eastAsia"/>
        <w:sz w:val="21"/>
        <w:szCs w:val="21"/>
      </w:rPr>
      <w:t>2</w:t>
    </w:r>
    <w:r w:rsidR="005625A2" w:rsidRPr="00E72CD8">
      <w:rPr>
        <w:sz w:val="21"/>
        <w:szCs w:val="21"/>
      </w:rPr>
      <w:t>024</w:t>
    </w:r>
    <w:r w:rsidR="005625A2" w:rsidRPr="00E72CD8">
      <w:rPr>
        <w:rFonts w:hint="eastAsia"/>
        <w:sz w:val="21"/>
        <w:szCs w:val="21"/>
      </w:rPr>
      <w:t>年</w:t>
    </w:r>
    <w:r w:rsidR="00F51BD7">
      <w:rPr>
        <w:rFonts w:hint="eastAsia"/>
        <w:sz w:val="21"/>
        <w:szCs w:val="21"/>
      </w:rPr>
      <w:t>0</w:t>
    </w:r>
    <w:r w:rsidR="005625A2" w:rsidRPr="00E72CD8">
      <w:rPr>
        <w:rFonts w:hint="eastAsia"/>
        <w:sz w:val="21"/>
        <w:szCs w:val="21"/>
      </w:rPr>
      <w:t>3</w:t>
    </w:r>
    <w:r w:rsidR="005625A2" w:rsidRPr="00E72CD8">
      <w:rPr>
        <w:rFonts w:hint="eastAsia"/>
        <w:sz w:val="21"/>
        <w:szCs w:val="21"/>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613C" w14:textId="03CF4054" w:rsidR="005625A2" w:rsidRDefault="00E308E7">
    <w:pPr>
      <w:pStyle w:val="a3"/>
      <w:ind w:firstLine="360"/>
    </w:pPr>
    <w:r>
      <w:rPr>
        <w:noProof/>
      </w:rPr>
      <w:pict w14:anchorId="17CBE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1884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E9"/>
    <w:rsid w:val="000D6E0F"/>
    <w:rsid w:val="00140080"/>
    <w:rsid w:val="0022063F"/>
    <w:rsid w:val="00263F3C"/>
    <w:rsid w:val="002E7408"/>
    <w:rsid w:val="003C145A"/>
    <w:rsid w:val="003D4CE9"/>
    <w:rsid w:val="004337D5"/>
    <w:rsid w:val="00470F37"/>
    <w:rsid w:val="00483AE9"/>
    <w:rsid w:val="00492B50"/>
    <w:rsid w:val="004E44FD"/>
    <w:rsid w:val="005625A2"/>
    <w:rsid w:val="00614E3B"/>
    <w:rsid w:val="00637CF0"/>
    <w:rsid w:val="006A6BF0"/>
    <w:rsid w:val="006B7CCD"/>
    <w:rsid w:val="00753E68"/>
    <w:rsid w:val="007733D7"/>
    <w:rsid w:val="007F74FC"/>
    <w:rsid w:val="00810626"/>
    <w:rsid w:val="008461BE"/>
    <w:rsid w:val="00870C59"/>
    <w:rsid w:val="00907D70"/>
    <w:rsid w:val="00910D96"/>
    <w:rsid w:val="009749E2"/>
    <w:rsid w:val="009E425E"/>
    <w:rsid w:val="00A86FC4"/>
    <w:rsid w:val="00A87068"/>
    <w:rsid w:val="00AA2147"/>
    <w:rsid w:val="00AD1496"/>
    <w:rsid w:val="00BA03C2"/>
    <w:rsid w:val="00BA34F0"/>
    <w:rsid w:val="00BB559B"/>
    <w:rsid w:val="00BE5D31"/>
    <w:rsid w:val="00C05BAA"/>
    <w:rsid w:val="00C11F3D"/>
    <w:rsid w:val="00C3731B"/>
    <w:rsid w:val="00C7090E"/>
    <w:rsid w:val="00CE1E71"/>
    <w:rsid w:val="00D539CD"/>
    <w:rsid w:val="00D70618"/>
    <w:rsid w:val="00DC7E67"/>
    <w:rsid w:val="00E308E7"/>
    <w:rsid w:val="00E72CD8"/>
    <w:rsid w:val="00F51BD7"/>
    <w:rsid w:val="00FD18AD"/>
    <w:rsid w:val="00FE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86C35"/>
  <w15:chartTrackingRefBased/>
  <w15:docId w15:val="{412831E0-8A04-4495-AAB1-6B382DE6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2"/>
    <w:pPr>
      <w:spacing w:line="360" w:lineRule="auto"/>
      <w:ind w:firstLineChars="200" w:firstLine="200"/>
    </w:pPr>
    <w:rPr>
      <w:rFonts w:ascii="Times New Roman" w:eastAsia="宋体" w:hAnsi="Times New Roman"/>
      <w:kern w:val="0"/>
    </w:rPr>
  </w:style>
  <w:style w:type="paragraph" w:styleId="1">
    <w:name w:val="heading 1"/>
    <w:basedOn w:val="a"/>
    <w:next w:val="a"/>
    <w:link w:val="10"/>
    <w:uiPriority w:val="9"/>
    <w:qFormat/>
    <w:rsid w:val="00870C59"/>
    <w:pPr>
      <w:keepNext/>
      <w:keepLines/>
      <w:ind w:firstLineChars="0" w:firstLine="0"/>
      <w:outlineLvl w:val="0"/>
    </w:pPr>
    <w:rPr>
      <w:rFonts w:eastAsia="黑体"/>
      <w:bCs/>
      <w:kern w:val="44"/>
      <w:szCs w:val="44"/>
    </w:rPr>
  </w:style>
  <w:style w:type="paragraph" w:styleId="2">
    <w:name w:val="heading 2"/>
    <w:basedOn w:val="1"/>
    <w:next w:val="a"/>
    <w:link w:val="20"/>
    <w:uiPriority w:val="9"/>
    <w:unhideWhenUsed/>
    <w:qFormat/>
    <w:rsid w:val="00870C59"/>
    <w:pPr>
      <w:outlineLvl w:val="1"/>
    </w:pPr>
  </w:style>
  <w:style w:type="paragraph" w:styleId="3">
    <w:name w:val="heading 3"/>
    <w:basedOn w:val="2"/>
    <w:next w:val="a"/>
    <w:link w:val="30"/>
    <w:uiPriority w:val="9"/>
    <w:unhideWhenUsed/>
    <w:qFormat/>
    <w:rsid w:val="00870C5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C59"/>
    <w:rPr>
      <w:rFonts w:ascii="Times New Roman" w:eastAsia="黑体" w:hAnsi="Times New Roman"/>
      <w:bCs/>
      <w:kern w:val="44"/>
      <w:szCs w:val="44"/>
    </w:rPr>
  </w:style>
  <w:style w:type="character" w:customStyle="1" w:styleId="20">
    <w:name w:val="标题 2 字符"/>
    <w:basedOn w:val="a0"/>
    <w:link w:val="2"/>
    <w:uiPriority w:val="9"/>
    <w:rsid w:val="00870C59"/>
    <w:rPr>
      <w:rFonts w:ascii="Times New Roman" w:eastAsia="黑体" w:hAnsi="Times New Roman"/>
      <w:bCs/>
      <w:kern w:val="44"/>
      <w:szCs w:val="44"/>
    </w:rPr>
  </w:style>
  <w:style w:type="character" w:customStyle="1" w:styleId="30">
    <w:name w:val="标题 3 字符"/>
    <w:basedOn w:val="a0"/>
    <w:link w:val="3"/>
    <w:uiPriority w:val="9"/>
    <w:rsid w:val="00870C59"/>
    <w:rPr>
      <w:rFonts w:ascii="Times New Roman" w:eastAsia="黑体" w:hAnsi="Times New Roman"/>
      <w:bCs/>
      <w:kern w:val="44"/>
      <w:szCs w:val="44"/>
    </w:rPr>
  </w:style>
  <w:style w:type="paragraph" w:styleId="a3">
    <w:name w:val="header"/>
    <w:basedOn w:val="a"/>
    <w:link w:val="a4"/>
    <w:uiPriority w:val="99"/>
    <w:unhideWhenUsed/>
    <w:rsid w:val="005625A2"/>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625A2"/>
    <w:rPr>
      <w:rFonts w:ascii="Times New Roman" w:eastAsia="宋体" w:hAnsi="Times New Roman"/>
      <w:kern w:val="0"/>
      <w:sz w:val="18"/>
      <w:szCs w:val="18"/>
    </w:rPr>
  </w:style>
  <w:style w:type="paragraph" w:styleId="a5">
    <w:name w:val="footer"/>
    <w:basedOn w:val="a"/>
    <w:link w:val="a6"/>
    <w:uiPriority w:val="99"/>
    <w:unhideWhenUsed/>
    <w:rsid w:val="005625A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625A2"/>
    <w:rPr>
      <w:rFonts w:ascii="Times New Roman" w:eastAsia="宋体" w:hAnsi="Times New Roman"/>
      <w:kern w:val="0"/>
      <w:sz w:val="18"/>
      <w:szCs w:val="18"/>
    </w:rPr>
  </w:style>
  <w:style w:type="paragraph" w:styleId="a7">
    <w:name w:val="Normal (Web)"/>
    <w:basedOn w:val="a"/>
    <w:uiPriority w:val="99"/>
    <w:semiHidden/>
    <w:unhideWhenUsed/>
    <w:rsid w:val="00637CF0"/>
    <w:pPr>
      <w:spacing w:before="100" w:beforeAutospacing="1" w:after="100" w:afterAutospacing="1" w:line="240" w:lineRule="auto"/>
      <w:ind w:firstLineChars="0" w:firstLine="0"/>
    </w:pPr>
    <w:rPr>
      <w:rFonts w:ascii="宋体" w:hAnsi="宋体" w:cs="宋体"/>
      <w:sz w:val="24"/>
      <w:szCs w:val="24"/>
    </w:rPr>
  </w:style>
  <w:style w:type="table" w:styleId="a8">
    <w:name w:val="Table Grid"/>
    <w:basedOn w:val="a1"/>
    <w:uiPriority w:val="39"/>
    <w:rsid w:val="0063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4228">
      <w:bodyDiv w:val="1"/>
      <w:marLeft w:val="0"/>
      <w:marRight w:val="0"/>
      <w:marTop w:val="0"/>
      <w:marBottom w:val="0"/>
      <w:divBdr>
        <w:top w:val="none" w:sz="0" w:space="0" w:color="auto"/>
        <w:left w:val="none" w:sz="0" w:space="0" w:color="auto"/>
        <w:bottom w:val="none" w:sz="0" w:space="0" w:color="auto"/>
        <w:right w:val="none" w:sz="0" w:space="0" w:color="auto"/>
      </w:divBdr>
    </w:div>
    <w:div w:id="201940021">
      <w:bodyDiv w:val="1"/>
      <w:marLeft w:val="0"/>
      <w:marRight w:val="0"/>
      <w:marTop w:val="0"/>
      <w:marBottom w:val="0"/>
      <w:divBdr>
        <w:top w:val="none" w:sz="0" w:space="0" w:color="auto"/>
        <w:left w:val="none" w:sz="0" w:space="0" w:color="auto"/>
        <w:bottom w:val="none" w:sz="0" w:space="0" w:color="auto"/>
        <w:right w:val="none" w:sz="0" w:space="0" w:color="auto"/>
      </w:divBdr>
    </w:div>
    <w:div w:id="245727157">
      <w:bodyDiv w:val="1"/>
      <w:marLeft w:val="0"/>
      <w:marRight w:val="0"/>
      <w:marTop w:val="0"/>
      <w:marBottom w:val="0"/>
      <w:divBdr>
        <w:top w:val="none" w:sz="0" w:space="0" w:color="auto"/>
        <w:left w:val="none" w:sz="0" w:space="0" w:color="auto"/>
        <w:bottom w:val="none" w:sz="0" w:space="0" w:color="auto"/>
        <w:right w:val="none" w:sz="0" w:space="0" w:color="auto"/>
      </w:divBdr>
    </w:div>
    <w:div w:id="417291556">
      <w:bodyDiv w:val="1"/>
      <w:marLeft w:val="0"/>
      <w:marRight w:val="0"/>
      <w:marTop w:val="0"/>
      <w:marBottom w:val="0"/>
      <w:divBdr>
        <w:top w:val="none" w:sz="0" w:space="0" w:color="auto"/>
        <w:left w:val="none" w:sz="0" w:space="0" w:color="auto"/>
        <w:bottom w:val="none" w:sz="0" w:space="0" w:color="auto"/>
        <w:right w:val="none" w:sz="0" w:space="0" w:color="auto"/>
      </w:divBdr>
    </w:div>
    <w:div w:id="533425101">
      <w:bodyDiv w:val="1"/>
      <w:marLeft w:val="0"/>
      <w:marRight w:val="0"/>
      <w:marTop w:val="0"/>
      <w:marBottom w:val="0"/>
      <w:divBdr>
        <w:top w:val="none" w:sz="0" w:space="0" w:color="auto"/>
        <w:left w:val="none" w:sz="0" w:space="0" w:color="auto"/>
        <w:bottom w:val="none" w:sz="0" w:space="0" w:color="auto"/>
        <w:right w:val="none" w:sz="0" w:space="0" w:color="auto"/>
      </w:divBdr>
    </w:div>
    <w:div w:id="1115903805">
      <w:bodyDiv w:val="1"/>
      <w:marLeft w:val="0"/>
      <w:marRight w:val="0"/>
      <w:marTop w:val="0"/>
      <w:marBottom w:val="0"/>
      <w:divBdr>
        <w:top w:val="none" w:sz="0" w:space="0" w:color="auto"/>
        <w:left w:val="none" w:sz="0" w:space="0" w:color="auto"/>
        <w:bottom w:val="none" w:sz="0" w:space="0" w:color="auto"/>
        <w:right w:val="none" w:sz="0" w:space="0" w:color="auto"/>
      </w:divBdr>
    </w:div>
    <w:div w:id="1320423211">
      <w:bodyDiv w:val="1"/>
      <w:marLeft w:val="0"/>
      <w:marRight w:val="0"/>
      <w:marTop w:val="0"/>
      <w:marBottom w:val="0"/>
      <w:divBdr>
        <w:top w:val="none" w:sz="0" w:space="0" w:color="auto"/>
        <w:left w:val="none" w:sz="0" w:space="0" w:color="auto"/>
        <w:bottom w:val="none" w:sz="0" w:space="0" w:color="auto"/>
        <w:right w:val="none" w:sz="0" w:space="0" w:color="auto"/>
      </w:divBdr>
    </w:div>
    <w:div w:id="1371566026">
      <w:bodyDiv w:val="1"/>
      <w:marLeft w:val="0"/>
      <w:marRight w:val="0"/>
      <w:marTop w:val="0"/>
      <w:marBottom w:val="0"/>
      <w:divBdr>
        <w:top w:val="none" w:sz="0" w:space="0" w:color="auto"/>
        <w:left w:val="none" w:sz="0" w:space="0" w:color="auto"/>
        <w:bottom w:val="none" w:sz="0" w:space="0" w:color="auto"/>
        <w:right w:val="none" w:sz="0" w:space="0" w:color="auto"/>
      </w:divBdr>
    </w:div>
    <w:div w:id="1392776268">
      <w:bodyDiv w:val="1"/>
      <w:marLeft w:val="0"/>
      <w:marRight w:val="0"/>
      <w:marTop w:val="0"/>
      <w:marBottom w:val="0"/>
      <w:divBdr>
        <w:top w:val="none" w:sz="0" w:space="0" w:color="auto"/>
        <w:left w:val="none" w:sz="0" w:space="0" w:color="auto"/>
        <w:bottom w:val="none" w:sz="0" w:space="0" w:color="auto"/>
        <w:right w:val="none" w:sz="0" w:space="0" w:color="auto"/>
      </w:divBdr>
    </w:div>
    <w:div w:id="1474636843">
      <w:bodyDiv w:val="1"/>
      <w:marLeft w:val="0"/>
      <w:marRight w:val="0"/>
      <w:marTop w:val="0"/>
      <w:marBottom w:val="0"/>
      <w:divBdr>
        <w:top w:val="none" w:sz="0" w:space="0" w:color="auto"/>
        <w:left w:val="none" w:sz="0" w:space="0" w:color="auto"/>
        <w:bottom w:val="none" w:sz="0" w:space="0" w:color="auto"/>
        <w:right w:val="none" w:sz="0" w:space="0" w:color="auto"/>
      </w:divBdr>
    </w:div>
    <w:div w:id="18381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5</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annie</dc:creator>
  <cp:keywords/>
  <dc:description/>
  <cp:lastModifiedBy>cl</cp:lastModifiedBy>
  <cp:revision>18</cp:revision>
  <cp:lastPrinted>2024-03-20T07:00:00Z</cp:lastPrinted>
  <dcterms:created xsi:type="dcterms:W3CDTF">2024-03-04T02:34:00Z</dcterms:created>
  <dcterms:modified xsi:type="dcterms:W3CDTF">2024-03-23T08:34:00Z</dcterms:modified>
</cp:coreProperties>
</file>