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C1" w:rsidRDefault="009730C1" w14:paraId="6D17BCE9" w14:textId="77777777">
      <w:pPr>
        <w:spacing w:line="360" w:lineRule="auto"/>
        <w:jc w:val="center"/>
        <w:rPr>
          <w:rFonts w:hint="eastAsia" w:ascii="宋体" w:hAnsi="宋体" w:cs="宋体"/>
          <w:b/>
          <w:bCs/>
          <w:sz w:val="48"/>
          <w:szCs w:val="48"/>
        </w:rPr>
      </w:pPr>
    </w:p>
    <w:p w:rsidR="009730C1" w:rsidRDefault="009730C1" w14:paraId="42B71787" w14:textId="77777777">
      <w:pPr>
        <w:spacing w:line="360" w:lineRule="auto"/>
        <w:jc w:val="center"/>
        <w:rPr>
          <w:rFonts w:ascii="宋体" w:hAnsi="宋体" w:cs="宋体"/>
          <w:b/>
          <w:bCs/>
          <w:sz w:val="48"/>
          <w:szCs w:val="48"/>
        </w:rPr>
      </w:pPr>
    </w:p>
    <w:p w:rsidR="009730C1" w:rsidRDefault="009730C1" w14:paraId="050E6AA4" w14:textId="77777777">
      <w:pPr>
        <w:spacing w:line="360" w:lineRule="auto"/>
        <w:jc w:val="center"/>
        <w:rPr>
          <w:rFonts w:ascii="宋体" w:hAnsi="宋体" w:cs="宋体"/>
          <w:b/>
          <w:bCs/>
          <w:sz w:val="48"/>
          <w:szCs w:val="48"/>
        </w:rPr>
      </w:pPr>
    </w:p>
    <w:p w:rsidR="009730C1" w:rsidRDefault="009730C1" w14:paraId="151DCBD4" w14:textId="77777777">
      <w:pPr>
        <w:spacing w:line="360" w:lineRule="auto"/>
        <w:jc w:val="center"/>
        <w:rPr>
          <w:rFonts w:ascii="宋体" w:hAnsi="宋体" w:cs="宋体"/>
          <w:b/>
          <w:bCs/>
          <w:sz w:val="48"/>
          <w:szCs w:val="48"/>
        </w:rPr>
      </w:pPr>
    </w:p>
    <w:p w:rsidR="009730C1" w:rsidRDefault="009730C1" w14:paraId="33214AF9" w14:textId="77777777">
      <w:pPr>
        <w:spacing w:line="360" w:lineRule="auto"/>
        <w:jc w:val="center"/>
        <w:rPr>
          <w:rFonts w:ascii="宋体" w:hAnsi="宋体" w:cs="宋体"/>
          <w:b/>
          <w:bCs/>
          <w:sz w:val="48"/>
          <w:szCs w:val="48"/>
        </w:rPr>
      </w:pPr>
    </w:p>
    <w:p w:rsidR="009730C1" w:rsidRDefault="009730C1" w14:paraId="1F460CD3" w14:textId="77777777">
      <w:pPr>
        <w:spacing w:line="360" w:lineRule="auto"/>
        <w:jc w:val="center"/>
        <w:rPr>
          <w:rFonts w:ascii="宋体" w:hAnsi="宋体" w:cs="宋体"/>
          <w:b/>
          <w:bCs/>
          <w:sz w:val="48"/>
          <w:szCs w:val="48"/>
        </w:rPr>
      </w:pPr>
    </w:p>
    <w:p w:rsidR="009730C1" w:rsidRDefault="009730C1" w14:paraId="5D66B060" w14:textId="77777777">
      <w:pPr>
        <w:spacing w:line="360" w:lineRule="auto"/>
        <w:jc w:val="center"/>
        <w:rPr>
          <w:rFonts w:ascii="宋体" w:hAnsi="宋体" w:cs="宋体"/>
          <w:b/>
          <w:bCs/>
          <w:sz w:val="48"/>
          <w:szCs w:val="48"/>
        </w:rPr>
      </w:pPr>
    </w:p>
    <w:p w:rsidR="009730C1" w:rsidRDefault="009730C1" w14:paraId="478935C8" w14:textId="77777777">
      <w:pPr>
        <w:spacing w:line="360" w:lineRule="auto"/>
        <w:jc w:val="center"/>
        <w:rPr>
          <w:rFonts w:ascii="宋体" w:hAnsi="宋体" w:cs="宋体"/>
          <w:b/>
          <w:bCs/>
          <w:sz w:val="48"/>
          <w:szCs w:val="48"/>
        </w:rPr>
      </w:pPr>
    </w:p>
    <w:p w:rsidR="009730C1" w:rsidRDefault="009730C1" w14:paraId="75E10A80" w14:textId="77777777">
      <w:pPr>
        <w:spacing w:line="360" w:lineRule="auto"/>
        <w:jc w:val="center"/>
        <w:rPr>
          <w:rFonts w:ascii="宋体" w:hAnsi="宋体" w:cs="宋体"/>
          <w:b/>
          <w:bCs/>
          <w:sz w:val="48"/>
          <w:szCs w:val="48"/>
        </w:rPr>
      </w:pPr>
    </w:p>
    <w:p w:rsidR="009730C1" w:rsidRDefault="009730C1" w14:paraId="555CD054" w14:textId="77777777">
      <w:pPr>
        <w:spacing w:line="360" w:lineRule="auto"/>
        <w:jc w:val="center"/>
        <w:rPr>
          <w:rFonts w:ascii="宋体" w:hAnsi="宋体" w:cs="宋体"/>
          <w:b/>
          <w:bCs/>
          <w:sz w:val="48"/>
          <w:szCs w:val="48"/>
        </w:rPr>
      </w:pPr>
    </w:p>
    <w:p w:rsidR="009730C1" w:rsidRDefault="009730C1" w14:paraId="64B0FBDB" w14:textId="77777777">
      <w:pPr>
        <w:spacing w:line="360" w:lineRule="auto"/>
        <w:jc w:val="center"/>
        <w:rPr>
          <w:rFonts w:ascii="宋体" w:hAnsi="宋体" w:cs="宋体"/>
          <w:b/>
          <w:bCs/>
          <w:sz w:val="48"/>
          <w:szCs w:val="48"/>
        </w:rPr>
      </w:pPr>
    </w:p>
    <w:p w:rsidRPr="003C684F" w:rsidR="009730C1" w:rsidRDefault="00A315B9" w14:paraId="74BAFC7D" w14:textId="77777777">
      <w:pPr>
        <w:spacing w:line="360" w:lineRule="auto"/>
        <w:jc w:val="center"/>
        <w:rPr>
          <w:rFonts w:ascii="宋体" w:cs="Times New Roman"/>
          <w:b/>
          <w:bCs/>
          <w:sz w:val="44"/>
          <w:szCs w:val="44"/>
        </w:rPr>
      </w:pPr>
      <w:r w:rsidRPr="003C684F">
        <w:rPr>
          <w:rFonts w:hint="eastAsia" w:ascii="宋体" w:hAnsi="宋体" w:cs="宋体"/>
          <w:b/>
          <w:bCs/>
          <w:sz w:val="44"/>
          <w:szCs w:val="44"/>
        </w:rPr>
        <w:t>新型抗肿瘤药物临床应用指导原则</w:t>
      </w:r>
    </w:p>
    <w:p w:rsidRPr="003C684F" w:rsidR="009730C1" w:rsidP="0037660B" w:rsidRDefault="00A315B9" w14:paraId="447531E2" w14:textId="77777777">
      <w:pPr>
        <w:spacing w:line="360" w:lineRule="auto"/>
        <w:jc w:val="center"/>
        <w:outlineLvl w:val="0"/>
        <w:rPr>
          <w:rFonts w:ascii="宋体" w:cs="Times New Roman"/>
          <w:b/>
          <w:bCs/>
          <w:sz w:val="44"/>
          <w:szCs w:val="44"/>
        </w:rPr>
      </w:pPr>
      <w:r w:rsidRPr="003C684F">
        <w:rPr>
          <w:rFonts w:hint="eastAsia" w:ascii="宋体" w:hAnsi="宋体" w:cs="宋体"/>
          <w:b/>
          <w:bCs/>
          <w:sz w:val="44"/>
          <w:szCs w:val="44"/>
        </w:rPr>
        <w:t>（</w:t>
      </w:r>
      <w:r w:rsidRPr="003C684F">
        <w:rPr>
          <w:rFonts w:ascii="宋体" w:hAnsi="宋体" w:cs="宋体"/>
          <w:b/>
          <w:bCs/>
          <w:sz w:val="44"/>
          <w:szCs w:val="44"/>
        </w:rPr>
        <w:t>20</w:t>
      </w:r>
      <w:r w:rsidRPr="003C684F">
        <w:rPr>
          <w:rFonts w:hint="eastAsia" w:ascii="宋体" w:hAnsi="宋体" w:cs="宋体"/>
          <w:b/>
          <w:bCs/>
          <w:sz w:val="44"/>
          <w:szCs w:val="44"/>
        </w:rPr>
        <w:t>2</w:t>
      </w:r>
      <w:r w:rsidRPr="003C684F">
        <w:rPr>
          <w:rFonts w:ascii="宋体" w:hAnsi="宋体" w:cs="宋体"/>
          <w:b/>
          <w:bCs/>
          <w:sz w:val="44"/>
          <w:szCs w:val="44"/>
        </w:rPr>
        <w:t>2</w:t>
      </w:r>
      <w:r w:rsidRPr="003C684F">
        <w:rPr>
          <w:rFonts w:hint="eastAsia" w:ascii="宋体" w:hAnsi="宋体" w:cs="宋体"/>
          <w:b/>
          <w:bCs/>
          <w:sz w:val="44"/>
          <w:szCs w:val="44"/>
        </w:rPr>
        <w:t>年版）</w:t>
      </w:r>
    </w:p>
    <w:p w:rsidRPr="003C684F" w:rsidR="009730C1" w:rsidRDefault="009730C1" w14:paraId="5F078949" w14:textId="77777777">
      <w:pPr>
        <w:spacing w:line="360" w:lineRule="auto"/>
        <w:ind w:firstLine="640" w:firstLineChars="200"/>
        <w:rPr>
          <w:rFonts w:ascii="仿宋" w:hAnsi="仿宋" w:eastAsia="仿宋" w:cs="仿宋"/>
          <w:sz w:val="32"/>
          <w:szCs w:val="32"/>
        </w:rPr>
      </w:pPr>
    </w:p>
    <w:p w:rsidRPr="003C684F" w:rsidR="009730C1" w:rsidRDefault="009730C1" w14:paraId="3F2A9BB9" w14:textId="77777777">
      <w:pPr>
        <w:spacing w:line="360" w:lineRule="auto"/>
        <w:ind w:firstLine="640" w:firstLineChars="200"/>
        <w:rPr>
          <w:rFonts w:ascii="仿宋" w:hAnsi="仿宋" w:eastAsia="仿宋" w:cs="仿宋"/>
          <w:sz w:val="32"/>
          <w:szCs w:val="32"/>
        </w:rPr>
      </w:pPr>
    </w:p>
    <w:p w:rsidRPr="003C684F" w:rsidR="009730C1" w:rsidRDefault="009730C1" w14:paraId="60A4D8C1" w14:textId="77777777">
      <w:pPr>
        <w:spacing w:line="360" w:lineRule="auto"/>
        <w:ind w:firstLine="640" w:firstLineChars="200"/>
        <w:rPr>
          <w:rFonts w:ascii="仿宋" w:hAnsi="仿宋" w:eastAsia="仿宋" w:cs="仿宋"/>
          <w:sz w:val="32"/>
          <w:szCs w:val="32"/>
        </w:rPr>
      </w:pPr>
    </w:p>
    <w:p w:rsidRPr="003C684F" w:rsidR="009730C1" w:rsidRDefault="009730C1" w14:paraId="2F1C4812" w14:textId="77777777">
      <w:pPr>
        <w:spacing w:line="360" w:lineRule="auto"/>
        <w:ind w:firstLine="640" w:firstLineChars="200"/>
        <w:rPr>
          <w:rFonts w:ascii="仿宋" w:hAnsi="仿宋" w:eastAsia="仿宋" w:cs="仿宋"/>
          <w:sz w:val="32"/>
          <w:szCs w:val="32"/>
        </w:rPr>
      </w:pPr>
    </w:p>
    <w:p w:rsidRPr="003C684F" w:rsidR="009730C1" w:rsidRDefault="009730C1" w14:paraId="6B0599DA" w14:textId="77777777">
      <w:pPr>
        <w:spacing w:line="360" w:lineRule="auto"/>
        <w:ind w:firstLine="640" w:firstLineChars="200"/>
        <w:rPr>
          <w:rFonts w:ascii="仿宋" w:hAnsi="仿宋" w:eastAsia="仿宋" w:cs="仿宋"/>
          <w:sz w:val="32"/>
          <w:szCs w:val="32"/>
        </w:rPr>
      </w:pPr>
    </w:p>
    <w:p w:rsidRPr="003C684F" w:rsidR="009730C1" w:rsidRDefault="009730C1" w14:paraId="50EC2CB1" w14:textId="77777777">
      <w:pPr>
        <w:spacing w:line="360" w:lineRule="auto"/>
        <w:ind w:firstLine="640" w:firstLineChars="200"/>
        <w:rPr>
          <w:rFonts w:ascii="仿宋" w:hAnsi="仿宋" w:eastAsia="仿宋" w:cs="仿宋"/>
          <w:sz w:val="32"/>
          <w:szCs w:val="32"/>
        </w:rPr>
      </w:pPr>
    </w:p>
    <w:p w:rsidRPr="003C684F" w:rsidR="009730C1" w:rsidRDefault="009730C1" w14:paraId="0F7B5CBE" w14:textId="77777777">
      <w:pPr>
        <w:spacing w:line="360" w:lineRule="auto"/>
        <w:ind w:firstLine="640" w:firstLineChars="200"/>
        <w:rPr>
          <w:rFonts w:ascii="仿宋" w:hAnsi="仿宋" w:eastAsia="仿宋" w:cs="仿宋"/>
          <w:sz w:val="32"/>
          <w:szCs w:val="32"/>
        </w:rPr>
      </w:pPr>
    </w:p>
    <w:p w:rsidRPr="003C684F" w:rsidR="009730C1" w:rsidRDefault="009730C1" w14:paraId="0AA1A1B8" w14:textId="77777777">
      <w:pPr>
        <w:spacing w:line="360" w:lineRule="auto"/>
        <w:ind w:firstLine="640" w:firstLineChars="200"/>
        <w:rPr>
          <w:rFonts w:ascii="仿宋" w:hAnsi="仿宋" w:eastAsia="仿宋" w:cs="仿宋"/>
          <w:sz w:val="32"/>
          <w:szCs w:val="32"/>
        </w:rPr>
      </w:pPr>
    </w:p>
    <w:p w:rsidRPr="003C684F" w:rsidR="009730C1" w:rsidRDefault="009730C1" w14:paraId="75C5C843" w14:textId="77777777">
      <w:pPr>
        <w:spacing w:line="360" w:lineRule="auto"/>
        <w:rPr>
          <w:rFonts w:ascii="仿宋" w:hAnsi="仿宋" w:eastAsia="仿宋" w:cs="仿宋"/>
          <w:sz w:val="32"/>
          <w:szCs w:val="32"/>
        </w:rPr>
      </w:pPr>
    </w:p>
    <w:p w:rsidRPr="003C684F" w:rsidR="009730C1" w:rsidRDefault="00A315B9" w14:paraId="3FA0A9ED" w14:textId="77777777">
      <w:pPr>
        <w:spacing w:line="360" w:lineRule="auto"/>
        <w:ind w:firstLine="723" w:firstLineChars="200"/>
        <w:jc w:val="center"/>
        <w:rPr>
          <w:rFonts w:ascii="宋体" w:cs="Times New Roman"/>
          <w:bCs/>
          <w:sz w:val="36"/>
          <w:szCs w:val="36"/>
        </w:rPr>
      </w:pPr>
      <w:r w:rsidRPr="003C684F">
        <w:rPr>
          <w:rFonts w:hint="eastAsia" w:ascii="宋体" w:hAnsi="宋体" w:cs="宋体"/>
          <w:b/>
          <w:bCs/>
          <w:sz w:val="36"/>
          <w:szCs w:val="36"/>
        </w:rPr>
        <w:lastRenderedPageBreak/>
        <w:t>目 录</w:t>
      </w:r>
    </w:p>
    <w:p w:rsidRPr="003C684F" w:rsidR="009730C1" w:rsidRDefault="00A315B9" w14:paraId="11A3BF0B" w14:textId="77777777">
      <w:pPr>
        <w:spacing w:line="360" w:lineRule="auto"/>
        <w:rPr>
          <w:rFonts w:ascii="宋体" w:cs="Times New Roman"/>
          <w:b/>
          <w:bCs/>
          <w:sz w:val="24"/>
          <w:szCs w:val="24"/>
        </w:rPr>
      </w:pPr>
      <w:r w:rsidRPr="003C684F">
        <w:rPr>
          <w:rFonts w:hint="eastAsia" w:ascii="宋体" w:hAnsi="宋体" w:cs="宋体"/>
          <w:b/>
          <w:bCs/>
          <w:sz w:val="24"/>
          <w:szCs w:val="24"/>
        </w:rPr>
        <w:t>第一部分　新型抗肿瘤药物临床应用基本原则</w:t>
      </w:r>
    </w:p>
    <w:tbl>
      <w:tblPr>
        <w:tblW w:w="8522" w:type="dxa"/>
        <w:tblInd w:w="-106" w:type="dxa"/>
        <w:tblLayout w:type="fixed"/>
        <w:tblLook w:val="04A0" w:firstRow="1" w:lastRow="0" w:firstColumn="1" w:lastColumn="0" w:noHBand="0" w:noVBand="1"/>
      </w:tblPr>
      <w:tblGrid>
        <w:gridCol w:w="7946"/>
        <w:gridCol w:w="576"/>
      </w:tblGrid>
      <w:tr w:rsidRPr="003C684F" w:rsidR="009730C1" w14:paraId="5EFB3FBE" w14:textId="77777777">
        <w:trPr>
          <w:trHeight w:val="285"/>
        </w:trPr>
        <w:tc>
          <w:tcPr>
            <w:tcW w:w="7946" w:type="dxa"/>
          </w:tcPr>
          <w:p w:rsidRPr="003C684F" w:rsidR="009730C1" w:rsidRDefault="00A315B9" w14:paraId="51E4C995" w14:textId="77777777">
            <w:pPr>
              <w:spacing w:line="240" w:lineRule="atLeast"/>
              <w:rPr>
                <w:rFonts w:ascii="宋体" w:cs="Times New Roman"/>
              </w:rPr>
            </w:pPr>
            <w:r w:rsidRPr="003C684F">
              <w:rPr>
                <w:rFonts w:hint="eastAsia" w:ascii="宋体" w:hAnsi="宋体" w:cs="宋体"/>
              </w:rPr>
              <w:t>一、病理组织学确诊后方可使用</w:t>
            </w:r>
            <w:r w:rsidRPr="003C684F">
              <w:rPr>
                <w:rFonts w:hint="eastAsia" w:ascii="宋体" w:cs="宋体"/>
              </w:rPr>
              <w:t>……………………………………………………………</w:t>
            </w:r>
          </w:p>
        </w:tc>
        <w:tc>
          <w:tcPr>
            <w:tcW w:w="576" w:type="dxa"/>
          </w:tcPr>
          <w:p w:rsidRPr="003C684F" w:rsidR="009730C1" w:rsidRDefault="00A315B9" w14:paraId="511648FF" w14:textId="77777777">
            <w:pPr>
              <w:spacing w:line="240" w:lineRule="atLeast"/>
              <w:rPr>
                <w:rFonts w:ascii="宋体" w:cs="Times New Roman"/>
              </w:rPr>
            </w:pPr>
            <w:r w:rsidRPr="003C684F">
              <w:rPr>
                <w:rFonts w:hint="eastAsia" w:ascii="宋体" w:cs="宋体"/>
              </w:rPr>
              <w:t>0</w:t>
            </w:r>
            <w:r w:rsidRPr="003C684F">
              <w:rPr>
                <w:rFonts w:ascii="宋体" w:cs="宋体"/>
              </w:rPr>
              <w:t>0</w:t>
            </w:r>
            <w:r w:rsidRPr="003C684F">
              <w:rPr>
                <w:rFonts w:hint="eastAsia" w:ascii="宋体" w:hAnsi="宋体" w:cs="宋体"/>
              </w:rPr>
              <w:t>1</w:t>
            </w:r>
          </w:p>
        </w:tc>
      </w:tr>
      <w:tr w:rsidRPr="003C684F" w:rsidR="009730C1" w14:paraId="79AD09A6" w14:textId="77777777">
        <w:trPr>
          <w:trHeight w:val="285"/>
        </w:trPr>
        <w:tc>
          <w:tcPr>
            <w:tcW w:w="7946" w:type="dxa"/>
          </w:tcPr>
          <w:p w:rsidRPr="003C684F" w:rsidR="009730C1" w:rsidP="003902E2" w:rsidRDefault="00A315B9" w14:paraId="67C94572" w14:textId="6A7B3EEE">
            <w:pPr>
              <w:rPr>
                <w:rFonts w:ascii="宋体" w:cs="Times New Roman"/>
              </w:rPr>
            </w:pPr>
            <w:r w:rsidRPr="003C684F">
              <w:rPr>
                <w:rFonts w:hint="eastAsia" w:ascii="宋体" w:hAnsi="宋体" w:cs="宋体"/>
              </w:rPr>
              <w:t>二、</w:t>
            </w:r>
            <w:r w:rsidR="003902E2">
              <w:rPr>
                <w:rFonts w:hint="eastAsia" w:ascii="宋体" w:hAnsi="宋体" w:cs="宋体"/>
              </w:rPr>
              <w:t>部分需</w:t>
            </w:r>
            <w:r w:rsidRPr="003C684F">
              <w:rPr>
                <w:rFonts w:hint="eastAsia" w:ascii="宋体" w:hAnsi="宋体" w:cs="宋体"/>
              </w:rPr>
              <w:t>靶点检测后方可使用</w:t>
            </w:r>
            <w:r w:rsidRPr="003C684F">
              <w:rPr>
                <w:rFonts w:hint="eastAsia" w:ascii="宋体" w:cs="宋体"/>
              </w:rPr>
              <w:t>………………………………………………</w:t>
            </w:r>
            <w:r w:rsidR="003902E2">
              <w:rPr>
                <w:rFonts w:hint="eastAsia" w:ascii="宋体" w:cs="宋体"/>
              </w:rPr>
              <w:t>…</w:t>
            </w:r>
            <w:r w:rsidRPr="003C684F">
              <w:rPr>
                <w:rFonts w:hint="eastAsia" w:ascii="宋体" w:cs="宋体"/>
              </w:rPr>
              <w:t>…………</w:t>
            </w:r>
          </w:p>
        </w:tc>
        <w:tc>
          <w:tcPr>
            <w:tcW w:w="576" w:type="dxa"/>
          </w:tcPr>
          <w:p w:rsidRPr="003C684F" w:rsidR="009730C1" w:rsidP="007F32AD" w:rsidRDefault="00A315B9" w14:paraId="2F7A160F" w14:textId="78D53171">
            <w:pPr>
              <w:rPr>
                <w:rFonts w:ascii="宋体" w:cs="Times New Roman"/>
              </w:rPr>
            </w:pPr>
            <w:r w:rsidRPr="003C684F">
              <w:rPr>
                <w:rFonts w:hint="eastAsia" w:ascii="宋体" w:cs="宋体"/>
              </w:rPr>
              <w:t>0</w:t>
            </w:r>
            <w:r w:rsidRPr="003C684F">
              <w:rPr>
                <w:rFonts w:ascii="宋体" w:cs="宋体"/>
              </w:rPr>
              <w:t>0</w:t>
            </w:r>
            <w:r w:rsidR="007F32AD">
              <w:rPr>
                <w:rFonts w:hint="eastAsia" w:ascii="宋体" w:hAnsi="宋体" w:cs="宋体"/>
              </w:rPr>
              <w:t>1</w:t>
            </w:r>
          </w:p>
        </w:tc>
      </w:tr>
      <w:tr w:rsidRPr="003C684F" w:rsidR="009730C1" w14:paraId="427D7B38" w14:textId="77777777">
        <w:trPr>
          <w:trHeight w:val="285"/>
        </w:trPr>
        <w:tc>
          <w:tcPr>
            <w:tcW w:w="7946" w:type="dxa"/>
          </w:tcPr>
          <w:p w:rsidRPr="003C684F" w:rsidR="009730C1" w:rsidRDefault="00A315B9" w14:paraId="7E581B17" w14:textId="77777777">
            <w:pPr>
              <w:rPr>
                <w:rFonts w:ascii="宋体" w:cs="Times New Roman"/>
              </w:rPr>
            </w:pPr>
            <w:r w:rsidRPr="003C684F">
              <w:rPr>
                <w:rFonts w:hint="eastAsia" w:ascii="宋体" w:hAnsi="宋体" w:cs="宋体"/>
              </w:rPr>
              <w:t>三、严格遵循适应证用药</w:t>
            </w:r>
            <w:r w:rsidRPr="003C684F">
              <w:rPr>
                <w:rFonts w:hint="eastAsia" w:ascii="宋体" w:cs="宋体"/>
              </w:rPr>
              <w:t>……………………………………………………………………</w:t>
            </w:r>
          </w:p>
        </w:tc>
        <w:tc>
          <w:tcPr>
            <w:tcW w:w="576" w:type="dxa"/>
          </w:tcPr>
          <w:p w:rsidRPr="003C684F" w:rsidR="009730C1" w:rsidP="009160FF" w:rsidRDefault="00A315B9" w14:paraId="15142FE1" w14:textId="77777777">
            <w:pPr>
              <w:rPr>
                <w:rFonts w:ascii="宋体" w:cs="Times New Roman"/>
              </w:rPr>
            </w:pPr>
            <w:r w:rsidRPr="003C684F">
              <w:rPr>
                <w:rFonts w:hint="eastAsia" w:ascii="宋体" w:cs="宋体"/>
              </w:rPr>
              <w:t>0</w:t>
            </w:r>
            <w:r w:rsidRPr="003C684F">
              <w:rPr>
                <w:rFonts w:ascii="宋体" w:cs="宋体"/>
              </w:rPr>
              <w:t>0</w:t>
            </w:r>
            <w:r w:rsidRPr="003C684F" w:rsidR="009160FF">
              <w:rPr>
                <w:rFonts w:hint="eastAsia" w:ascii="宋体" w:hAnsi="宋体" w:cs="宋体"/>
              </w:rPr>
              <w:t>7</w:t>
            </w:r>
          </w:p>
        </w:tc>
      </w:tr>
      <w:tr w:rsidRPr="003C684F" w:rsidR="009730C1" w14:paraId="44A42290" w14:textId="77777777">
        <w:trPr>
          <w:trHeight w:val="285"/>
        </w:trPr>
        <w:tc>
          <w:tcPr>
            <w:tcW w:w="7946" w:type="dxa"/>
          </w:tcPr>
          <w:p w:rsidRPr="003C684F" w:rsidR="009730C1" w:rsidRDefault="00A315B9" w14:paraId="62ECDAD3" w14:textId="77777777">
            <w:pPr>
              <w:rPr>
                <w:rFonts w:ascii="宋体" w:cs="Times New Roman"/>
              </w:rPr>
            </w:pPr>
            <w:r w:rsidRPr="003C684F">
              <w:rPr>
                <w:rFonts w:hint="eastAsia" w:ascii="宋体" w:hAnsi="宋体" w:cs="宋体"/>
              </w:rPr>
              <w:t>四、体现患者治疗价值</w:t>
            </w:r>
            <w:r w:rsidRPr="003C684F">
              <w:rPr>
                <w:rFonts w:hint="eastAsia" w:ascii="宋体" w:cs="宋体"/>
              </w:rPr>
              <w:t>………………………………………………………………………</w:t>
            </w:r>
          </w:p>
        </w:tc>
        <w:tc>
          <w:tcPr>
            <w:tcW w:w="576" w:type="dxa"/>
          </w:tcPr>
          <w:p w:rsidRPr="003C684F" w:rsidR="009730C1" w:rsidRDefault="00A315B9" w14:paraId="3393B56F" w14:textId="77777777">
            <w:pPr>
              <w:rPr>
                <w:rFonts w:ascii="宋体" w:cs="Times New Roman"/>
              </w:rPr>
            </w:pPr>
            <w:r w:rsidRPr="003C684F">
              <w:rPr>
                <w:rFonts w:hint="eastAsia" w:ascii="宋体" w:cs="宋体"/>
              </w:rPr>
              <w:t>0</w:t>
            </w:r>
            <w:r w:rsidRPr="003C684F">
              <w:rPr>
                <w:rFonts w:ascii="宋体" w:cs="宋体"/>
              </w:rPr>
              <w:t>0</w:t>
            </w:r>
            <w:r w:rsidRPr="003C684F">
              <w:rPr>
                <w:rFonts w:hint="eastAsia" w:ascii="宋体" w:hAnsi="宋体" w:cs="宋体"/>
              </w:rPr>
              <w:t>7</w:t>
            </w:r>
          </w:p>
        </w:tc>
      </w:tr>
      <w:tr w:rsidRPr="003C684F" w:rsidR="009730C1" w14:paraId="629AAA83" w14:textId="77777777">
        <w:trPr>
          <w:trHeight w:val="285"/>
        </w:trPr>
        <w:tc>
          <w:tcPr>
            <w:tcW w:w="7946" w:type="dxa"/>
          </w:tcPr>
          <w:p w:rsidRPr="003C684F" w:rsidR="009730C1" w:rsidRDefault="00A315B9" w14:paraId="67CED3D7" w14:textId="77777777">
            <w:pPr>
              <w:rPr>
                <w:rFonts w:ascii="宋体" w:cs="Times New Roman"/>
              </w:rPr>
            </w:pPr>
            <w:r w:rsidRPr="003C684F">
              <w:rPr>
                <w:rFonts w:hint="eastAsia" w:ascii="宋体" w:hAnsi="宋体" w:cs="宋体"/>
              </w:rPr>
              <w:t>五、特殊情况下的药物合理使用</w:t>
            </w:r>
            <w:r w:rsidRPr="003C684F">
              <w:rPr>
                <w:rFonts w:hint="eastAsia" w:ascii="宋体" w:cs="宋体"/>
              </w:rPr>
              <w:t>……………………………………………………………</w:t>
            </w:r>
          </w:p>
          <w:p w:rsidRPr="003C684F" w:rsidR="009730C1" w:rsidP="00FA4511" w:rsidRDefault="00A315B9" w14:paraId="4BF60570" w14:textId="360CCAB2">
            <w:pPr>
              <w:rPr>
                <w:rFonts w:ascii="宋体" w:cs="Times New Roman"/>
              </w:rPr>
            </w:pPr>
            <w:r w:rsidRPr="003C684F">
              <w:rPr>
                <w:rFonts w:hint="eastAsia" w:ascii="宋体" w:hAnsi="宋体" w:cs="宋体"/>
              </w:rPr>
              <w:t>六、重视药物相关性不良反应</w:t>
            </w:r>
            <w:r w:rsidRPr="003C684F">
              <w:rPr>
                <w:rFonts w:hint="eastAsia" w:ascii="宋体" w:cs="宋体"/>
              </w:rPr>
              <w:t>………………………………………………………………</w:t>
            </w:r>
          </w:p>
        </w:tc>
        <w:tc>
          <w:tcPr>
            <w:tcW w:w="576" w:type="dxa"/>
          </w:tcPr>
          <w:p w:rsidRPr="003C684F" w:rsidR="009730C1" w:rsidRDefault="00A315B9" w14:paraId="383B7BFF" w14:textId="77777777">
            <w:pPr>
              <w:rPr>
                <w:rFonts w:ascii="宋体" w:cs="Times New Roman"/>
              </w:rPr>
            </w:pPr>
            <w:r w:rsidRPr="003C684F">
              <w:rPr>
                <w:rFonts w:hint="eastAsia" w:ascii="宋体" w:cs="宋体"/>
              </w:rPr>
              <w:t>0</w:t>
            </w:r>
            <w:r w:rsidRPr="003C684F">
              <w:rPr>
                <w:rFonts w:ascii="宋体" w:cs="宋体"/>
              </w:rPr>
              <w:t>0</w:t>
            </w:r>
            <w:r w:rsidRPr="003C684F">
              <w:rPr>
                <w:rFonts w:hint="eastAsia" w:ascii="宋体" w:hAnsi="宋体" w:cs="宋体"/>
              </w:rPr>
              <w:t>7</w:t>
            </w:r>
          </w:p>
          <w:p w:rsidRPr="003C684F" w:rsidR="009730C1" w:rsidRDefault="00A315B9" w14:paraId="5D10A519" w14:textId="77777777">
            <w:pPr>
              <w:rPr>
                <w:rFonts w:ascii="宋体" w:cs="Times New Roman"/>
              </w:rPr>
            </w:pPr>
            <w:r w:rsidRPr="003C684F">
              <w:rPr>
                <w:rFonts w:hint="eastAsia" w:ascii="宋体" w:cs="宋体"/>
              </w:rPr>
              <w:t>0</w:t>
            </w:r>
            <w:r w:rsidRPr="003C684F">
              <w:rPr>
                <w:rFonts w:ascii="宋体" w:cs="宋体"/>
              </w:rPr>
              <w:t>0</w:t>
            </w:r>
            <w:r w:rsidRPr="003C684F">
              <w:rPr>
                <w:rFonts w:hint="eastAsia" w:ascii="宋体" w:hAnsi="宋体" w:cs="宋体"/>
              </w:rPr>
              <w:t>8</w:t>
            </w:r>
          </w:p>
        </w:tc>
      </w:tr>
    </w:tbl>
    <w:p w:rsidRPr="003C684F" w:rsidR="009730C1" w:rsidRDefault="00A315B9" w14:paraId="628C5C26" w14:textId="77777777">
      <w:pPr>
        <w:spacing w:line="360" w:lineRule="auto"/>
        <w:rPr>
          <w:rFonts w:ascii="宋体" w:cs="Times New Roman"/>
          <w:b/>
          <w:bCs/>
          <w:sz w:val="24"/>
          <w:szCs w:val="24"/>
        </w:rPr>
      </w:pPr>
      <w:r w:rsidRPr="003C684F">
        <w:rPr>
          <w:rFonts w:hint="eastAsia" w:ascii="宋体" w:hAnsi="宋体" w:cs="宋体"/>
          <w:b/>
          <w:bCs/>
          <w:sz w:val="24"/>
          <w:szCs w:val="24"/>
        </w:rPr>
        <w:t>第二部分　各系统肿瘤的药物临床应用指导原则</w:t>
      </w:r>
    </w:p>
    <w:p w:rsidRPr="003C684F" w:rsidR="009730C1" w:rsidRDefault="00A315B9" w14:paraId="3DB8019C" w14:textId="77777777">
      <w:pPr>
        <w:spacing w:line="360" w:lineRule="auto"/>
        <w:rPr>
          <w:rFonts w:ascii="宋体" w:cs="Times New Roman"/>
          <w:b/>
          <w:bCs/>
          <w:sz w:val="24"/>
          <w:szCs w:val="24"/>
        </w:rPr>
      </w:pPr>
      <w:r w:rsidRPr="003C684F">
        <w:rPr>
          <w:rFonts w:hint="eastAsia" w:ascii="宋体" w:hAnsi="宋体" w:cs="宋体"/>
          <w:b/>
          <w:bCs/>
        </w:rPr>
        <w:t>呼吸系统肿瘤用药</w:t>
      </w:r>
    </w:p>
    <w:tbl>
      <w:tblPr>
        <w:tblW w:w="8522" w:type="dxa"/>
        <w:tblInd w:w="-106" w:type="dxa"/>
        <w:tblLayout w:type="fixed"/>
        <w:tblLook w:val="04A0" w:firstRow="1" w:lastRow="0" w:firstColumn="1" w:lastColumn="0" w:noHBand="0" w:noVBand="1"/>
      </w:tblPr>
      <w:tblGrid>
        <w:gridCol w:w="7938"/>
        <w:gridCol w:w="584"/>
      </w:tblGrid>
      <w:tr w:rsidRPr="003C684F" w:rsidR="009730C1" w14:paraId="53E2A4CA" w14:textId="77777777">
        <w:trPr>
          <w:trHeight w:val="285"/>
        </w:trPr>
        <w:tc>
          <w:tcPr>
            <w:tcW w:w="7938" w:type="dxa"/>
          </w:tcPr>
          <w:p w:rsidRPr="003C684F" w:rsidR="009730C1" w:rsidRDefault="00A315B9" w14:paraId="57229569" w14:textId="77777777">
            <w:pPr>
              <w:rPr>
                <w:rFonts w:ascii="宋体" w:cs="Times New Roman"/>
              </w:rPr>
            </w:pPr>
            <w:r w:rsidRPr="003C684F">
              <w:rPr>
                <w:rFonts w:hint="eastAsia" w:ascii="宋体" w:hAnsi="宋体" w:cs="宋体"/>
              </w:rPr>
              <w:t>一、吉非替尼</w:t>
            </w:r>
            <w:r w:rsidRPr="003C684F">
              <w:rPr>
                <w:rFonts w:hint="eastAsia" w:ascii="宋体" w:cs="宋体"/>
              </w:rPr>
              <w:t>…………………………………………………………………………………</w:t>
            </w:r>
          </w:p>
        </w:tc>
        <w:tc>
          <w:tcPr>
            <w:tcW w:w="584" w:type="dxa"/>
          </w:tcPr>
          <w:p w:rsidRPr="003C684F" w:rsidR="009730C1" w:rsidRDefault="00A315B9" w14:paraId="64CAD1E2" w14:textId="77777777">
            <w:pPr>
              <w:rPr>
                <w:rFonts w:ascii="宋体" w:cs="Times New Roman"/>
              </w:rPr>
            </w:pPr>
            <w:r w:rsidRPr="003C684F">
              <w:rPr>
                <w:rFonts w:hint="eastAsia" w:ascii="宋体" w:hAnsi="宋体" w:cs="宋体"/>
              </w:rPr>
              <w:t>009</w:t>
            </w:r>
          </w:p>
        </w:tc>
      </w:tr>
      <w:tr w:rsidRPr="003C684F" w:rsidR="009730C1" w14:paraId="42811BE7" w14:textId="77777777">
        <w:trPr>
          <w:trHeight w:val="285"/>
        </w:trPr>
        <w:tc>
          <w:tcPr>
            <w:tcW w:w="7938" w:type="dxa"/>
          </w:tcPr>
          <w:p w:rsidRPr="003C684F" w:rsidR="009730C1" w:rsidRDefault="00A315B9" w14:paraId="38D8C37B" w14:textId="77777777">
            <w:pPr>
              <w:rPr>
                <w:rFonts w:ascii="宋体" w:cs="Times New Roman"/>
              </w:rPr>
            </w:pPr>
            <w:r w:rsidRPr="003C684F">
              <w:rPr>
                <w:rFonts w:hint="eastAsia" w:ascii="宋体" w:hAnsi="宋体" w:cs="宋体"/>
              </w:rPr>
              <w:t>二、厄洛替尼</w:t>
            </w:r>
            <w:r w:rsidRPr="003C684F">
              <w:rPr>
                <w:rFonts w:hint="eastAsia" w:ascii="宋体" w:cs="宋体"/>
              </w:rPr>
              <w:t>…………………………………………………………………………………</w:t>
            </w:r>
          </w:p>
        </w:tc>
        <w:tc>
          <w:tcPr>
            <w:tcW w:w="584" w:type="dxa"/>
          </w:tcPr>
          <w:p w:rsidRPr="003C684F" w:rsidR="009730C1" w:rsidRDefault="00A315B9" w14:paraId="6ED02750" w14:textId="77777777">
            <w:pPr>
              <w:rPr>
                <w:rFonts w:ascii="宋体" w:cs="Times New Roman"/>
              </w:rPr>
            </w:pPr>
            <w:r w:rsidRPr="003C684F">
              <w:rPr>
                <w:rFonts w:hint="eastAsia" w:ascii="宋体" w:hAnsi="宋体" w:cs="宋体"/>
              </w:rPr>
              <w:t>0</w:t>
            </w:r>
            <w:r w:rsidRPr="003C684F">
              <w:rPr>
                <w:rFonts w:ascii="宋体" w:hAnsi="宋体" w:cs="宋体"/>
              </w:rPr>
              <w:t>1</w:t>
            </w:r>
            <w:r w:rsidRPr="003C684F">
              <w:rPr>
                <w:rFonts w:hint="eastAsia" w:ascii="宋体" w:hAnsi="宋体" w:cs="宋体"/>
              </w:rPr>
              <w:t>0</w:t>
            </w:r>
          </w:p>
        </w:tc>
      </w:tr>
      <w:tr w:rsidRPr="003C684F" w:rsidR="009730C1" w14:paraId="26914768" w14:textId="77777777">
        <w:trPr>
          <w:trHeight w:val="285"/>
        </w:trPr>
        <w:tc>
          <w:tcPr>
            <w:tcW w:w="7938" w:type="dxa"/>
          </w:tcPr>
          <w:p w:rsidRPr="003C684F" w:rsidR="009730C1" w:rsidRDefault="00A315B9" w14:paraId="6E183FDC" w14:textId="77777777">
            <w:pPr>
              <w:rPr>
                <w:rFonts w:ascii="宋体" w:cs="Times New Roman"/>
              </w:rPr>
            </w:pPr>
            <w:r w:rsidRPr="003C684F">
              <w:rPr>
                <w:rFonts w:hint="eastAsia" w:ascii="宋体" w:hAnsi="宋体" w:cs="宋体"/>
              </w:rPr>
              <w:t>三、埃克替尼</w:t>
            </w:r>
            <w:r w:rsidRPr="003C684F">
              <w:rPr>
                <w:rFonts w:hint="eastAsia" w:ascii="宋体" w:cs="宋体"/>
              </w:rPr>
              <w:t>…………………………………………………………………………………</w:t>
            </w:r>
          </w:p>
        </w:tc>
        <w:tc>
          <w:tcPr>
            <w:tcW w:w="584" w:type="dxa"/>
          </w:tcPr>
          <w:p w:rsidRPr="003C684F" w:rsidR="009730C1" w:rsidRDefault="00A315B9" w14:paraId="3356DE0C" w14:textId="77777777">
            <w:pPr>
              <w:rPr>
                <w:rFonts w:ascii="宋体" w:cs="Times New Roman"/>
              </w:rPr>
            </w:pPr>
            <w:r w:rsidRPr="003C684F">
              <w:rPr>
                <w:rFonts w:hint="eastAsia" w:ascii="宋体" w:hAnsi="宋体" w:cs="宋体"/>
              </w:rPr>
              <w:t>011</w:t>
            </w:r>
          </w:p>
        </w:tc>
      </w:tr>
      <w:tr w:rsidRPr="003C684F" w:rsidR="009730C1" w14:paraId="733EBF35" w14:textId="77777777">
        <w:trPr>
          <w:trHeight w:val="285"/>
        </w:trPr>
        <w:tc>
          <w:tcPr>
            <w:tcW w:w="7938" w:type="dxa"/>
          </w:tcPr>
          <w:p w:rsidRPr="003C684F" w:rsidR="009730C1" w:rsidRDefault="00A315B9" w14:paraId="2E6D1A7A" w14:textId="77777777">
            <w:pPr>
              <w:rPr>
                <w:rFonts w:ascii="宋体" w:cs="宋体"/>
              </w:rPr>
            </w:pPr>
            <w:r w:rsidRPr="003C684F">
              <w:rPr>
                <w:rFonts w:hint="eastAsia" w:ascii="宋体" w:hAnsi="宋体" w:cs="宋体"/>
              </w:rPr>
              <w:t>四、阿法替尼</w:t>
            </w:r>
            <w:r w:rsidRPr="003C684F">
              <w:rPr>
                <w:rFonts w:hint="eastAsia" w:ascii="宋体" w:cs="宋体"/>
              </w:rPr>
              <w:t>…………………………………………………………………………………</w:t>
            </w:r>
          </w:p>
          <w:p w:rsidRPr="003C684F" w:rsidR="009730C1" w:rsidRDefault="00A315B9" w14:paraId="2A9D8EEA" w14:textId="77777777">
            <w:pPr>
              <w:rPr>
                <w:rFonts w:ascii="宋体" w:cs="宋体"/>
              </w:rPr>
            </w:pPr>
            <w:r w:rsidRPr="003C684F">
              <w:rPr>
                <w:rFonts w:hint="eastAsia" w:ascii="宋体" w:cs="宋体"/>
              </w:rPr>
              <w:t>五、达可替尼…………………………………………………………………………………</w:t>
            </w:r>
            <w:r w:rsidRPr="003C684F">
              <w:rPr>
                <w:rFonts w:hint="eastAsia" w:ascii="宋体" w:cs="Times New Roman"/>
              </w:rPr>
              <w:t>六、奥希替尼</w:t>
            </w:r>
            <w:r w:rsidRPr="003C684F">
              <w:rPr>
                <w:rFonts w:hint="eastAsia" w:ascii="宋体" w:cs="宋体"/>
              </w:rPr>
              <w:t>…………………………………………………………………………………</w:t>
            </w:r>
          </w:p>
        </w:tc>
        <w:tc>
          <w:tcPr>
            <w:tcW w:w="584" w:type="dxa"/>
          </w:tcPr>
          <w:p w:rsidRPr="003C684F" w:rsidR="009730C1" w:rsidRDefault="00A315B9" w14:paraId="7980839E" w14:textId="77777777">
            <w:pPr>
              <w:rPr>
                <w:rFonts w:ascii="宋体" w:hAnsi="宋体" w:cs="宋体"/>
              </w:rPr>
            </w:pPr>
            <w:r w:rsidRPr="003C684F">
              <w:rPr>
                <w:rFonts w:hint="eastAsia" w:ascii="宋体" w:hAnsi="宋体" w:cs="宋体"/>
              </w:rPr>
              <w:t>012</w:t>
            </w:r>
          </w:p>
          <w:p w:rsidRPr="003C684F" w:rsidR="009730C1" w:rsidRDefault="00A315B9" w14:paraId="524631B8" w14:textId="77777777">
            <w:pPr>
              <w:rPr>
                <w:rFonts w:ascii="宋体" w:hAnsi="宋体" w:cs="宋体"/>
              </w:rPr>
            </w:pPr>
            <w:r w:rsidRPr="003C684F">
              <w:rPr>
                <w:rFonts w:hint="eastAsia" w:ascii="宋体" w:hAnsi="宋体" w:cs="宋体"/>
              </w:rPr>
              <w:t>014</w:t>
            </w:r>
          </w:p>
          <w:p w:rsidRPr="003C684F" w:rsidR="009730C1" w:rsidP="008A2B57" w:rsidRDefault="00A315B9" w14:paraId="69EE3A48" w14:textId="064652F7">
            <w:pPr>
              <w:rPr>
                <w:rFonts w:ascii="宋体" w:cs="Times New Roman"/>
              </w:rPr>
            </w:pPr>
            <w:r w:rsidRPr="003C684F">
              <w:rPr>
                <w:rFonts w:hint="eastAsia" w:ascii="宋体" w:hAnsi="宋体" w:cs="宋体"/>
              </w:rPr>
              <w:t>01</w:t>
            </w:r>
            <w:r w:rsidRPr="003C684F" w:rsidR="008A2B57">
              <w:rPr>
                <w:rFonts w:hint="eastAsia" w:ascii="宋体" w:hAnsi="宋体" w:cs="宋体"/>
              </w:rPr>
              <w:t>6</w:t>
            </w:r>
          </w:p>
        </w:tc>
      </w:tr>
      <w:tr w:rsidRPr="003C684F" w:rsidR="009730C1" w14:paraId="5AD22BC6" w14:textId="77777777">
        <w:trPr>
          <w:trHeight w:val="285"/>
        </w:trPr>
        <w:tc>
          <w:tcPr>
            <w:tcW w:w="7938" w:type="dxa"/>
          </w:tcPr>
          <w:p w:rsidRPr="003C684F" w:rsidR="009730C1" w:rsidRDefault="00A315B9" w14:paraId="493A5967" w14:textId="77777777">
            <w:pPr>
              <w:rPr>
                <w:rFonts w:ascii="宋体" w:cs="宋体"/>
              </w:rPr>
            </w:pPr>
            <w:r w:rsidRPr="003C684F">
              <w:rPr>
                <w:rFonts w:hint="eastAsia" w:ascii="宋体" w:cs="宋体"/>
              </w:rPr>
              <w:t>七、</w:t>
            </w:r>
            <w:r w:rsidRPr="003C684F">
              <w:rPr>
                <w:rFonts w:hint="eastAsia" w:ascii="宋体" w:hAnsi="宋体" w:cs="宋体"/>
              </w:rPr>
              <w:t>阿美替尼</w:t>
            </w:r>
            <w:r w:rsidRPr="003C684F">
              <w:rPr>
                <w:rFonts w:hint="eastAsia" w:ascii="宋体" w:cs="宋体"/>
              </w:rPr>
              <w:t>…………………………………………………………………………………</w:t>
            </w:r>
          </w:p>
          <w:p w:rsidRPr="003C684F" w:rsidR="009730C1" w:rsidRDefault="00A315B9" w14:paraId="5E8495B7" w14:textId="77777777">
            <w:pPr>
              <w:rPr>
                <w:rFonts w:ascii="宋体" w:cs="Times New Roman"/>
              </w:rPr>
            </w:pPr>
            <w:r w:rsidRPr="003C684F">
              <w:rPr>
                <w:rFonts w:hint="eastAsia" w:ascii="宋体" w:cs="宋体"/>
              </w:rPr>
              <w:t>八、伏美替尼…………………………………………………………………………………</w:t>
            </w:r>
          </w:p>
        </w:tc>
        <w:tc>
          <w:tcPr>
            <w:tcW w:w="584" w:type="dxa"/>
          </w:tcPr>
          <w:p w:rsidRPr="003C684F" w:rsidR="009730C1" w:rsidRDefault="00A315B9" w14:paraId="1F706A65" w14:textId="77777777">
            <w:pPr>
              <w:rPr>
                <w:rFonts w:ascii="宋体" w:hAnsi="宋体" w:cs="宋体"/>
              </w:rPr>
            </w:pPr>
            <w:r w:rsidRPr="003C684F">
              <w:rPr>
                <w:rFonts w:hint="eastAsia" w:ascii="宋体" w:hAnsi="宋体" w:cs="宋体"/>
              </w:rPr>
              <w:t>017</w:t>
            </w:r>
          </w:p>
          <w:p w:rsidRPr="003C684F" w:rsidR="009730C1" w:rsidRDefault="00A315B9" w14:paraId="36AE6129" w14:textId="77777777">
            <w:pPr>
              <w:rPr>
                <w:rFonts w:ascii="宋体" w:cs="Times New Roman"/>
              </w:rPr>
            </w:pPr>
            <w:r w:rsidRPr="003C684F">
              <w:rPr>
                <w:rFonts w:hint="eastAsia" w:ascii="宋体" w:cs="Times New Roman"/>
              </w:rPr>
              <w:t>018</w:t>
            </w:r>
          </w:p>
        </w:tc>
      </w:tr>
      <w:tr w:rsidRPr="003C684F" w:rsidR="009730C1" w14:paraId="5628366F" w14:textId="77777777">
        <w:trPr>
          <w:trHeight w:val="285"/>
        </w:trPr>
        <w:tc>
          <w:tcPr>
            <w:tcW w:w="7938" w:type="dxa"/>
          </w:tcPr>
          <w:p w:rsidRPr="003C684F" w:rsidR="009730C1" w:rsidRDefault="00A315B9" w14:paraId="4BE62884" w14:textId="77777777">
            <w:pPr>
              <w:rPr>
                <w:rFonts w:ascii="宋体" w:cs="宋体"/>
              </w:rPr>
            </w:pPr>
            <w:r w:rsidRPr="003C684F">
              <w:rPr>
                <w:rFonts w:hint="eastAsia" w:ascii="宋体" w:hAnsi="宋体" w:cs="宋体"/>
              </w:rPr>
              <w:t>九、克唑替尼</w:t>
            </w:r>
            <w:r w:rsidRPr="003C684F">
              <w:rPr>
                <w:rFonts w:hint="eastAsia" w:ascii="宋体" w:cs="宋体"/>
              </w:rPr>
              <w:t>…………………………………………………………………………………</w:t>
            </w:r>
          </w:p>
          <w:p w:rsidRPr="003C684F" w:rsidR="009730C1" w:rsidRDefault="00A315B9" w14:paraId="57AD24C5" w14:textId="77777777">
            <w:pPr>
              <w:rPr>
                <w:rFonts w:ascii="宋体" w:cs="宋体"/>
              </w:rPr>
            </w:pPr>
            <w:r w:rsidRPr="003C684F">
              <w:rPr>
                <w:rFonts w:hint="eastAsia" w:ascii="宋体" w:cs="Times New Roman"/>
              </w:rPr>
              <w:t>十、阿来替尼</w:t>
            </w:r>
            <w:r w:rsidRPr="003C684F">
              <w:rPr>
                <w:rFonts w:hint="eastAsia" w:ascii="宋体" w:cs="宋体"/>
              </w:rPr>
              <w:t>…………………………………………………………………………………</w:t>
            </w:r>
          </w:p>
          <w:p w:rsidRPr="003C684F" w:rsidR="009730C1" w:rsidRDefault="00A315B9" w14:paraId="28688B16" w14:textId="77777777">
            <w:pPr>
              <w:rPr>
                <w:rFonts w:ascii="宋体" w:cs="宋体"/>
              </w:rPr>
            </w:pPr>
            <w:r w:rsidRPr="003C684F">
              <w:rPr>
                <w:rFonts w:hint="eastAsia" w:ascii="宋体" w:hAnsi="宋体" w:cs="宋体"/>
              </w:rPr>
              <w:t>十一、塞瑞替尼</w:t>
            </w:r>
            <w:r w:rsidRPr="003C684F">
              <w:rPr>
                <w:rFonts w:hint="eastAsia" w:ascii="宋体" w:cs="宋体"/>
              </w:rPr>
              <w:t>………………………………………………………………………………</w:t>
            </w:r>
          </w:p>
          <w:p w:rsidRPr="003C684F" w:rsidR="009730C1" w:rsidRDefault="00A315B9" w14:paraId="4DAC8596" w14:textId="77777777">
            <w:pPr>
              <w:rPr>
                <w:rFonts w:ascii="宋体" w:cs="宋体"/>
              </w:rPr>
            </w:pPr>
            <w:r w:rsidRPr="003C684F">
              <w:rPr>
                <w:rFonts w:hint="eastAsia" w:ascii="宋体" w:cs="宋体"/>
              </w:rPr>
              <w:t>十二、恩沙替尼………………………………………………………………………………</w:t>
            </w:r>
          </w:p>
          <w:p w:rsidRPr="003C684F" w:rsidR="009730C1" w:rsidRDefault="00A315B9" w14:paraId="6E8DA6FA" w14:textId="77777777">
            <w:pPr>
              <w:rPr>
                <w:rFonts w:ascii="宋体" w:cs="宋体"/>
              </w:rPr>
            </w:pPr>
            <w:r w:rsidRPr="003C684F">
              <w:rPr>
                <w:rFonts w:hint="eastAsia" w:ascii="宋体" w:cs="宋体"/>
              </w:rPr>
              <w:t>十三、布格替尼………………………………………………………………………………</w:t>
            </w:r>
          </w:p>
          <w:p w:rsidRPr="003C684F" w:rsidR="009730C1" w:rsidRDefault="00A315B9" w14:paraId="4B4BBCB5" w14:textId="77777777">
            <w:pPr>
              <w:rPr>
                <w:rFonts w:ascii="宋体" w:cs="宋体"/>
              </w:rPr>
            </w:pPr>
            <w:r w:rsidRPr="003C684F">
              <w:rPr>
                <w:rFonts w:hint="eastAsia" w:ascii="宋体" w:cs="宋体"/>
              </w:rPr>
              <w:t>十四、洛拉替尼………………………………………………………………………………</w:t>
            </w:r>
          </w:p>
        </w:tc>
        <w:tc>
          <w:tcPr>
            <w:tcW w:w="584" w:type="dxa"/>
          </w:tcPr>
          <w:p w:rsidRPr="003C684F" w:rsidR="009730C1" w:rsidRDefault="00A315B9" w14:paraId="33933735" w14:textId="77777777">
            <w:pPr>
              <w:rPr>
                <w:rFonts w:ascii="宋体" w:hAnsi="宋体" w:cs="宋体"/>
              </w:rPr>
            </w:pPr>
            <w:r w:rsidRPr="003C684F">
              <w:rPr>
                <w:rFonts w:hint="eastAsia" w:ascii="宋体" w:hAnsi="宋体" w:cs="宋体"/>
              </w:rPr>
              <w:t>019</w:t>
            </w:r>
          </w:p>
          <w:p w:rsidRPr="003C684F" w:rsidR="009730C1" w:rsidRDefault="00A315B9" w14:paraId="31B9C2B9" w14:textId="77777777">
            <w:pPr>
              <w:rPr>
                <w:rFonts w:ascii="宋体" w:hAnsi="宋体" w:cs="宋体"/>
              </w:rPr>
            </w:pPr>
            <w:r w:rsidRPr="003C684F">
              <w:rPr>
                <w:rFonts w:hint="eastAsia" w:ascii="宋体" w:hAnsi="宋体" w:cs="宋体"/>
              </w:rPr>
              <w:t>0</w:t>
            </w:r>
            <w:r w:rsidRPr="003C684F">
              <w:rPr>
                <w:rFonts w:ascii="宋体" w:hAnsi="宋体" w:cs="宋体"/>
              </w:rPr>
              <w:t>2</w:t>
            </w:r>
            <w:r w:rsidRPr="003C684F">
              <w:rPr>
                <w:rFonts w:hint="eastAsia" w:ascii="宋体" w:hAnsi="宋体" w:cs="宋体"/>
              </w:rPr>
              <w:t>1</w:t>
            </w:r>
          </w:p>
          <w:p w:rsidRPr="003C684F" w:rsidR="009730C1" w:rsidRDefault="00A315B9" w14:paraId="3E6FFE36" w14:textId="61653310">
            <w:pPr>
              <w:rPr>
                <w:rFonts w:ascii="宋体" w:hAnsi="宋体" w:cs="宋体"/>
              </w:rPr>
            </w:pPr>
            <w:r w:rsidRPr="003C684F">
              <w:rPr>
                <w:rFonts w:hint="eastAsia" w:ascii="宋体" w:hAnsi="宋体" w:cs="宋体"/>
              </w:rPr>
              <w:t>02</w:t>
            </w:r>
            <w:r w:rsidRPr="003C684F" w:rsidR="008A2B57">
              <w:rPr>
                <w:rFonts w:hint="eastAsia" w:ascii="宋体" w:hAnsi="宋体" w:cs="宋体"/>
              </w:rPr>
              <w:t>3</w:t>
            </w:r>
          </w:p>
          <w:p w:rsidRPr="003C684F" w:rsidR="009730C1" w:rsidRDefault="00A315B9" w14:paraId="697830A3" w14:textId="77777777">
            <w:pPr>
              <w:rPr>
                <w:rFonts w:ascii="宋体" w:hAnsi="宋体" w:cs="宋体"/>
              </w:rPr>
            </w:pPr>
            <w:r w:rsidRPr="003C684F">
              <w:rPr>
                <w:rFonts w:hint="eastAsia" w:ascii="宋体" w:hAnsi="宋体" w:cs="宋体"/>
              </w:rPr>
              <w:t>024</w:t>
            </w:r>
          </w:p>
          <w:p w:rsidRPr="003C684F" w:rsidR="009730C1" w:rsidRDefault="00A315B9" w14:paraId="42EEC0F2" w14:textId="77777777">
            <w:pPr>
              <w:rPr>
                <w:rFonts w:ascii="宋体" w:hAnsi="宋体" w:cs="宋体"/>
              </w:rPr>
            </w:pPr>
            <w:r w:rsidRPr="003C684F">
              <w:rPr>
                <w:rFonts w:hint="eastAsia" w:ascii="宋体" w:hAnsi="宋体" w:cs="宋体"/>
              </w:rPr>
              <w:t>025</w:t>
            </w:r>
          </w:p>
          <w:p w:rsidRPr="003C684F" w:rsidR="009730C1" w:rsidP="00A029C2" w:rsidRDefault="00A315B9" w14:paraId="5C6CD4AF" w14:textId="77777777">
            <w:pPr>
              <w:rPr>
                <w:rFonts w:ascii="宋体" w:cs="Times New Roman"/>
              </w:rPr>
            </w:pPr>
            <w:r w:rsidRPr="003C684F">
              <w:rPr>
                <w:rFonts w:hint="eastAsia" w:ascii="宋体" w:hAnsi="宋体" w:cs="宋体"/>
              </w:rPr>
              <w:t>02</w:t>
            </w:r>
            <w:r w:rsidRPr="003C684F" w:rsidR="00A029C2">
              <w:rPr>
                <w:rFonts w:hint="eastAsia" w:ascii="宋体" w:hAnsi="宋体" w:cs="宋体"/>
              </w:rPr>
              <w:t>7</w:t>
            </w:r>
          </w:p>
        </w:tc>
      </w:tr>
      <w:tr w:rsidRPr="003C684F" w:rsidR="009730C1" w14:paraId="7108349D" w14:textId="77777777">
        <w:trPr>
          <w:trHeight w:val="285"/>
        </w:trPr>
        <w:tc>
          <w:tcPr>
            <w:tcW w:w="7938" w:type="dxa"/>
          </w:tcPr>
          <w:p w:rsidRPr="003C684F" w:rsidR="009730C1" w:rsidP="00044CFD" w:rsidRDefault="00A315B9" w14:paraId="5FBD19A3" w14:textId="77777777">
            <w:pPr>
              <w:jc w:val="left"/>
              <w:rPr>
                <w:rFonts w:ascii="宋体" w:cs="Times New Roman"/>
              </w:rPr>
            </w:pPr>
            <w:r w:rsidRPr="003C684F">
              <w:rPr>
                <w:rFonts w:hint="eastAsia" w:ascii="宋体" w:hAnsi="宋体" w:cs="宋体"/>
              </w:rPr>
              <w:t>十五、贝伐珠单抗</w:t>
            </w:r>
            <w:r w:rsidRPr="003C684F">
              <w:rPr>
                <w:rFonts w:hint="eastAsia" w:ascii="宋体" w:cs="宋体"/>
              </w:rPr>
              <w:t>……………………………………………………………………………</w:t>
            </w:r>
          </w:p>
        </w:tc>
        <w:tc>
          <w:tcPr>
            <w:tcW w:w="584" w:type="dxa"/>
          </w:tcPr>
          <w:p w:rsidRPr="003C684F" w:rsidR="009730C1" w:rsidP="008A2B57" w:rsidRDefault="00A315B9" w14:paraId="748D6FD5" w14:textId="743ECB9F">
            <w:pPr>
              <w:jc w:val="left"/>
              <w:rPr>
                <w:rFonts w:ascii="宋体" w:cs="Times New Roman"/>
              </w:rPr>
            </w:pPr>
            <w:r w:rsidRPr="003C684F">
              <w:rPr>
                <w:rFonts w:hint="eastAsia" w:ascii="宋体" w:hAnsi="宋体" w:cs="宋体"/>
              </w:rPr>
              <w:t>02</w:t>
            </w:r>
            <w:r w:rsidRPr="003C684F" w:rsidR="008A2B57">
              <w:rPr>
                <w:rFonts w:hint="eastAsia" w:ascii="宋体" w:hAnsi="宋体" w:cs="宋体"/>
              </w:rPr>
              <w:t>9</w:t>
            </w:r>
          </w:p>
        </w:tc>
      </w:tr>
      <w:tr w:rsidRPr="003C684F" w:rsidR="009730C1" w14:paraId="32F3E532" w14:textId="77777777">
        <w:trPr>
          <w:trHeight w:val="285"/>
        </w:trPr>
        <w:tc>
          <w:tcPr>
            <w:tcW w:w="7938" w:type="dxa"/>
          </w:tcPr>
          <w:p w:rsidRPr="003C684F" w:rsidR="009730C1" w:rsidRDefault="00A315B9" w14:paraId="62D75D26" w14:textId="77777777">
            <w:pPr>
              <w:jc w:val="left"/>
              <w:rPr>
                <w:rFonts w:ascii="宋体" w:cs="Times New Roman"/>
              </w:rPr>
            </w:pPr>
            <w:r w:rsidRPr="003C684F">
              <w:rPr>
                <w:rFonts w:hint="eastAsia" w:ascii="宋体" w:hAnsi="宋体" w:cs="宋体"/>
              </w:rPr>
              <w:t>十六、重组人血管内皮抑制素</w:t>
            </w:r>
            <w:r w:rsidRPr="003C684F">
              <w:rPr>
                <w:rFonts w:hint="eastAsia" w:ascii="宋体" w:cs="宋体"/>
              </w:rPr>
              <w:t>………………………………………………………………</w:t>
            </w:r>
          </w:p>
        </w:tc>
        <w:tc>
          <w:tcPr>
            <w:tcW w:w="584" w:type="dxa"/>
          </w:tcPr>
          <w:p w:rsidRPr="003C684F" w:rsidR="009730C1" w:rsidP="00A029C2" w:rsidRDefault="00A315B9" w14:paraId="7B1D6D38" w14:textId="77777777">
            <w:pPr>
              <w:jc w:val="left"/>
              <w:rPr>
                <w:rFonts w:ascii="宋体" w:cs="Times New Roman"/>
              </w:rPr>
            </w:pPr>
            <w:r w:rsidRPr="003C684F">
              <w:rPr>
                <w:rFonts w:hint="eastAsia" w:ascii="宋体" w:hAnsi="宋体" w:cs="宋体"/>
              </w:rPr>
              <w:t>0</w:t>
            </w:r>
            <w:r w:rsidRPr="003C684F" w:rsidR="00A029C2">
              <w:rPr>
                <w:rFonts w:hint="eastAsia" w:ascii="宋体" w:hAnsi="宋体" w:cs="宋体"/>
              </w:rPr>
              <w:t>30</w:t>
            </w:r>
          </w:p>
        </w:tc>
      </w:tr>
      <w:tr w:rsidRPr="003C684F" w:rsidR="009730C1" w:rsidTr="00AC2BEC" w14:paraId="05446109" w14:textId="77777777">
        <w:trPr>
          <w:trHeight w:val="285"/>
        </w:trPr>
        <w:tc>
          <w:tcPr>
            <w:tcW w:w="7938" w:type="dxa"/>
          </w:tcPr>
          <w:p w:rsidRPr="003C684F" w:rsidR="009730C1" w:rsidRDefault="00A315B9" w14:paraId="51AC7FB6" w14:textId="77777777">
            <w:pPr>
              <w:jc w:val="left"/>
              <w:rPr>
                <w:rFonts w:ascii="宋体" w:cs="宋体"/>
              </w:rPr>
            </w:pPr>
            <w:r w:rsidRPr="003C684F">
              <w:rPr>
                <w:rFonts w:hint="eastAsia" w:ascii="宋体" w:hAnsi="宋体" w:cs="宋体"/>
              </w:rPr>
              <w:t>十七、安罗替尼</w:t>
            </w:r>
            <w:r w:rsidRPr="003C684F">
              <w:rPr>
                <w:rFonts w:hint="eastAsia" w:ascii="宋体" w:cs="宋体"/>
              </w:rPr>
              <w:t>………………………………………………………………………………</w:t>
            </w:r>
          </w:p>
          <w:p w:rsidRPr="003C684F" w:rsidR="009730C1" w:rsidRDefault="00A315B9" w14:paraId="61AC4D12" w14:textId="77777777">
            <w:pPr>
              <w:jc w:val="left"/>
              <w:rPr>
                <w:rFonts w:ascii="宋体" w:cs="宋体"/>
              </w:rPr>
            </w:pPr>
            <w:r w:rsidRPr="003C684F">
              <w:rPr>
                <w:rFonts w:hint="eastAsia" w:ascii="宋体" w:cs="宋体"/>
              </w:rPr>
              <w:t>十八、</w:t>
            </w:r>
            <w:r w:rsidRPr="003C684F">
              <w:rPr>
                <w:rFonts w:hint="eastAsia" w:ascii="宋体" w:cs="Times New Roman"/>
              </w:rPr>
              <w:t>依维莫司</w:t>
            </w:r>
            <w:r w:rsidRPr="003C684F">
              <w:rPr>
                <w:rFonts w:hint="eastAsia" w:ascii="宋体" w:cs="宋体"/>
              </w:rPr>
              <w:t>………………………………………………………………………………</w:t>
            </w:r>
          </w:p>
          <w:p w:rsidRPr="003C684F" w:rsidR="009730C1" w:rsidRDefault="00A315B9" w14:paraId="2A159138" w14:textId="77777777">
            <w:pPr>
              <w:jc w:val="left"/>
              <w:rPr>
                <w:rFonts w:ascii="宋体" w:cs="宋体"/>
              </w:rPr>
            </w:pPr>
            <w:r w:rsidRPr="003C684F">
              <w:rPr>
                <w:rFonts w:hint="eastAsia" w:ascii="宋体" w:cs="宋体"/>
              </w:rPr>
              <w:t>十九、普拉替尼………………………………………………………………………………</w:t>
            </w:r>
          </w:p>
          <w:p w:rsidRPr="003C684F" w:rsidR="009730C1" w:rsidRDefault="00A315B9" w14:paraId="1870D77B" w14:textId="77777777">
            <w:pPr>
              <w:jc w:val="left"/>
              <w:rPr>
                <w:rFonts w:ascii="宋体" w:cs="宋体"/>
              </w:rPr>
            </w:pPr>
            <w:r w:rsidRPr="003C684F">
              <w:rPr>
                <w:rFonts w:hint="eastAsia" w:ascii="宋体" w:cs="宋体"/>
              </w:rPr>
              <w:t>二十、赛沃替尼………………………………………………………………………………</w:t>
            </w:r>
          </w:p>
          <w:p w:rsidRPr="003C684F" w:rsidR="009730C1" w:rsidRDefault="00A315B9" w14:paraId="3C073DC2" w14:textId="77777777">
            <w:pPr>
              <w:jc w:val="left"/>
              <w:rPr>
                <w:rFonts w:ascii="宋体" w:cs="宋体"/>
              </w:rPr>
            </w:pPr>
            <w:r w:rsidRPr="003C684F">
              <w:rPr>
                <w:rFonts w:hint="eastAsia" w:ascii="宋体" w:cs="宋体"/>
              </w:rPr>
              <w:t>二十一、达拉非尼……………………………………………………………………………</w:t>
            </w:r>
          </w:p>
          <w:p w:rsidRPr="003C684F" w:rsidR="009730C1" w:rsidRDefault="00A315B9" w14:paraId="7CD91E87" w14:textId="77777777">
            <w:pPr>
              <w:jc w:val="left"/>
              <w:rPr>
                <w:rFonts w:ascii="宋体" w:cs="宋体"/>
              </w:rPr>
            </w:pPr>
            <w:r w:rsidRPr="003C684F">
              <w:rPr>
                <w:rFonts w:hint="eastAsia" w:ascii="宋体" w:cs="宋体"/>
              </w:rPr>
              <w:t>二十二、曲美替尼……………………………………………………………………………</w:t>
            </w:r>
          </w:p>
          <w:p w:rsidRPr="003C684F" w:rsidR="009730C1" w:rsidRDefault="00A315B9" w14:paraId="30752631" w14:textId="77777777">
            <w:pPr>
              <w:jc w:val="left"/>
              <w:rPr>
                <w:rFonts w:ascii="宋体" w:cs="宋体"/>
              </w:rPr>
            </w:pPr>
            <w:r w:rsidRPr="003C684F">
              <w:rPr>
                <w:rFonts w:ascii="宋体" w:cs="宋体"/>
              </w:rPr>
              <w:t>二十三</w:t>
            </w:r>
            <w:r w:rsidRPr="003C684F">
              <w:rPr>
                <w:rFonts w:hint="eastAsia" w:ascii="宋体" w:cs="宋体"/>
              </w:rPr>
              <w:t>、</w:t>
            </w:r>
            <w:r w:rsidRPr="003C684F">
              <w:rPr>
                <w:rFonts w:ascii="宋体" w:cs="宋体"/>
              </w:rPr>
              <w:t>恩曲替尼</w:t>
            </w:r>
            <w:r w:rsidRPr="003C684F">
              <w:rPr>
                <w:rFonts w:hint="eastAsia" w:ascii="宋体" w:cs="宋体"/>
              </w:rPr>
              <w:t>……………………………………………………………………………</w:t>
            </w:r>
          </w:p>
        </w:tc>
        <w:tc>
          <w:tcPr>
            <w:tcW w:w="584" w:type="dxa"/>
          </w:tcPr>
          <w:p w:rsidRPr="003C684F" w:rsidR="009730C1" w:rsidRDefault="00A315B9" w14:paraId="1946F71A" w14:textId="77777777">
            <w:pPr>
              <w:jc w:val="left"/>
              <w:rPr>
                <w:rFonts w:ascii="宋体" w:hAnsi="宋体" w:cs="宋体"/>
              </w:rPr>
            </w:pPr>
            <w:r w:rsidRPr="003C684F">
              <w:rPr>
                <w:rFonts w:hint="eastAsia" w:ascii="宋体" w:hAnsi="宋体" w:cs="宋体"/>
              </w:rPr>
              <w:t>0</w:t>
            </w:r>
            <w:r w:rsidRPr="003C684F">
              <w:rPr>
                <w:rFonts w:ascii="宋体" w:hAnsi="宋体" w:cs="宋体"/>
              </w:rPr>
              <w:t>3</w:t>
            </w:r>
            <w:r w:rsidRPr="003C684F" w:rsidR="00A029C2">
              <w:rPr>
                <w:rFonts w:hint="eastAsia" w:ascii="宋体" w:hAnsi="宋体" w:cs="宋体"/>
              </w:rPr>
              <w:t>1</w:t>
            </w:r>
          </w:p>
          <w:p w:rsidRPr="003C684F" w:rsidR="009730C1" w:rsidRDefault="00A315B9" w14:paraId="528256FE" w14:textId="0652E7ED">
            <w:pPr>
              <w:jc w:val="left"/>
              <w:rPr>
                <w:rFonts w:ascii="宋体" w:hAnsi="宋体" w:cs="宋体"/>
              </w:rPr>
            </w:pPr>
            <w:r w:rsidRPr="003C684F">
              <w:rPr>
                <w:rFonts w:hint="eastAsia" w:ascii="宋体" w:hAnsi="宋体" w:cs="宋体"/>
              </w:rPr>
              <w:t>0</w:t>
            </w:r>
            <w:r w:rsidRPr="003C684F">
              <w:rPr>
                <w:rFonts w:ascii="宋体" w:hAnsi="宋体" w:cs="宋体"/>
              </w:rPr>
              <w:t>3</w:t>
            </w:r>
            <w:r w:rsidRPr="003C684F" w:rsidR="008A2B57">
              <w:rPr>
                <w:rFonts w:hint="eastAsia" w:ascii="宋体" w:hAnsi="宋体" w:cs="宋体"/>
              </w:rPr>
              <w:t>3</w:t>
            </w:r>
          </w:p>
          <w:p w:rsidRPr="003C684F" w:rsidR="009730C1" w:rsidRDefault="00A315B9" w14:paraId="6D50311A" w14:textId="26D82592">
            <w:pPr>
              <w:jc w:val="left"/>
              <w:rPr>
                <w:rFonts w:ascii="宋体" w:hAnsi="宋体" w:cs="宋体"/>
              </w:rPr>
            </w:pPr>
            <w:r w:rsidRPr="003C684F">
              <w:rPr>
                <w:rFonts w:hint="eastAsia" w:ascii="宋体" w:hAnsi="宋体" w:cs="宋体"/>
              </w:rPr>
              <w:t>0</w:t>
            </w:r>
            <w:r w:rsidRPr="003C684F">
              <w:rPr>
                <w:rFonts w:ascii="宋体" w:hAnsi="宋体" w:cs="宋体"/>
              </w:rPr>
              <w:t>3</w:t>
            </w:r>
            <w:r w:rsidRPr="003C684F" w:rsidR="008A2B57">
              <w:rPr>
                <w:rFonts w:hint="eastAsia" w:ascii="宋体" w:hAnsi="宋体" w:cs="宋体"/>
              </w:rPr>
              <w:t>5</w:t>
            </w:r>
          </w:p>
          <w:p w:rsidRPr="003C684F" w:rsidR="009730C1" w:rsidRDefault="00A315B9" w14:paraId="3878A2B0" w14:textId="48B0F37A">
            <w:pPr>
              <w:jc w:val="left"/>
              <w:rPr>
                <w:rFonts w:ascii="宋体" w:hAnsi="宋体" w:cs="宋体"/>
              </w:rPr>
            </w:pPr>
            <w:r w:rsidRPr="003C684F">
              <w:rPr>
                <w:rFonts w:hint="eastAsia" w:ascii="宋体" w:hAnsi="宋体" w:cs="宋体"/>
              </w:rPr>
              <w:t>0</w:t>
            </w:r>
            <w:r w:rsidRPr="003C684F">
              <w:rPr>
                <w:rFonts w:ascii="宋体" w:hAnsi="宋体" w:cs="宋体"/>
              </w:rPr>
              <w:t>3</w:t>
            </w:r>
            <w:r w:rsidRPr="003C684F" w:rsidR="008A2B57">
              <w:rPr>
                <w:rFonts w:hint="eastAsia" w:ascii="宋体" w:hAnsi="宋体" w:cs="宋体"/>
              </w:rPr>
              <w:t>6</w:t>
            </w:r>
          </w:p>
          <w:p w:rsidRPr="003C684F" w:rsidR="009730C1" w:rsidRDefault="00A315B9" w14:paraId="070617AD" w14:textId="16628B7A">
            <w:pPr>
              <w:jc w:val="left"/>
              <w:rPr>
                <w:rFonts w:ascii="宋体" w:hAnsi="宋体" w:cs="宋体"/>
              </w:rPr>
            </w:pPr>
            <w:r w:rsidRPr="003C684F">
              <w:rPr>
                <w:rFonts w:hint="eastAsia" w:ascii="宋体" w:hAnsi="宋体" w:cs="宋体"/>
              </w:rPr>
              <w:t>03</w:t>
            </w:r>
            <w:r w:rsidRPr="003C684F" w:rsidR="008A2B57">
              <w:rPr>
                <w:rFonts w:hint="eastAsia" w:ascii="宋体" w:hAnsi="宋体" w:cs="宋体"/>
              </w:rPr>
              <w:t>7</w:t>
            </w:r>
          </w:p>
          <w:p w:rsidRPr="003C684F" w:rsidR="009730C1" w:rsidRDefault="00A315B9" w14:paraId="0FC7043E" w14:textId="18D4C877">
            <w:pPr>
              <w:jc w:val="left"/>
              <w:rPr>
                <w:rFonts w:ascii="宋体" w:hAnsi="宋体" w:cs="宋体"/>
              </w:rPr>
            </w:pPr>
            <w:r w:rsidRPr="003C684F">
              <w:rPr>
                <w:rFonts w:hint="eastAsia" w:ascii="宋体" w:hAnsi="宋体" w:cs="宋体"/>
              </w:rPr>
              <w:t>03</w:t>
            </w:r>
            <w:r w:rsidRPr="003C684F" w:rsidR="008A2B57">
              <w:rPr>
                <w:rFonts w:hint="eastAsia" w:ascii="宋体" w:hAnsi="宋体" w:cs="宋体"/>
              </w:rPr>
              <w:t>9</w:t>
            </w:r>
          </w:p>
          <w:p w:rsidRPr="003C684F" w:rsidR="009730C1" w:rsidP="008A2B57" w:rsidRDefault="00A315B9" w14:paraId="60FA816F" w14:textId="77744A40">
            <w:pPr>
              <w:jc w:val="left"/>
              <w:rPr>
                <w:rFonts w:ascii="宋体" w:cs="Times New Roman"/>
              </w:rPr>
            </w:pPr>
            <w:r w:rsidRPr="003C684F">
              <w:rPr>
                <w:rFonts w:hint="eastAsia" w:ascii="宋体" w:hAnsi="宋体" w:cs="宋体"/>
              </w:rPr>
              <w:t>0</w:t>
            </w:r>
            <w:r w:rsidRPr="003C684F" w:rsidR="008A2B57">
              <w:rPr>
                <w:rFonts w:hint="eastAsia" w:ascii="宋体" w:hAnsi="宋体" w:cs="宋体"/>
              </w:rPr>
              <w:t>41</w:t>
            </w:r>
          </w:p>
        </w:tc>
      </w:tr>
      <w:tr w:rsidRPr="003C684F" w:rsidR="009730C1" w:rsidTr="00AC2BEC" w14:paraId="2D2A1842" w14:textId="77777777">
        <w:trPr>
          <w:trHeight w:val="285"/>
        </w:trPr>
        <w:tc>
          <w:tcPr>
            <w:tcW w:w="7938" w:type="dxa"/>
          </w:tcPr>
          <w:p w:rsidRPr="003C684F" w:rsidR="009730C1" w:rsidRDefault="00A315B9" w14:paraId="2B4B445A" w14:textId="77777777">
            <w:pPr>
              <w:jc w:val="left"/>
              <w:rPr>
                <w:rFonts w:ascii="宋体" w:cs="宋体"/>
              </w:rPr>
            </w:pPr>
            <w:r w:rsidRPr="003C684F">
              <w:rPr>
                <w:rFonts w:hint="eastAsia" w:ascii="宋体" w:hAnsi="宋体" w:cs="宋体"/>
              </w:rPr>
              <w:t>二十四、纳武利尤单抗</w:t>
            </w:r>
            <w:r w:rsidRPr="003C684F">
              <w:rPr>
                <w:rFonts w:hint="eastAsia" w:ascii="宋体" w:cs="宋体"/>
              </w:rPr>
              <w:t>………………………………………………………………………</w:t>
            </w:r>
          </w:p>
          <w:p w:rsidRPr="003C684F" w:rsidR="009730C1" w:rsidRDefault="00A315B9" w14:paraId="0189FF60" w14:textId="77777777">
            <w:pPr>
              <w:jc w:val="left"/>
              <w:rPr>
                <w:rFonts w:ascii="宋体" w:cs="宋体"/>
              </w:rPr>
            </w:pPr>
            <w:r w:rsidRPr="003C684F">
              <w:rPr>
                <w:rFonts w:hint="eastAsia" w:ascii="宋体" w:cs="Times New Roman"/>
              </w:rPr>
              <w:t>二十五、帕博利珠单抗</w:t>
            </w:r>
            <w:r w:rsidRPr="003C684F">
              <w:rPr>
                <w:rFonts w:hint="eastAsia" w:ascii="宋体" w:cs="宋体"/>
              </w:rPr>
              <w:t>………………………………………………………………………</w:t>
            </w:r>
          </w:p>
          <w:p w:rsidRPr="003C684F" w:rsidR="009730C1" w:rsidRDefault="00A315B9" w14:paraId="2616AEB6" w14:textId="77777777">
            <w:pPr>
              <w:jc w:val="left"/>
              <w:rPr>
                <w:rFonts w:ascii="宋体" w:cs="Times New Roman"/>
              </w:rPr>
            </w:pPr>
            <w:r w:rsidRPr="003C684F">
              <w:rPr>
                <w:rFonts w:hint="eastAsia" w:ascii="宋体" w:cs="Times New Roman"/>
              </w:rPr>
              <w:t>二十六、度伐利尤单抗</w:t>
            </w:r>
            <w:r w:rsidRPr="003C684F">
              <w:rPr>
                <w:rFonts w:hint="eastAsia" w:ascii="宋体" w:cs="宋体"/>
              </w:rPr>
              <w:t>………………………………………………………………………</w:t>
            </w:r>
          </w:p>
          <w:p w:rsidRPr="003C684F" w:rsidR="009730C1" w:rsidRDefault="00A315B9" w14:paraId="4F3955BB" w14:textId="77777777">
            <w:pPr>
              <w:jc w:val="left"/>
              <w:rPr>
                <w:rFonts w:ascii="宋体" w:cs="Times New Roman"/>
              </w:rPr>
            </w:pPr>
            <w:r w:rsidRPr="003C684F">
              <w:rPr>
                <w:rFonts w:hint="eastAsia" w:ascii="宋体" w:cs="Times New Roman"/>
              </w:rPr>
              <w:t>二十七、阿替利珠单抗</w:t>
            </w:r>
            <w:r w:rsidRPr="003C684F">
              <w:rPr>
                <w:rFonts w:hint="eastAsia" w:ascii="宋体" w:cs="宋体"/>
              </w:rPr>
              <w:t>………………………………………………………………………</w:t>
            </w:r>
          </w:p>
          <w:p w:rsidRPr="003C684F" w:rsidR="009730C1" w:rsidRDefault="00A315B9" w14:paraId="659AD590" w14:textId="77777777">
            <w:pPr>
              <w:jc w:val="left"/>
              <w:rPr>
                <w:rFonts w:ascii="宋体" w:cs="Times New Roman"/>
              </w:rPr>
            </w:pPr>
            <w:r w:rsidRPr="003C684F">
              <w:rPr>
                <w:rFonts w:hint="eastAsia" w:ascii="宋体" w:cs="Times New Roman"/>
              </w:rPr>
              <w:t>二十八、卡瑞利珠单抗</w:t>
            </w:r>
            <w:r w:rsidRPr="003C684F">
              <w:rPr>
                <w:rFonts w:hint="eastAsia" w:ascii="宋体" w:cs="宋体"/>
              </w:rPr>
              <w:t>………………………………………………………………………</w:t>
            </w:r>
          </w:p>
          <w:p w:rsidRPr="003C684F" w:rsidR="009730C1" w:rsidRDefault="00A315B9" w14:paraId="7FFFE9BF" w14:textId="77777777">
            <w:pPr>
              <w:jc w:val="left"/>
              <w:rPr>
                <w:rFonts w:ascii="宋体" w:cs="宋体"/>
              </w:rPr>
            </w:pPr>
            <w:r w:rsidRPr="003C684F">
              <w:rPr>
                <w:rFonts w:hint="eastAsia" w:ascii="宋体" w:cs="Times New Roman"/>
              </w:rPr>
              <w:t>二十九、替雷利珠单抗</w:t>
            </w:r>
            <w:r w:rsidRPr="003C684F">
              <w:rPr>
                <w:rFonts w:hint="eastAsia" w:ascii="宋体" w:cs="宋体"/>
              </w:rPr>
              <w:t>………………………………………………………………………</w:t>
            </w:r>
          </w:p>
          <w:p w:rsidRPr="003C684F" w:rsidR="009730C1" w:rsidRDefault="00A315B9" w14:paraId="17B74EEF" w14:textId="77777777">
            <w:pPr>
              <w:jc w:val="left"/>
              <w:rPr>
                <w:rFonts w:ascii="宋体" w:cs="宋体"/>
              </w:rPr>
            </w:pPr>
            <w:r w:rsidRPr="003C684F">
              <w:rPr>
                <w:rFonts w:hint="eastAsia" w:ascii="宋体" w:cs="宋体"/>
              </w:rPr>
              <w:t>三十、信迪利单抗……………………………………………………………………………</w:t>
            </w:r>
          </w:p>
          <w:p w:rsidRPr="003C684F" w:rsidR="009730C1" w:rsidRDefault="00A315B9" w14:paraId="6E5BD4C1" w14:textId="77777777">
            <w:pPr>
              <w:jc w:val="left"/>
              <w:rPr>
                <w:rFonts w:ascii="宋体" w:cs="宋体"/>
              </w:rPr>
            </w:pPr>
            <w:r w:rsidRPr="003C684F">
              <w:rPr>
                <w:rFonts w:hint="eastAsia" w:ascii="宋体" w:cs="宋体"/>
              </w:rPr>
              <w:t>三十一、伊匹木单抗…………………………………………………………………………</w:t>
            </w:r>
          </w:p>
          <w:p w:rsidRPr="003C684F" w:rsidR="009730C1" w:rsidRDefault="00A315B9" w14:paraId="53FDD737" w14:textId="77777777">
            <w:pPr>
              <w:jc w:val="left"/>
              <w:rPr>
                <w:rFonts w:ascii="宋体" w:cs="宋体"/>
              </w:rPr>
            </w:pPr>
            <w:r w:rsidRPr="003C684F">
              <w:rPr>
                <w:rFonts w:hint="eastAsia" w:ascii="宋体" w:cs="宋体"/>
              </w:rPr>
              <w:t>三十二、舒格利单抗…………………………………………………………………………</w:t>
            </w:r>
          </w:p>
          <w:p w:rsidRPr="003C684F" w:rsidR="009730C1" w:rsidRDefault="00A315B9" w14:paraId="4C36306C" w14:textId="77777777">
            <w:pPr>
              <w:spacing w:line="360" w:lineRule="auto"/>
              <w:ind w:firstLine="105" w:firstLineChars="50"/>
              <w:rPr>
                <w:rFonts w:ascii="宋体" w:cs="Times New Roman"/>
                <w:b/>
                <w:bCs/>
              </w:rPr>
            </w:pPr>
            <w:r w:rsidRPr="003C684F">
              <w:rPr>
                <w:rFonts w:hint="eastAsia" w:ascii="宋体" w:hAnsi="宋体" w:cs="宋体"/>
                <w:b/>
                <w:bCs/>
              </w:rPr>
              <w:lastRenderedPageBreak/>
              <w:t>消化系统肿瘤用药</w:t>
            </w:r>
          </w:p>
          <w:tbl>
            <w:tblPr>
              <w:tblW w:w="8436" w:type="dxa"/>
              <w:tblLayout w:type="fixed"/>
              <w:tblLook w:val="04A0" w:firstRow="1" w:lastRow="0" w:firstColumn="1" w:lastColumn="0" w:noHBand="0" w:noVBand="1"/>
            </w:tblPr>
            <w:tblGrid>
              <w:gridCol w:w="7938"/>
              <w:gridCol w:w="498"/>
            </w:tblGrid>
            <w:tr w:rsidRPr="003C684F" w:rsidR="009730C1" w14:paraId="08CEDC7E" w14:textId="77777777">
              <w:trPr>
                <w:trHeight w:val="285"/>
              </w:trPr>
              <w:tc>
                <w:tcPr>
                  <w:tcW w:w="7938" w:type="dxa"/>
                </w:tcPr>
                <w:p w:rsidRPr="003C684F" w:rsidR="009730C1" w:rsidRDefault="00A315B9" w14:paraId="55EC7819" w14:textId="77777777">
                  <w:pPr>
                    <w:rPr>
                      <w:rFonts w:ascii="宋体" w:hAnsi="宋体" w:cs="宋体"/>
                    </w:rPr>
                  </w:pPr>
                  <w:r w:rsidRPr="003C684F">
                    <w:rPr>
                      <w:rFonts w:hint="eastAsia" w:ascii="宋体" w:hAnsi="宋体" w:cs="宋体"/>
                    </w:rPr>
                    <w:t>一、索拉非尼</w:t>
                  </w:r>
                  <w:r w:rsidRPr="003C684F">
                    <w:rPr>
                      <w:rFonts w:hint="eastAsia" w:ascii="宋体" w:cs="宋体"/>
                    </w:rPr>
                    <w:t>………………………………………………………………………………</w:t>
                  </w:r>
                  <w:r w:rsidRPr="003C684F">
                    <w:rPr>
                      <w:rFonts w:hint="eastAsia" w:ascii="宋体" w:hAnsi="宋体" w:cs="宋体"/>
                    </w:rPr>
                    <w:t>…</w:t>
                  </w:r>
                </w:p>
                <w:p w:rsidRPr="003C684F" w:rsidR="009730C1" w:rsidRDefault="00A315B9" w14:paraId="6BC84141" w14:textId="77777777">
                  <w:pPr>
                    <w:rPr>
                      <w:rFonts w:ascii="宋体" w:cs="Times New Roman"/>
                    </w:rPr>
                  </w:pPr>
                  <w:r w:rsidRPr="003C684F">
                    <w:rPr>
                      <w:rFonts w:hint="eastAsia" w:ascii="宋体" w:hAnsi="宋体" w:cs="宋体"/>
                    </w:rPr>
                    <w:t>二、瑞戈非尼…………………………………………………………………………………</w:t>
                  </w:r>
                </w:p>
              </w:tc>
              <w:tc>
                <w:tcPr>
                  <w:tcW w:w="498" w:type="dxa"/>
                </w:tcPr>
                <w:p w:rsidRPr="003C684F" w:rsidR="009730C1" w:rsidRDefault="00A315B9" w14:paraId="7C7C4336" w14:textId="77777777">
                  <w:pPr>
                    <w:rPr>
                      <w:rFonts w:ascii="宋体" w:hAnsi="宋体" w:cs="宋体"/>
                    </w:rPr>
                  </w:pPr>
                  <w:r w:rsidRPr="003C684F">
                    <w:rPr>
                      <w:rFonts w:hint="eastAsia" w:ascii="宋体" w:hAnsi="宋体" w:cs="宋体"/>
                    </w:rPr>
                    <w:t>48</w:t>
                  </w:r>
                </w:p>
                <w:p w:rsidRPr="003C684F" w:rsidR="009730C1" w:rsidRDefault="00A315B9" w14:paraId="462B5E56" w14:textId="77777777">
                  <w:pPr>
                    <w:rPr>
                      <w:rFonts w:ascii="宋体" w:cs="Times New Roman"/>
                    </w:rPr>
                  </w:pPr>
                  <w:r w:rsidRPr="003C684F">
                    <w:rPr>
                      <w:rFonts w:hint="eastAsia" w:ascii="宋体" w:cs="Times New Roman"/>
                    </w:rPr>
                    <w:t>49</w:t>
                  </w:r>
                </w:p>
              </w:tc>
            </w:tr>
            <w:tr w:rsidRPr="003C684F" w:rsidR="009730C1" w14:paraId="2BFDC9BB" w14:textId="77777777">
              <w:trPr>
                <w:trHeight w:val="285"/>
              </w:trPr>
              <w:tc>
                <w:tcPr>
                  <w:tcW w:w="7938" w:type="dxa"/>
                </w:tcPr>
                <w:p w:rsidRPr="003C684F" w:rsidR="009730C1" w:rsidRDefault="00A315B9" w14:paraId="02ED79AF" w14:textId="77777777">
                  <w:pPr>
                    <w:rPr>
                      <w:rFonts w:ascii="宋体" w:cs="宋体"/>
                    </w:rPr>
                  </w:pPr>
                  <w:r w:rsidRPr="003C684F">
                    <w:rPr>
                      <w:rFonts w:hint="eastAsia" w:ascii="宋体" w:cs="Times New Roman"/>
                    </w:rPr>
                    <w:t>三、仑伐替尼…………………………………………………………………………</w:t>
                  </w:r>
                  <w:r w:rsidRPr="003C684F">
                    <w:rPr>
                      <w:rFonts w:hint="eastAsia" w:ascii="宋体" w:cs="宋体"/>
                    </w:rPr>
                    <w:t>………</w:t>
                  </w:r>
                </w:p>
                <w:p w:rsidRPr="003C684F" w:rsidR="009730C1" w:rsidRDefault="00A315B9" w14:paraId="6B61F2FB" w14:textId="77777777">
                  <w:pPr>
                    <w:rPr>
                      <w:rFonts w:ascii="宋体" w:cs="Times New Roman"/>
                    </w:rPr>
                  </w:pPr>
                  <w:r w:rsidRPr="003C684F">
                    <w:rPr>
                      <w:rFonts w:hint="eastAsia" w:ascii="宋体" w:cs="Times New Roman"/>
                    </w:rPr>
                    <w:t>四、多纳非尼…………………………………………………………………………</w:t>
                  </w:r>
                  <w:r w:rsidRPr="003C684F">
                    <w:rPr>
                      <w:rFonts w:hint="eastAsia" w:ascii="宋体" w:cs="宋体"/>
                    </w:rPr>
                    <w:t>………</w:t>
                  </w:r>
                </w:p>
                <w:p w:rsidRPr="003C684F" w:rsidR="009730C1" w:rsidRDefault="00A315B9" w14:paraId="27B3812C" w14:textId="77777777">
                  <w:pPr>
                    <w:rPr>
                      <w:rFonts w:ascii="宋体" w:cs="宋体"/>
                    </w:rPr>
                  </w:pPr>
                  <w:r w:rsidRPr="003C684F">
                    <w:rPr>
                      <w:rFonts w:hint="eastAsia" w:ascii="宋体" w:cs="Times New Roman"/>
                    </w:rPr>
                    <w:t>五、阿替利珠单抗</w:t>
                  </w:r>
                  <w:r w:rsidRPr="003C684F">
                    <w:rPr>
                      <w:rFonts w:hint="eastAsia" w:ascii="宋体" w:cs="宋体"/>
                    </w:rPr>
                    <w:t>……………………………………………………………………………</w:t>
                  </w:r>
                </w:p>
                <w:p w:rsidRPr="003C684F" w:rsidR="009730C1" w:rsidRDefault="00A315B9" w14:paraId="2C6F3473" w14:textId="77777777">
                  <w:pPr>
                    <w:rPr>
                      <w:rFonts w:ascii="宋体" w:cs="宋体"/>
                    </w:rPr>
                  </w:pPr>
                  <w:r w:rsidRPr="003C684F">
                    <w:rPr>
                      <w:rFonts w:hint="eastAsia" w:ascii="宋体" w:cs="宋体"/>
                    </w:rPr>
                    <w:t>六、信迪利单抗………………………………………………………………………………</w:t>
                  </w:r>
                </w:p>
                <w:p w:rsidRPr="003C684F" w:rsidR="009730C1" w:rsidRDefault="00A315B9" w14:paraId="413BF3D9" w14:textId="77777777">
                  <w:pPr>
                    <w:rPr>
                      <w:rFonts w:ascii="宋体" w:cs="宋体"/>
                    </w:rPr>
                  </w:pPr>
                  <w:r w:rsidRPr="003C684F">
                    <w:rPr>
                      <w:rFonts w:hint="eastAsia" w:ascii="宋体" w:cs="Times New Roman"/>
                    </w:rPr>
                    <w:t>七、卡瑞利珠单抗</w:t>
                  </w:r>
                  <w:r w:rsidRPr="003C684F">
                    <w:rPr>
                      <w:rFonts w:hint="eastAsia" w:ascii="宋体" w:cs="宋体"/>
                    </w:rPr>
                    <w:t>……………………………………………………………………………</w:t>
                  </w:r>
                </w:p>
                <w:p w:rsidRPr="003C684F" w:rsidR="009730C1" w:rsidRDefault="00A315B9" w14:paraId="34069E08" w14:textId="77777777">
                  <w:pPr>
                    <w:rPr>
                      <w:rFonts w:ascii="宋体" w:cs="Times New Roman"/>
                    </w:rPr>
                  </w:pPr>
                  <w:r w:rsidRPr="003C684F">
                    <w:rPr>
                      <w:rFonts w:hint="eastAsia" w:ascii="宋体" w:cs="Times New Roman"/>
                    </w:rPr>
                    <w:t>八、替雷利珠单抗</w:t>
                  </w:r>
                  <w:r w:rsidRPr="003C684F">
                    <w:rPr>
                      <w:rFonts w:hint="eastAsia" w:ascii="宋体" w:cs="宋体"/>
                    </w:rPr>
                    <w:t>……………………………………………………………………………</w:t>
                  </w:r>
                </w:p>
              </w:tc>
              <w:tc>
                <w:tcPr>
                  <w:tcW w:w="498" w:type="dxa"/>
                </w:tcPr>
                <w:p w:rsidRPr="003C684F" w:rsidR="009730C1" w:rsidRDefault="00A315B9" w14:paraId="7CE95658" w14:textId="77777777">
                  <w:pPr>
                    <w:rPr>
                      <w:rFonts w:ascii="宋体" w:cs="Times New Roman"/>
                    </w:rPr>
                  </w:pPr>
                  <w:r w:rsidRPr="003C684F">
                    <w:rPr>
                      <w:rFonts w:hint="eastAsia" w:ascii="宋体" w:cs="Times New Roman"/>
                    </w:rPr>
                    <w:t>50</w:t>
                  </w:r>
                </w:p>
                <w:p w:rsidRPr="003C684F" w:rsidR="009730C1" w:rsidRDefault="00A315B9" w14:paraId="1EA26C13" w14:textId="77777777">
                  <w:pPr>
                    <w:rPr>
                      <w:rFonts w:ascii="宋体" w:cs="Times New Roman"/>
                    </w:rPr>
                  </w:pPr>
                  <w:r w:rsidRPr="003C684F">
                    <w:rPr>
                      <w:rFonts w:hint="eastAsia" w:ascii="宋体" w:cs="Times New Roman"/>
                    </w:rPr>
                    <w:t>51</w:t>
                  </w:r>
                </w:p>
                <w:p w:rsidRPr="003C684F" w:rsidR="009730C1" w:rsidRDefault="00A315B9" w14:paraId="5818E35A" w14:textId="77777777">
                  <w:pPr>
                    <w:rPr>
                      <w:rFonts w:ascii="宋体" w:cs="Times New Roman"/>
                    </w:rPr>
                  </w:pPr>
                  <w:r w:rsidRPr="003C684F">
                    <w:rPr>
                      <w:rFonts w:hint="eastAsia" w:ascii="宋体" w:cs="Times New Roman"/>
                    </w:rPr>
                    <w:t>51</w:t>
                  </w:r>
                </w:p>
                <w:p w:rsidRPr="003C684F" w:rsidR="009730C1" w:rsidRDefault="00A315B9" w14:paraId="4DD6D45A" w14:textId="77777777">
                  <w:pPr>
                    <w:rPr>
                      <w:rFonts w:ascii="宋体" w:cs="Times New Roman"/>
                    </w:rPr>
                  </w:pPr>
                  <w:r w:rsidRPr="003C684F">
                    <w:rPr>
                      <w:rFonts w:hint="eastAsia" w:ascii="宋体" w:cs="Times New Roman"/>
                    </w:rPr>
                    <w:t>53</w:t>
                  </w:r>
                </w:p>
                <w:p w:rsidRPr="003C684F" w:rsidR="009730C1" w:rsidRDefault="00A315B9" w14:paraId="459D66AC" w14:textId="77777777">
                  <w:pPr>
                    <w:rPr>
                      <w:rFonts w:ascii="宋体" w:cs="Times New Roman"/>
                    </w:rPr>
                  </w:pPr>
                  <w:r w:rsidRPr="003C684F">
                    <w:rPr>
                      <w:rFonts w:hint="eastAsia" w:ascii="宋体" w:cs="Times New Roman"/>
                    </w:rPr>
                    <w:t>55</w:t>
                  </w:r>
                </w:p>
                <w:p w:rsidRPr="003C684F" w:rsidR="009730C1" w:rsidRDefault="00A315B9" w14:paraId="4278B67E" w14:textId="77777777">
                  <w:pPr>
                    <w:rPr>
                      <w:rFonts w:ascii="宋体" w:cs="Times New Roman"/>
                    </w:rPr>
                  </w:pPr>
                  <w:r w:rsidRPr="003C684F">
                    <w:rPr>
                      <w:rFonts w:hint="eastAsia" w:ascii="宋体" w:cs="Times New Roman"/>
                    </w:rPr>
                    <w:t>57</w:t>
                  </w:r>
                </w:p>
              </w:tc>
            </w:tr>
            <w:tr w:rsidRPr="003C684F" w:rsidR="009730C1" w14:paraId="54344F30" w14:textId="77777777">
              <w:trPr>
                <w:trHeight w:val="285"/>
              </w:trPr>
              <w:tc>
                <w:tcPr>
                  <w:tcW w:w="7938" w:type="dxa"/>
                </w:tcPr>
                <w:p w:rsidRPr="003C684F" w:rsidR="009730C1" w:rsidRDefault="00A315B9" w14:paraId="4230C920" w14:textId="77777777">
                  <w:pPr>
                    <w:rPr>
                      <w:rFonts w:ascii="宋体" w:hAnsi="宋体" w:cs="宋体"/>
                    </w:rPr>
                  </w:pPr>
                  <w:r w:rsidRPr="003C684F">
                    <w:rPr>
                      <w:rFonts w:hint="eastAsia" w:ascii="宋体" w:cs="Times New Roman"/>
                    </w:rPr>
                    <w:t>九、帕博利珠单抗</w:t>
                  </w:r>
                  <w:r w:rsidRPr="003C684F">
                    <w:rPr>
                      <w:rFonts w:hint="eastAsia" w:ascii="宋体" w:cs="宋体"/>
                    </w:rPr>
                    <w:t>……………………………………………………………………………</w:t>
                  </w:r>
                  <w:r w:rsidRPr="003C684F">
                    <w:rPr>
                      <w:rFonts w:hint="eastAsia" w:ascii="宋体" w:hAnsi="宋体" w:cs="宋体"/>
                    </w:rPr>
                    <w:t>十、特瑞普利单抗</w:t>
                  </w:r>
                  <w:r w:rsidRPr="003C684F">
                    <w:rPr>
                      <w:rFonts w:hint="eastAsia" w:ascii="宋体" w:cs="宋体"/>
                    </w:rPr>
                    <w:t>……………………………………………………………………………</w:t>
                  </w:r>
                </w:p>
                <w:p w:rsidRPr="003C684F" w:rsidR="009730C1" w:rsidRDefault="00A315B9" w14:paraId="64A0A152" w14:textId="77777777">
                  <w:pPr>
                    <w:rPr>
                      <w:rFonts w:ascii="宋体" w:cs="Times New Roman"/>
                    </w:rPr>
                  </w:pPr>
                  <w:r w:rsidRPr="003C684F">
                    <w:rPr>
                      <w:rFonts w:hint="eastAsia" w:ascii="宋体" w:hAnsi="宋体" w:cs="宋体"/>
                    </w:rPr>
                    <w:t>十一、曲妥珠单抗</w:t>
                  </w:r>
                  <w:r w:rsidRPr="003C684F">
                    <w:rPr>
                      <w:rFonts w:hint="eastAsia" w:ascii="宋体" w:cs="宋体"/>
                    </w:rPr>
                    <w:t>……………………………………………………………………………</w:t>
                  </w:r>
                </w:p>
              </w:tc>
              <w:tc>
                <w:tcPr>
                  <w:tcW w:w="498" w:type="dxa"/>
                </w:tcPr>
                <w:p w:rsidRPr="003C684F" w:rsidR="009730C1" w:rsidRDefault="00A315B9" w14:paraId="0159B8AF" w14:textId="77777777">
                  <w:pPr>
                    <w:rPr>
                      <w:rFonts w:ascii="宋体" w:hAnsi="宋体" w:cs="宋体"/>
                    </w:rPr>
                  </w:pPr>
                  <w:r w:rsidRPr="003C684F">
                    <w:rPr>
                      <w:rFonts w:hint="eastAsia" w:ascii="宋体" w:hAnsi="宋体" w:cs="宋体"/>
                    </w:rPr>
                    <w:t>59</w:t>
                  </w:r>
                </w:p>
                <w:p w:rsidRPr="003C684F" w:rsidR="009730C1" w:rsidRDefault="00A315B9" w14:paraId="6A0EC8A5" w14:textId="77777777">
                  <w:pPr>
                    <w:rPr>
                      <w:rFonts w:ascii="宋体" w:cs="Times New Roman"/>
                    </w:rPr>
                  </w:pPr>
                  <w:r w:rsidRPr="003C684F">
                    <w:rPr>
                      <w:rFonts w:hint="eastAsia" w:ascii="宋体" w:hAnsi="宋体" w:cs="宋体"/>
                    </w:rPr>
                    <w:t>61</w:t>
                  </w:r>
                </w:p>
              </w:tc>
            </w:tr>
            <w:tr w:rsidRPr="003C684F" w:rsidR="009730C1" w14:paraId="3B6AFF47" w14:textId="77777777">
              <w:trPr>
                <w:trHeight w:val="285"/>
              </w:trPr>
              <w:tc>
                <w:tcPr>
                  <w:tcW w:w="7938" w:type="dxa"/>
                </w:tcPr>
                <w:p w:rsidRPr="003C684F" w:rsidR="009730C1" w:rsidRDefault="00A315B9" w14:paraId="75CEC34B" w14:textId="77777777">
                  <w:pPr>
                    <w:rPr>
                      <w:rFonts w:ascii="宋体" w:cs="宋体"/>
                    </w:rPr>
                  </w:pPr>
                  <w:r w:rsidRPr="003C684F">
                    <w:rPr>
                      <w:rFonts w:hint="eastAsia" w:ascii="宋体" w:hAnsi="宋体" w:cs="宋体"/>
                    </w:rPr>
                    <w:t>十二、</w:t>
                  </w:r>
                  <w:r w:rsidRPr="003C684F">
                    <w:rPr>
                      <w:rFonts w:hint="eastAsia" w:ascii="宋体" w:cs="宋体"/>
                    </w:rPr>
                    <w:t>阿帕替尼………………………………………………………………………………</w:t>
                  </w:r>
                </w:p>
                <w:p w:rsidRPr="003C684F" w:rsidR="009730C1" w:rsidRDefault="00A315B9" w14:paraId="182712CE" w14:textId="77777777">
                  <w:pPr>
                    <w:rPr>
                      <w:rFonts w:ascii="宋体" w:cs="Times New Roman"/>
                    </w:rPr>
                  </w:pPr>
                  <w:r w:rsidRPr="003C684F">
                    <w:rPr>
                      <w:rFonts w:hint="eastAsia" w:ascii="宋体" w:cs="宋体"/>
                    </w:rPr>
                    <w:t>十三、</w:t>
                  </w:r>
                  <w:r w:rsidRPr="003C684F">
                    <w:rPr>
                      <w:rFonts w:hint="eastAsia" w:ascii="宋体" w:hAnsi="宋体" w:cs="宋体"/>
                    </w:rPr>
                    <w:t>纳武利尤单抗</w:t>
                  </w:r>
                  <w:r w:rsidRPr="003C684F">
                    <w:rPr>
                      <w:rFonts w:hint="eastAsia" w:ascii="宋体" w:cs="宋体"/>
                    </w:rPr>
                    <w:t>…………………………………………………………………………</w:t>
                  </w:r>
                </w:p>
              </w:tc>
              <w:tc>
                <w:tcPr>
                  <w:tcW w:w="498" w:type="dxa"/>
                </w:tcPr>
                <w:p w:rsidRPr="003C684F" w:rsidR="009730C1" w:rsidRDefault="00A315B9" w14:paraId="2E09145F" w14:textId="77777777">
                  <w:pPr>
                    <w:rPr>
                      <w:rFonts w:ascii="宋体" w:hAnsi="宋体" w:cs="宋体"/>
                    </w:rPr>
                  </w:pPr>
                  <w:r w:rsidRPr="003C684F">
                    <w:rPr>
                      <w:rFonts w:hint="eastAsia" w:ascii="宋体" w:hAnsi="宋体" w:cs="宋体"/>
                    </w:rPr>
                    <w:t>62</w:t>
                  </w:r>
                </w:p>
                <w:p w:rsidRPr="003C684F" w:rsidR="009730C1" w:rsidRDefault="00A315B9" w14:paraId="2D5F4872" w14:textId="77777777">
                  <w:pPr>
                    <w:rPr>
                      <w:rFonts w:ascii="宋体" w:cs="Times New Roman"/>
                    </w:rPr>
                  </w:pPr>
                  <w:r w:rsidRPr="003C684F">
                    <w:rPr>
                      <w:rFonts w:hint="eastAsia" w:ascii="宋体" w:hAnsi="宋体" w:cs="宋体"/>
                    </w:rPr>
                    <w:t>63</w:t>
                  </w:r>
                </w:p>
              </w:tc>
            </w:tr>
            <w:tr w:rsidRPr="003C684F" w:rsidR="009730C1" w14:paraId="0301EC2C" w14:textId="77777777">
              <w:trPr>
                <w:trHeight w:val="285"/>
              </w:trPr>
              <w:tc>
                <w:tcPr>
                  <w:tcW w:w="7938" w:type="dxa"/>
                </w:tcPr>
                <w:p w:rsidRPr="003C684F" w:rsidR="009730C1" w:rsidRDefault="00A315B9" w14:paraId="12D013AC" w14:textId="77777777">
                  <w:pPr>
                    <w:rPr>
                      <w:rFonts w:ascii="宋体" w:hAnsi="宋体" w:cs="宋体"/>
                    </w:rPr>
                  </w:pPr>
                  <w:r w:rsidRPr="003C684F">
                    <w:rPr>
                      <w:rFonts w:hint="eastAsia" w:ascii="宋体" w:hAnsi="宋体" w:cs="宋体"/>
                    </w:rPr>
                    <w:t>十四、维迪西妥单抗</w:t>
                  </w:r>
                  <w:r w:rsidRPr="003C684F">
                    <w:rPr>
                      <w:rFonts w:hint="eastAsia" w:ascii="宋体" w:cs="宋体"/>
                    </w:rPr>
                    <w:t>…………………………………………………………………………</w:t>
                  </w:r>
                </w:p>
                <w:p w:rsidRPr="003C684F" w:rsidR="009730C1" w:rsidRDefault="00A315B9" w14:paraId="538F6EE5" w14:textId="77777777">
                  <w:pPr>
                    <w:rPr>
                      <w:rFonts w:ascii="宋体" w:hAnsi="宋体" w:cs="宋体"/>
                    </w:rPr>
                  </w:pPr>
                  <w:r w:rsidRPr="003C684F">
                    <w:rPr>
                      <w:rFonts w:hint="eastAsia" w:ascii="宋体" w:hAnsi="宋体" w:cs="宋体"/>
                    </w:rPr>
                    <w:t>十五、雷莫西尤单抗</w:t>
                  </w:r>
                  <w:r w:rsidRPr="003C684F">
                    <w:rPr>
                      <w:rFonts w:hint="eastAsia" w:ascii="宋体" w:cs="宋体"/>
                    </w:rPr>
                    <w:t>…………………………………………………………………………</w:t>
                  </w:r>
                </w:p>
                <w:p w:rsidRPr="003C684F" w:rsidR="009730C1" w:rsidRDefault="00A315B9" w14:paraId="409E36FC" w14:textId="77777777">
                  <w:pPr>
                    <w:rPr>
                      <w:rFonts w:ascii="宋体" w:cs="Times New Roman"/>
                    </w:rPr>
                  </w:pPr>
                  <w:r w:rsidRPr="003C684F">
                    <w:rPr>
                      <w:rFonts w:hint="eastAsia" w:ascii="宋体" w:hAnsi="宋体" w:cs="宋体"/>
                    </w:rPr>
                    <w:t>十六、伊马替尼</w:t>
                  </w:r>
                  <w:r w:rsidRPr="003C684F">
                    <w:rPr>
                      <w:rFonts w:hint="eastAsia" w:ascii="宋体" w:cs="宋体"/>
                    </w:rPr>
                    <w:t>………………………………………………………………………………</w:t>
                  </w:r>
                </w:p>
              </w:tc>
              <w:tc>
                <w:tcPr>
                  <w:tcW w:w="498" w:type="dxa"/>
                </w:tcPr>
                <w:p w:rsidRPr="003C684F" w:rsidR="009730C1" w:rsidRDefault="00A315B9" w14:paraId="10B03BB0" w14:textId="77777777">
                  <w:pPr>
                    <w:rPr>
                      <w:rFonts w:ascii="宋体" w:hAnsi="宋体" w:cs="宋体"/>
                    </w:rPr>
                  </w:pPr>
                  <w:r w:rsidRPr="003C684F">
                    <w:rPr>
                      <w:rFonts w:hint="eastAsia" w:ascii="宋体" w:hAnsi="宋体" w:cs="宋体"/>
                    </w:rPr>
                    <w:t>66</w:t>
                  </w:r>
                </w:p>
                <w:p w:rsidRPr="003C684F" w:rsidR="009730C1" w:rsidRDefault="00A315B9" w14:paraId="53EE961E" w14:textId="77777777">
                  <w:pPr>
                    <w:rPr>
                      <w:rFonts w:ascii="宋体" w:cs="Times New Roman"/>
                    </w:rPr>
                  </w:pPr>
                  <w:r w:rsidRPr="003C684F">
                    <w:rPr>
                      <w:rFonts w:hint="eastAsia" w:ascii="宋体" w:hAnsi="宋体" w:cs="宋体"/>
                    </w:rPr>
                    <w:t>67</w:t>
                  </w:r>
                </w:p>
              </w:tc>
            </w:tr>
            <w:tr w:rsidRPr="003C684F" w:rsidR="009730C1" w14:paraId="1C409434" w14:textId="77777777">
              <w:trPr>
                <w:trHeight w:val="285"/>
              </w:trPr>
              <w:tc>
                <w:tcPr>
                  <w:tcW w:w="7938" w:type="dxa"/>
                </w:tcPr>
                <w:p w:rsidRPr="003C684F" w:rsidR="009730C1" w:rsidRDefault="00A315B9" w14:paraId="7BCDFD57" w14:textId="77777777">
                  <w:pPr>
                    <w:rPr>
                      <w:rFonts w:ascii="宋体" w:cs="宋体"/>
                    </w:rPr>
                  </w:pPr>
                  <w:r w:rsidRPr="003C684F">
                    <w:rPr>
                      <w:rFonts w:hint="eastAsia" w:ascii="宋体" w:hAnsi="宋体" w:cs="宋体"/>
                    </w:rPr>
                    <w:t>十七、舒尼替尼</w:t>
                  </w:r>
                  <w:r w:rsidRPr="003C684F">
                    <w:rPr>
                      <w:rFonts w:hint="eastAsia" w:ascii="宋体" w:cs="宋体"/>
                    </w:rPr>
                    <w:t>………………………………………………………………………………</w:t>
                  </w:r>
                </w:p>
                <w:p w:rsidRPr="003C684F" w:rsidR="009730C1" w:rsidRDefault="00A315B9" w14:paraId="287CFD01" w14:textId="77777777">
                  <w:pPr>
                    <w:rPr>
                      <w:rFonts w:ascii="宋体" w:cs="宋体"/>
                    </w:rPr>
                  </w:pPr>
                  <w:r w:rsidRPr="003C684F">
                    <w:rPr>
                      <w:rFonts w:hint="eastAsia" w:ascii="宋体" w:cs="宋体"/>
                    </w:rPr>
                    <w:t>十八、阿伐替尼………………………………………………………………………………</w:t>
                  </w:r>
                </w:p>
                <w:p w:rsidRPr="003C684F" w:rsidR="009730C1" w:rsidRDefault="00A315B9" w14:paraId="5E02C649" w14:textId="77777777">
                  <w:pPr>
                    <w:rPr>
                      <w:rFonts w:ascii="宋体" w:cs="Times New Roman"/>
                    </w:rPr>
                  </w:pPr>
                  <w:r w:rsidRPr="003C684F">
                    <w:rPr>
                      <w:rFonts w:hint="eastAsia" w:ascii="宋体" w:cs="宋体"/>
                    </w:rPr>
                    <w:t>十九、瑞派替尼………………………………………………………………………………</w:t>
                  </w:r>
                </w:p>
              </w:tc>
              <w:tc>
                <w:tcPr>
                  <w:tcW w:w="498" w:type="dxa"/>
                </w:tcPr>
                <w:p w:rsidRPr="003C684F" w:rsidR="009730C1" w:rsidRDefault="00A315B9" w14:paraId="2B7DBDD4" w14:textId="77777777">
                  <w:pPr>
                    <w:rPr>
                      <w:rFonts w:ascii="宋体" w:hAnsi="宋体" w:cs="宋体"/>
                    </w:rPr>
                  </w:pPr>
                  <w:r w:rsidRPr="003C684F">
                    <w:rPr>
                      <w:rFonts w:hint="eastAsia" w:ascii="宋体" w:hAnsi="宋体" w:cs="宋体"/>
                    </w:rPr>
                    <w:t>69</w:t>
                  </w:r>
                </w:p>
                <w:p w:rsidRPr="003C684F" w:rsidR="009730C1" w:rsidRDefault="00A315B9" w14:paraId="11E849A8" w14:textId="77777777">
                  <w:pPr>
                    <w:rPr>
                      <w:rFonts w:ascii="宋体" w:hAnsi="宋体" w:cs="宋体"/>
                    </w:rPr>
                  </w:pPr>
                  <w:r w:rsidRPr="003C684F">
                    <w:rPr>
                      <w:rFonts w:hint="eastAsia" w:ascii="宋体" w:hAnsi="宋体" w:cs="宋体"/>
                    </w:rPr>
                    <w:t>70</w:t>
                  </w:r>
                </w:p>
                <w:p w:rsidRPr="003C684F" w:rsidR="009730C1" w:rsidRDefault="00A315B9" w14:paraId="175E6B21" w14:textId="77777777">
                  <w:pPr>
                    <w:rPr>
                      <w:rFonts w:ascii="宋体" w:cs="Times New Roman"/>
                    </w:rPr>
                  </w:pPr>
                  <w:r w:rsidRPr="003C684F">
                    <w:rPr>
                      <w:rFonts w:hint="eastAsia" w:ascii="宋体" w:hAnsi="宋体" w:cs="宋体"/>
                    </w:rPr>
                    <w:t>71</w:t>
                  </w:r>
                </w:p>
              </w:tc>
            </w:tr>
            <w:tr w:rsidRPr="003C684F" w:rsidR="009730C1" w14:paraId="7869476A" w14:textId="77777777">
              <w:trPr>
                <w:trHeight w:val="285"/>
              </w:trPr>
              <w:tc>
                <w:tcPr>
                  <w:tcW w:w="7938" w:type="dxa"/>
                </w:tcPr>
                <w:p w:rsidRPr="003C684F" w:rsidR="009730C1" w:rsidRDefault="00A315B9" w14:paraId="74823FBE" w14:textId="77777777">
                  <w:pPr>
                    <w:rPr>
                      <w:rFonts w:ascii="宋体" w:cs="宋体"/>
                    </w:rPr>
                  </w:pPr>
                  <w:r w:rsidRPr="003C684F">
                    <w:rPr>
                      <w:rFonts w:hint="eastAsia" w:ascii="宋体" w:hAnsi="宋体" w:cs="宋体"/>
                    </w:rPr>
                    <w:t>二十、依维莫司</w:t>
                  </w:r>
                  <w:r w:rsidRPr="003C684F">
                    <w:rPr>
                      <w:rFonts w:hint="eastAsia" w:ascii="宋体" w:cs="宋体"/>
                    </w:rPr>
                    <w:t>………………………………………………………………………………</w:t>
                  </w:r>
                </w:p>
                <w:p w:rsidRPr="003C684F" w:rsidR="009730C1" w:rsidRDefault="00A315B9" w14:paraId="43D44659" w14:textId="77777777">
                  <w:pPr>
                    <w:rPr>
                      <w:rFonts w:ascii="宋体" w:cs="Times New Roman"/>
                    </w:rPr>
                  </w:pPr>
                  <w:r w:rsidRPr="003C684F">
                    <w:rPr>
                      <w:rFonts w:hint="eastAsia" w:ascii="宋体" w:cs="宋体"/>
                    </w:rPr>
                    <w:t>二十一、索凡替尼……………………………………………………………………………</w:t>
                  </w:r>
                </w:p>
              </w:tc>
              <w:tc>
                <w:tcPr>
                  <w:tcW w:w="498" w:type="dxa"/>
                </w:tcPr>
                <w:p w:rsidRPr="003C684F" w:rsidR="009730C1" w:rsidRDefault="00A315B9" w14:paraId="419B9495" w14:textId="77777777">
                  <w:pPr>
                    <w:rPr>
                      <w:rFonts w:ascii="宋体" w:hAnsi="宋体" w:cs="宋体"/>
                    </w:rPr>
                  </w:pPr>
                  <w:r w:rsidRPr="003C684F">
                    <w:rPr>
                      <w:rFonts w:hint="eastAsia" w:ascii="宋体" w:hAnsi="宋体" w:cs="宋体"/>
                    </w:rPr>
                    <w:t>72</w:t>
                  </w:r>
                </w:p>
                <w:p w:rsidRPr="003C684F" w:rsidR="009730C1" w:rsidRDefault="00A315B9" w14:paraId="089FE037" w14:textId="77777777">
                  <w:pPr>
                    <w:rPr>
                      <w:rFonts w:ascii="宋体" w:cs="Times New Roman"/>
                    </w:rPr>
                  </w:pPr>
                  <w:r w:rsidRPr="003C684F">
                    <w:rPr>
                      <w:rFonts w:hint="eastAsia" w:ascii="宋体" w:hAnsi="宋体" w:cs="宋体"/>
                    </w:rPr>
                    <w:t>74</w:t>
                  </w:r>
                </w:p>
              </w:tc>
            </w:tr>
            <w:tr w:rsidRPr="003C684F" w:rsidR="009730C1" w14:paraId="5D5C3FCA" w14:textId="77777777">
              <w:trPr>
                <w:trHeight w:val="285"/>
              </w:trPr>
              <w:tc>
                <w:tcPr>
                  <w:tcW w:w="7938" w:type="dxa"/>
                </w:tcPr>
                <w:p w:rsidRPr="003C684F" w:rsidR="009730C1" w:rsidRDefault="00A315B9" w14:paraId="79E59881" w14:textId="77777777">
                  <w:pPr>
                    <w:rPr>
                      <w:rFonts w:ascii="宋体" w:cs="Times New Roman"/>
                    </w:rPr>
                  </w:pPr>
                  <w:r w:rsidRPr="003C684F">
                    <w:rPr>
                      <w:rFonts w:hint="eastAsia" w:ascii="宋体" w:cs="Times New Roman"/>
                    </w:rPr>
                    <w:t>二十二、</w:t>
                  </w:r>
                  <w:r w:rsidRPr="003C684F">
                    <w:rPr>
                      <w:rFonts w:hint="eastAsia" w:ascii="宋体" w:hAnsi="宋体" w:cs="宋体"/>
                    </w:rPr>
                    <w:t>贝伐珠</w:t>
                  </w:r>
                  <w:r w:rsidRPr="003C684F">
                    <w:rPr>
                      <w:rFonts w:hint="eastAsia" w:ascii="宋体" w:cs="Times New Roman"/>
                    </w:rPr>
                    <w:t>单抗…………………………………………………………………………</w:t>
                  </w:r>
                </w:p>
              </w:tc>
              <w:tc>
                <w:tcPr>
                  <w:tcW w:w="498" w:type="dxa"/>
                </w:tcPr>
                <w:p w:rsidRPr="003C684F" w:rsidR="009730C1" w:rsidRDefault="00A315B9" w14:paraId="78187563" w14:textId="77777777">
                  <w:pPr>
                    <w:rPr>
                      <w:rFonts w:ascii="宋体" w:cs="Times New Roman"/>
                    </w:rPr>
                  </w:pPr>
                  <w:r w:rsidRPr="003C684F">
                    <w:rPr>
                      <w:rFonts w:hint="eastAsia" w:ascii="宋体" w:hAnsi="宋体" w:cs="宋体"/>
                    </w:rPr>
                    <w:t>75</w:t>
                  </w:r>
                </w:p>
              </w:tc>
            </w:tr>
            <w:tr w:rsidRPr="003C684F" w:rsidR="009730C1" w14:paraId="31D76E6C" w14:textId="77777777">
              <w:trPr>
                <w:trHeight w:val="285"/>
              </w:trPr>
              <w:tc>
                <w:tcPr>
                  <w:tcW w:w="7938" w:type="dxa"/>
                </w:tcPr>
                <w:p w:rsidRPr="003C684F" w:rsidR="009730C1" w:rsidRDefault="00A315B9" w14:paraId="370806B8" w14:textId="77777777">
                  <w:pPr>
                    <w:rPr>
                      <w:rFonts w:ascii="宋体" w:cs="Times New Roman"/>
                    </w:rPr>
                  </w:pPr>
                  <w:r w:rsidRPr="003C684F">
                    <w:rPr>
                      <w:rFonts w:hint="eastAsia" w:ascii="宋体" w:cs="Times New Roman"/>
                    </w:rPr>
                    <w:t>二十三、西妥昔</w:t>
                  </w:r>
                  <w:r w:rsidRPr="003C684F">
                    <w:rPr>
                      <w:rFonts w:hint="eastAsia" w:ascii="宋体" w:hAnsi="宋体" w:cs="宋体"/>
                    </w:rPr>
                    <w:t>单抗</w:t>
                  </w:r>
                  <w:r w:rsidRPr="003C684F">
                    <w:rPr>
                      <w:rFonts w:hint="eastAsia" w:ascii="宋体" w:cs="Times New Roman"/>
                    </w:rPr>
                    <w:t>…………………………………………………………………………</w:t>
                  </w:r>
                </w:p>
                <w:p w:rsidRPr="003C684F" w:rsidR="009730C1" w:rsidRDefault="00A315B9" w14:paraId="49F68E9E" w14:textId="77777777">
                  <w:pPr>
                    <w:rPr>
                      <w:rFonts w:ascii="宋体" w:cs="Times New Roman"/>
                    </w:rPr>
                  </w:pPr>
                  <w:r w:rsidRPr="003C684F">
                    <w:rPr>
                      <w:rFonts w:hint="eastAsia" w:ascii="宋体" w:cs="Times New Roman"/>
                    </w:rPr>
                    <w:t>二十四、呋喹替尼……………………………………………………………………………</w:t>
                  </w:r>
                </w:p>
                <w:p w:rsidRPr="003C684F" w:rsidR="009730C1" w:rsidRDefault="00A315B9" w14:paraId="12CA3212" w14:textId="77777777">
                  <w:pPr>
                    <w:rPr>
                      <w:rFonts w:ascii="宋体" w:cs="Times New Roman"/>
                    </w:rPr>
                  </w:pPr>
                  <w:r w:rsidRPr="003C684F">
                    <w:rPr>
                      <w:rFonts w:hint="eastAsia" w:ascii="宋体" w:cs="Times New Roman"/>
                    </w:rPr>
                    <w:t>二十五、恩沃利单抗…………………………………………………………………………</w:t>
                  </w:r>
                </w:p>
                <w:p w:rsidRPr="003C684F" w:rsidR="009730C1" w:rsidRDefault="00A315B9" w14:paraId="71EF9AE0" w14:textId="77777777">
                  <w:pPr>
                    <w:rPr>
                      <w:rFonts w:ascii="宋体" w:cs="Times New Roman"/>
                    </w:rPr>
                  </w:pPr>
                  <w:r w:rsidRPr="003C684F">
                    <w:rPr>
                      <w:rFonts w:hint="eastAsia" w:ascii="宋体" w:cs="Times New Roman"/>
                    </w:rPr>
                    <w:t>二十六、斯鲁利单抗…………………………………………………………………………</w:t>
                  </w:r>
                </w:p>
                <w:p w:rsidRPr="003C684F" w:rsidR="009730C1" w:rsidRDefault="00A315B9" w14:paraId="10158860" w14:textId="77777777">
                  <w:pPr>
                    <w:rPr>
                      <w:rFonts w:ascii="宋体" w:cs="Times New Roman"/>
                    </w:rPr>
                  </w:pPr>
                  <w:r w:rsidRPr="003C684F">
                    <w:rPr>
                      <w:rFonts w:hint="eastAsia" w:ascii="宋体" w:cs="Times New Roman"/>
                    </w:rPr>
                    <w:t>二十七、拉罗替尼……………………………………………………………………………</w:t>
                  </w:r>
                </w:p>
                <w:p w:rsidRPr="003C684F" w:rsidR="009730C1" w:rsidRDefault="00A315B9" w14:paraId="251D8E3D" w14:textId="77777777">
                  <w:pPr>
                    <w:rPr>
                      <w:rFonts w:ascii="宋体" w:cs="Times New Roman"/>
                    </w:rPr>
                  </w:pPr>
                  <w:r w:rsidRPr="003C684F">
                    <w:rPr>
                      <w:rFonts w:hint="eastAsia" w:ascii="宋体" w:cs="Times New Roman"/>
                    </w:rPr>
                    <w:t>二十八、佩米替尼……………………………………………………………………………</w:t>
                  </w:r>
                </w:p>
              </w:tc>
              <w:tc>
                <w:tcPr>
                  <w:tcW w:w="498" w:type="dxa"/>
                </w:tcPr>
                <w:p w:rsidRPr="003C684F" w:rsidR="009730C1" w:rsidRDefault="00A315B9" w14:paraId="79E678F2" w14:textId="77777777">
                  <w:pPr>
                    <w:rPr>
                      <w:rFonts w:ascii="宋体" w:cs="Times New Roman"/>
                    </w:rPr>
                  </w:pPr>
                  <w:r w:rsidRPr="003C684F">
                    <w:rPr>
                      <w:rFonts w:hint="eastAsia" w:ascii="宋体" w:cs="Times New Roman"/>
                    </w:rPr>
                    <w:t>77</w:t>
                  </w:r>
                </w:p>
                <w:p w:rsidRPr="003C684F" w:rsidR="009730C1" w:rsidRDefault="00A315B9" w14:paraId="19BAE45C" w14:textId="77777777">
                  <w:pPr>
                    <w:rPr>
                      <w:rFonts w:ascii="宋体" w:cs="Times New Roman"/>
                    </w:rPr>
                  </w:pPr>
                  <w:r w:rsidRPr="003C684F">
                    <w:rPr>
                      <w:rFonts w:hint="eastAsia" w:ascii="宋体" w:cs="Times New Roman"/>
                    </w:rPr>
                    <w:t>79</w:t>
                  </w:r>
                </w:p>
              </w:tc>
            </w:tr>
          </w:tbl>
          <w:p w:rsidRPr="003C684F" w:rsidR="009730C1" w:rsidRDefault="00A315B9" w14:paraId="30B3E646" w14:textId="77777777">
            <w:pPr>
              <w:spacing w:line="360" w:lineRule="auto"/>
              <w:ind w:firstLine="105" w:firstLineChars="50"/>
              <w:rPr>
                <w:rFonts w:ascii="宋体" w:cs="Times New Roman"/>
                <w:b/>
                <w:bCs/>
              </w:rPr>
            </w:pPr>
            <w:r w:rsidRPr="003C684F">
              <w:rPr>
                <w:rFonts w:hint="eastAsia" w:ascii="宋体" w:hAnsi="宋体" w:cs="宋体"/>
                <w:b/>
                <w:bCs/>
              </w:rPr>
              <w:t>血液肿瘤用药</w:t>
            </w:r>
          </w:p>
          <w:tbl>
            <w:tblPr>
              <w:tblW w:w="8522" w:type="dxa"/>
              <w:tblLayout w:type="fixed"/>
              <w:tblLook w:val="04A0" w:firstRow="1" w:lastRow="0" w:firstColumn="1" w:lastColumn="0" w:noHBand="0" w:noVBand="1"/>
            </w:tblPr>
            <w:tblGrid>
              <w:gridCol w:w="7958"/>
              <w:gridCol w:w="564"/>
            </w:tblGrid>
            <w:tr w:rsidRPr="003C684F" w:rsidR="009730C1" w14:paraId="45F55BDB" w14:textId="77777777">
              <w:trPr>
                <w:trHeight w:val="285"/>
              </w:trPr>
              <w:tc>
                <w:tcPr>
                  <w:tcW w:w="7958" w:type="dxa"/>
                </w:tcPr>
                <w:p w:rsidRPr="003C684F" w:rsidR="009730C1" w:rsidRDefault="00A315B9" w14:paraId="0095D863" w14:textId="77777777">
                  <w:pPr>
                    <w:rPr>
                      <w:rFonts w:ascii="宋体" w:cs="Times New Roman"/>
                    </w:rPr>
                  </w:pPr>
                  <w:r w:rsidRPr="003C684F">
                    <w:rPr>
                      <w:rFonts w:hint="eastAsia" w:ascii="宋体" w:hAnsi="宋体" w:cs="宋体"/>
                    </w:rPr>
                    <w:t>一、伊马替尼</w:t>
                  </w:r>
                  <w:r w:rsidRPr="003C684F">
                    <w:rPr>
                      <w:rFonts w:hint="eastAsia" w:ascii="宋体" w:cs="宋体"/>
                    </w:rPr>
                    <w:t>…………………………………………………………………………………</w:t>
                  </w:r>
                </w:p>
              </w:tc>
              <w:tc>
                <w:tcPr>
                  <w:tcW w:w="564" w:type="dxa"/>
                </w:tcPr>
                <w:p w:rsidRPr="003C684F" w:rsidR="009730C1" w:rsidRDefault="00A315B9" w14:paraId="0F9AEFFC" w14:textId="77777777">
                  <w:pPr>
                    <w:rPr>
                      <w:rFonts w:ascii="宋体" w:cs="Times New Roman"/>
                    </w:rPr>
                  </w:pPr>
                  <w:r w:rsidRPr="003C684F">
                    <w:rPr>
                      <w:rFonts w:hint="eastAsia" w:ascii="宋体" w:hAnsi="宋体" w:cs="宋体"/>
                    </w:rPr>
                    <w:t>80</w:t>
                  </w:r>
                </w:p>
              </w:tc>
            </w:tr>
            <w:tr w:rsidRPr="003C684F" w:rsidR="009730C1" w14:paraId="50E7FC68" w14:textId="77777777">
              <w:trPr>
                <w:trHeight w:val="285"/>
              </w:trPr>
              <w:tc>
                <w:tcPr>
                  <w:tcW w:w="7958" w:type="dxa"/>
                </w:tcPr>
                <w:p w:rsidRPr="003C684F" w:rsidR="009730C1" w:rsidRDefault="00A315B9" w14:paraId="70D1C692" w14:textId="77777777">
                  <w:pPr>
                    <w:rPr>
                      <w:rFonts w:ascii="宋体" w:cs="Times New Roman"/>
                    </w:rPr>
                  </w:pPr>
                  <w:r w:rsidRPr="003C684F">
                    <w:rPr>
                      <w:rFonts w:hint="eastAsia" w:ascii="宋体" w:hAnsi="宋体" w:cs="宋体"/>
                    </w:rPr>
                    <w:t>二、达沙替尼</w:t>
                  </w:r>
                  <w:r w:rsidRPr="003C684F">
                    <w:rPr>
                      <w:rFonts w:hint="eastAsia" w:ascii="宋体" w:cs="宋体"/>
                    </w:rPr>
                    <w:t>…………………………………………………………………………………</w:t>
                  </w:r>
                </w:p>
              </w:tc>
              <w:tc>
                <w:tcPr>
                  <w:tcW w:w="564" w:type="dxa"/>
                </w:tcPr>
                <w:p w:rsidRPr="003C684F" w:rsidR="009730C1" w:rsidRDefault="00A315B9" w14:paraId="3ABBC7AD" w14:textId="77777777">
                  <w:pPr>
                    <w:rPr>
                      <w:rFonts w:ascii="宋体" w:cs="Times New Roman"/>
                    </w:rPr>
                  </w:pPr>
                  <w:r w:rsidRPr="003C684F">
                    <w:rPr>
                      <w:rFonts w:hint="eastAsia" w:ascii="宋体" w:hAnsi="宋体" w:cs="宋体"/>
                    </w:rPr>
                    <w:t>82</w:t>
                  </w:r>
                </w:p>
              </w:tc>
            </w:tr>
            <w:tr w:rsidRPr="003C684F" w:rsidR="009730C1" w14:paraId="77D950A8" w14:textId="77777777">
              <w:trPr>
                <w:trHeight w:val="285"/>
              </w:trPr>
              <w:tc>
                <w:tcPr>
                  <w:tcW w:w="7958" w:type="dxa"/>
                </w:tcPr>
                <w:p w:rsidRPr="003C684F" w:rsidR="009730C1" w:rsidRDefault="00A315B9" w14:paraId="6ECB0356" w14:textId="77777777">
                  <w:pPr>
                    <w:rPr>
                      <w:rFonts w:ascii="宋体" w:cs="宋体"/>
                    </w:rPr>
                  </w:pPr>
                  <w:r w:rsidRPr="003C684F">
                    <w:rPr>
                      <w:rFonts w:hint="eastAsia" w:ascii="宋体" w:hAnsi="宋体" w:cs="宋体"/>
                    </w:rPr>
                    <w:t>三、尼洛替尼</w:t>
                  </w:r>
                  <w:r w:rsidRPr="003C684F">
                    <w:rPr>
                      <w:rFonts w:hint="eastAsia" w:ascii="宋体" w:cs="宋体"/>
                    </w:rPr>
                    <w:t>…………………………………………………………………………………</w:t>
                  </w:r>
                </w:p>
                <w:p w:rsidRPr="003C684F" w:rsidR="009730C1" w:rsidRDefault="00A315B9" w14:paraId="7D4BE71C" w14:textId="77777777">
                  <w:pPr>
                    <w:rPr>
                      <w:rFonts w:ascii="宋体" w:cs="宋体"/>
                    </w:rPr>
                  </w:pPr>
                  <w:r w:rsidRPr="003C684F">
                    <w:rPr>
                      <w:rFonts w:hint="eastAsia" w:ascii="宋体" w:cs="宋体"/>
                    </w:rPr>
                    <w:t>四、奥雷巴替尼………………………………………………………………………………</w:t>
                  </w:r>
                </w:p>
                <w:p w:rsidRPr="003C684F" w:rsidR="009730C1" w:rsidRDefault="00A315B9" w14:paraId="63EE1A86" w14:textId="77777777">
                  <w:pPr>
                    <w:rPr>
                      <w:rFonts w:ascii="宋体" w:cs="Times New Roman"/>
                    </w:rPr>
                  </w:pPr>
                  <w:r w:rsidRPr="003C684F">
                    <w:rPr>
                      <w:rFonts w:hint="eastAsia" w:ascii="宋体" w:cs="宋体"/>
                    </w:rPr>
                    <w:t>五、氟马替尼…………………………………………………………………………………</w:t>
                  </w:r>
                </w:p>
              </w:tc>
              <w:tc>
                <w:tcPr>
                  <w:tcW w:w="564" w:type="dxa"/>
                </w:tcPr>
                <w:p w:rsidRPr="003C684F" w:rsidR="009730C1" w:rsidRDefault="00A315B9" w14:paraId="407C8289" w14:textId="77777777">
                  <w:pPr>
                    <w:rPr>
                      <w:rFonts w:ascii="宋体" w:hAnsi="宋体" w:cs="宋体"/>
                    </w:rPr>
                  </w:pPr>
                  <w:r w:rsidRPr="003C684F">
                    <w:rPr>
                      <w:rFonts w:hint="eastAsia" w:ascii="宋体" w:hAnsi="宋体" w:cs="宋体"/>
                    </w:rPr>
                    <w:t>83</w:t>
                  </w:r>
                </w:p>
                <w:p w:rsidRPr="003C684F" w:rsidR="009730C1" w:rsidRDefault="00A315B9" w14:paraId="03A8A547" w14:textId="77777777">
                  <w:pPr>
                    <w:rPr>
                      <w:rFonts w:ascii="宋体" w:cs="Times New Roman"/>
                    </w:rPr>
                  </w:pPr>
                  <w:r w:rsidRPr="003C684F">
                    <w:rPr>
                      <w:rFonts w:hint="eastAsia" w:ascii="宋体" w:hAnsi="宋体" w:cs="宋体"/>
                    </w:rPr>
                    <w:t>84</w:t>
                  </w:r>
                </w:p>
              </w:tc>
            </w:tr>
            <w:tr w:rsidRPr="003C684F" w:rsidR="009730C1" w14:paraId="43C74C8C" w14:textId="77777777">
              <w:trPr>
                <w:trHeight w:val="285"/>
              </w:trPr>
              <w:tc>
                <w:tcPr>
                  <w:tcW w:w="7958" w:type="dxa"/>
                </w:tcPr>
                <w:p w:rsidRPr="003C684F" w:rsidR="009730C1" w:rsidRDefault="00A315B9" w14:paraId="66F84240" w14:textId="77777777">
                  <w:pPr>
                    <w:rPr>
                      <w:rFonts w:ascii="宋体" w:hAnsi="宋体" w:cs="宋体"/>
                    </w:rPr>
                  </w:pPr>
                  <w:r w:rsidRPr="003C684F">
                    <w:rPr>
                      <w:rFonts w:hint="eastAsia" w:ascii="宋体" w:hAnsi="宋体" w:cs="宋体"/>
                    </w:rPr>
                    <w:t>六、伊布替尼</w:t>
                  </w:r>
                  <w:r w:rsidRPr="003C684F">
                    <w:rPr>
                      <w:rFonts w:hint="eastAsia" w:ascii="宋体" w:cs="宋体"/>
                    </w:rPr>
                    <w:t>…………………………………………………………………………………</w:t>
                  </w:r>
                </w:p>
                <w:p w:rsidRPr="003C684F" w:rsidR="009730C1" w:rsidRDefault="00A315B9" w14:paraId="5D128FF4" w14:textId="77777777">
                  <w:pPr>
                    <w:rPr>
                      <w:rFonts w:ascii="宋体" w:hAnsi="宋体" w:cs="宋体"/>
                    </w:rPr>
                  </w:pPr>
                  <w:r w:rsidRPr="003C684F">
                    <w:rPr>
                      <w:rFonts w:hint="eastAsia" w:ascii="宋体" w:hAnsi="宋体" w:cs="宋体"/>
                    </w:rPr>
                    <w:t>七、泽布替尼</w:t>
                  </w:r>
                  <w:r w:rsidRPr="003C684F">
                    <w:rPr>
                      <w:rFonts w:hint="eastAsia" w:ascii="宋体" w:cs="宋体"/>
                    </w:rPr>
                    <w:t>…………………………………………………………………………………</w:t>
                  </w:r>
                </w:p>
                <w:p w:rsidRPr="003C684F" w:rsidR="009730C1" w:rsidRDefault="00A315B9" w14:paraId="2C296367" w14:textId="77777777">
                  <w:pPr>
                    <w:rPr>
                      <w:rFonts w:ascii="宋体" w:cs="宋体"/>
                    </w:rPr>
                  </w:pPr>
                  <w:r w:rsidRPr="003C684F">
                    <w:rPr>
                      <w:rFonts w:hint="eastAsia" w:ascii="宋体" w:cs="宋体"/>
                    </w:rPr>
                    <w:t>八、奥布替尼…………………………………………………………………………………</w:t>
                  </w:r>
                </w:p>
                <w:p w:rsidRPr="003C684F" w:rsidR="009730C1" w:rsidRDefault="00A315B9" w14:paraId="4AD71F23" w14:textId="77777777">
                  <w:pPr>
                    <w:rPr>
                      <w:rFonts w:ascii="宋体" w:cs="宋体"/>
                    </w:rPr>
                  </w:pPr>
                  <w:r w:rsidRPr="003C684F">
                    <w:rPr>
                      <w:rFonts w:hint="eastAsia" w:ascii="宋体" w:cs="宋体"/>
                    </w:rPr>
                    <w:t>九、硼替佐米…………………………………………………………………………………</w:t>
                  </w:r>
                </w:p>
                <w:p w:rsidRPr="003C684F" w:rsidR="009730C1" w:rsidRDefault="00A315B9" w14:paraId="39D26ED0" w14:textId="77777777">
                  <w:pPr>
                    <w:rPr>
                      <w:rFonts w:ascii="宋体" w:cs="宋体"/>
                    </w:rPr>
                  </w:pPr>
                  <w:r w:rsidRPr="003C684F">
                    <w:rPr>
                      <w:rFonts w:hint="eastAsia" w:ascii="宋体" w:cs="宋体"/>
                    </w:rPr>
                    <w:t>十、卡非佐米…………………………………………………………………………………</w:t>
                  </w:r>
                </w:p>
                <w:p w:rsidRPr="003C684F" w:rsidR="009730C1" w:rsidRDefault="00A315B9" w14:paraId="58F1E705" w14:textId="77777777">
                  <w:pPr>
                    <w:rPr>
                      <w:rFonts w:ascii="宋体" w:cs="Times New Roman"/>
                    </w:rPr>
                  </w:pPr>
                  <w:r w:rsidRPr="003C684F">
                    <w:rPr>
                      <w:rFonts w:hint="eastAsia" w:ascii="宋体" w:cs="Times New Roman"/>
                    </w:rPr>
                    <w:t>十一、伊沙佐米</w:t>
                  </w:r>
                  <w:r w:rsidRPr="003C684F">
                    <w:rPr>
                      <w:rFonts w:hint="eastAsia" w:ascii="宋体" w:cs="宋体"/>
                    </w:rPr>
                    <w:t>………………………………………………………………………………</w:t>
                  </w:r>
                </w:p>
                <w:p w:rsidRPr="003C684F" w:rsidR="009730C1" w:rsidRDefault="00A315B9" w14:paraId="53389344" w14:textId="77777777">
                  <w:pPr>
                    <w:rPr>
                      <w:rFonts w:ascii="宋体" w:cs="宋体"/>
                    </w:rPr>
                  </w:pPr>
                  <w:r w:rsidRPr="003C684F">
                    <w:rPr>
                      <w:rFonts w:hint="eastAsia" w:ascii="宋体" w:cs="宋体"/>
                    </w:rPr>
                    <w:t>十二、沙利度胺………………………………………………………………………………</w:t>
                  </w:r>
                </w:p>
                <w:p w:rsidRPr="003C684F" w:rsidR="009730C1" w:rsidRDefault="00A315B9" w14:paraId="3C76797C" w14:textId="77777777">
                  <w:pPr>
                    <w:rPr>
                      <w:rFonts w:ascii="宋体" w:cs="宋体"/>
                    </w:rPr>
                  </w:pPr>
                  <w:r w:rsidRPr="003C684F">
                    <w:rPr>
                      <w:rFonts w:hint="eastAsia" w:ascii="宋体" w:cs="宋体"/>
                    </w:rPr>
                    <w:t>十三、来那度胺………………………………………………………………………………</w:t>
                  </w:r>
                </w:p>
                <w:p w:rsidRPr="003C684F" w:rsidR="009730C1" w:rsidRDefault="00A315B9" w14:paraId="281F6576" w14:textId="77777777">
                  <w:pPr>
                    <w:rPr>
                      <w:rFonts w:ascii="宋体" w:cs="宋体"/>
                    </w:rPr>
                  </w:pPr>
                  <w:r w:rsidRPr="003C684F">
                    <w:rPr>
                      <w:rFonts w:hint="eastAsia" w:ascii="宋体" w:cs="宋体"/>
                    </w:rPr>
                    <w:lastRenderedPageBreak/>
                    <w:t>十四、泊马度胺………………………………………………………………………………</w:t>
                  </w:r>
                </w:p>
                <w:p w:rsidRPr="003C684F" w:rsidR="009730C1" w:rsidRDefault="00A315B9" w14:paraId="57842A6B" w14:textId="77777777">
                  <w:pPr>
                    <w:rPr>
                      <w:rFonts w:ascii="宋体" w:cs="宋体"/>
                    </w:rPr>
                  </w:pPr>
                  <w:r w:rsidRPr="003C684F">
                    <w:rPr>
                      <w:rFonts w:hint="eastAsia" w:ascii="宋体" w:cs="宋体"/>
                    </w:rPr>
                    <w:t>十五、达雷妥尤单抗…………………………………………………………………………</w:t>
                  </w:r>
                </w:p>
                <w:p w:rsidRPr="003C684F" w:rsidR="009730C1" w:rsidRDefault="00A315B9" w14:paraId="045C40D0" w14:textId="77777777">
                  <w:pPr>
                    <w:rPr>
                      <w:rFonts w:ascii="宋体" w:cs="宋体"/>
                    </w:rPr>
                  </w:pPr>
                  <w:r w:rsidRPr="003C684F">
                    <w:rPr>
                      <w:rFonts w:hint="eastAsia" w:ascii="宋体" w:cs="宋体"/>
                    </w:rPr>
                    <w:t>十六、塞利尼索………………………………………………………………………………</w:t>
                  </w:r>
                </w:p>
                <w:p w:rsidRPr="003C684F" w:rsidR="009730C1" w:rsidRDefault="00A315B9" w14:paraId="622F1B4A" w14:textId="77777777">
                  <w:pPr>
                    <w:rPr>
                      <w:rFonts w:ascii="宋体" w:cs="宋体"/>
                    </w:rPr>
                  </w:pPr>
                  <w:r w:rsidRPr="003C684F">
                    <w:rPr>
                      <w:rFonts w:hint="eastAsia" w:ascii="宋体" w:cs="宋体"/>
                    </w:rPr>
                    <w:t>十七、吉瑞替尼………………………………………………………………………………</w:t>
                  </w:r>
                </w:p>
                <w:p w:rsidRPr="003C684F" w:rsidR="009730C1" w:rsidRDefault="00A315B9" w14:paraId="4436DAC5" w14:textId="77777777">
                  <w:pPr>
                    <w:rPr>
                      <w:rFonts w:ascii="宋体" w:cs="宋体"/>
                    </w:rPr>
                  </w:pPr>
                  <w:r w:rsidRPr="003C684F">
                    <w:rPr>
                      <w:rFonts w:hint="eastAsia" w:ascii="宋体" w:cs="宋体"/>
                    </w:rPr>
                    <w:t>十八、维奈克拉………………………………………………………………………………</w:t>
                  </w:r>
                </w:p>
                <w:p w:rsidRPr="003C684F" w:rsidR="009730C1" w:rsidRDefault="00A315B9" w14:paraId="07739F32" w14:textId="77777777">
                  <w:pPr>
                    <w:rPr>
                      <w:rFonts w:ascii="宋体" w:cs="Times New Roman"/>
                    </w:rPr>
                  </w:pPr>
                  <w:r w:rsidRPr="003C684F">
                    <w:rPr>
                      <w:rFonts w:hint="eastAsia" w:ascii="宋体" w:cs="宋体"/>
                    </w:rPr>
                    <w:t>十九、艾伏尼布………………………………………………………………………………</w:t>
                  </w:r>
                  <w:r w:rsidRPr="003C684F">
                    <w:rPr>
                      <w:rFonts w:hint="eastAsia" w:ascii="宋体" w:cs="Times New Roman"/>
                    </w:rPr>
                    <w:t>二十、贝林妥欧单抗</w:t>
                  </w:r>
                  <w:r w:rsidRPr="003C684F">
                    <w:rPr>
                      <w:rFonts w:hint="eastAsia" w:ascii="宋体" w:cs="宋体"/>
                    </w:rPr>
                    <w:t>…………………………………………………………………………</w:t>
                  </w:r>
                </w:p>
                <w:p w:rsidRPr="003C684F" w:rsidR="009730C1" w:rsidRDefault="00A315B9" w14:paraId="79AEFCA7" w14:textId="77777777">
                  <w:pPr>
                    <w:rPr>
                      <w:rFonts w:ascii="宋体" w:cs="Times New Roman"/>
                    </w:rPr>
                  </w:pPr>
                  <w:r w:rsidRPr="003C684F">
                    <w:rPr>
                      <w:rFonts w:hint="eastAsia" w:ascii="宋体" w:cs="Times New Roman"/>
                    </w:rPr>
                    <w:t>二十一、信迪利单抗</w:t>
                  </w:r>
                  <w:r w:rsidRPr="003C684F">
                    <w:rPr>
                      <w:rFonts w:hint="eastAsia" w:ascii="宋体" w:cs="宋体"/>
                    </w:rPr>
                    <w:t>…………………………………………………………………………</w:t>
                  </w:r>
                </w:p>
                <w:p w:rsidRPr="003C684F" w:rsidR="009730C1" w:rsidRDefault="00A315B9" w14:paraId="491F9B69" w14:textId="77777777">
                  <w:pPr>
                    <w:rPr>
                      <w:rFonts w:ascii="宋体" w:cs="Times New Roman"/>
                    </w:rPr>
                  </w:pPr>
                  <w:r w:rsidRPr="003C684F">
                    <w:rPr>
                      <w:rFonts w:hint="eastAsia" w:ascii="宋体" w:cs="宋体"/>
                    </w:rPr>
                    <w:t>二十二、</w:t>
                  </w:r>
                  <w:r w:rsidRPr="003C684F">
                    <w:rPr>
                      <w:rFonts w:hint="eastAsia" w:ascii="宋体" w:cs="Times New Roman"/>
                    </w:rPr>
                    <w:t>卡瑞利珠单抗</w:t>
                  </w:r>
                  <w:r w:rsidRPr="003C684F">
                    <w:rPr>
                      <w:rFonts w:hint="eastAsia" w:ascii="宋体" w:cs="宋体"/>
                    </w:rPr>
                    <w:t>………………………………………………………………………</w:t>
                  </w:r>
                </w:p>
                <w:p w:rsidRPr="003C684F" w:rsidR="00467ACD" w:rsidRDefault="00A315B9" w14:paraId="32552F57" w14:textId="6BB68227">
                  <w:pPr>
                    <w:rPr>
                      <w:rFonts w:ascii="宋体" w:cs="Times New Roman"/>
                    </w:rPr>
                  </w:pPr>
                  <w:r w:rsidRPr="003C684F">
                    <w:rPr>
                      <w:rFonts w:hint="eastAsia" w:ascii="宋体" w:cs="Times New Roman"/>
                    </w:rPr>
                    <w:t>二十三、替雷利珠单抗</w:t>
                  </w:r>
                  <w:r w:rsidRPr="003C684F" w:rsidR="00467ACD">
                    <w:rPr>
                      <w:rFonts w:hint="eastAsia" w:ascii="宋体" w:cs="Times New Roman"/>
                    </w:rPr>
                    <w:t>………………………………………………………………………</w:t>
                  </w:r>
                </w:p>
                <w:p w:rsidRPr="003C684F" w:rsidR="009730C1" w:rsidRDefault="00467ACD" w14:paraId="5C99F804" w14:textId="525B2620">
                  <w:pPr>
                    <w:rPr>
                      <w:rFonts w:ascii="宋体" w:cs="Times New Roman"/>
                    </w:rPr>
                  </w:pPr>
                  <w:r w:rsidRPr="003C684F">
                    <w:rPr>
                      <w:rFonts w:hint="eastAsia" w:ascii="宋体" w:cs="宋体"/>
                    </w:rPr>
                    <w:t>二十四、派安普利单抗</w:t>
                  </w:r>
                  <w:r w:rsidRPr="003C684F" w:rsidR="00A315B9">
                    <w:rPr>
                      <w:rFonts w:hint="eastAsia" w:ascii="宋体" w:cs="宋体"/>
                    </w:rPr>
                    <w:t>………………………………………………………………………</w:t>
                  </w:r>
                </w:p>
                <w:p w:rsidRPr="003C684F" w:rsidR="009730C1" w:rsidRDefault="00A315B9" w14:paraId="19CC885F" w14:textId="2D4606B6">
                  <w:pPr>
                    <w:rPr>
                      <w:rFonts w:ascii="宋体" w:cs="宋体"/>
                    </w:rPr>
                  </w:pPr>
                  <w:r w:rsidRPr="003C684F">
                    <w:rPr>
                      <w:rFonts w:hint="eastAsia" w:ascii="宋体" w:hAnsi="宋体" w:cs="宋体"/>
                    </w:rPr>
                    <w:t>二十</w:t>
                  </w:r>
                  <w:r w:rsidRPr="003C684F" w:rsidR="00D12B09">
                    <w:rPr>
                      <w:rFonts w:hint="eastAsia" w:ascii="宋体" w:hAnsi="宋体" w:cs="宋体"/>
                    </w:rPr>
                    <w:t>五</w:t>
                  </w:r>
                  <w:r w:rsidRPr="003C684F">
                    <w:rPr>
                      <w:rFonts w:hint="eastAsia" w:ascii="宋体" w:hAnsi="宋体" w:cs="宋体"/>
                    </w:rPr>
                    <w:t>、利妥昔单抗</w:t>
                  </w:r>
                  <w:r w:rsidRPr="003C684F">
                    <w:rPr>
                      <w:rFonts w:hint="eastAsia" w:ascii="宋体" w:cs="宋体"/>
                    </w:rPr>
                    <w:t>…………………………………………………………………………</w:t>
                  </w:r>
                </w:p>
                <w:p w:rsidRPr="003C684F" w:rsidR="009730C1" w:rsidRDefault="00A315B9" w14:paraId="569872F6" w14:textId="2288C70E">
                  <w:pPr>
                    <w:rPr>
                      <w:rFonts w:ascii="宋体" w:cs="宋体"/>
                    </w:rPr>
                  </w:pPr>
                  <w:r w:rsidRPr="003C684F">
                    <w:rPr>
                      <w:rFonts w:hint="eastAsia" w:ascii="宋体" w:cs="宋体"/>
                    </w:rPr>
                    <w:t>二十</w:t>
                  </w:r>
                  <w:r w:rsidRPr="003C684F" w:rsidR="00D12B09">
                    <w:rPr>
                      <w:rFonts w:hint="eastAsia" w:ascii="宋体" w:cs="宋体"/>
                    </w:rPr>
                    <w:t>六</w:t>
                  </w:r>
                  <w:r w:rsidRPr="003C684F">
                    <w:rPr>
                      <w:rFonts w:hint="eastAsia" w:ascii="宋体" w:cs="宋体"/>
                    </w:rPr>
                    <w:t>、奥妥珠单抗…………………………………………………………………………</w:t>
                  </w:r>
                </w:p>
                <w:p w:rsidRPr="003C684F" w:rsidR="009730C1" w:rsidP="00D12B09" w:rsidRDefault="00A315B9" w14:paraId="317F2807" w14:textId="334D7EA8">
                  <w:pPr>
                    <w:rPr>
                      <w:rFonts w:ascii="宋体" w:cs="Times New Roman"/>
                    </w:rPr>
                  </w:pPr>
                  <w:r w:rsidRPr="003C684F">
                    <w:rPr>
                      <w:rFonts w:hint="eastAsia" w:ascii="宋体" w:hAnsi="宋体" w:cs="宋体"/>
                    </w:rPr>
                    <w:t>二十</w:t>
                  </w:r>
                  <w:r w:rsidRPr="003C684F" w:rsidR="00D12B09">
                    <w:rPr>
                      <w:rFonts w:hint="eastAsia" w:ascii="宋体" w:hAnsi="宋体" w:cs="宋体"/>
                    </w:rPr>
                    <w:t>七</w:t>
                  </w:r>
                  <w:r w:rsidRPr="003C684F">
                    <w:rPr>
                      <w:rFonts w:hint="eastAsia" w:ascii="宋体" w:hAnsi="宋体" w:cs="宋体"/>
                    </w:rPr>
                    <w:t>、维布妥昔单抗</w:t>
                  </w:r>
                  <w:r w:rsidRPr="003C684F">
                    <w:rPr>
                      <w:rFonts w:hint="eastAsia" w:ascii="宋体" w:cs="宋体"/>
                    </w:rPr>
                    <w:t>………………………………………………………………………</w:t>
                  </w:r>
                </w:p>
              </w:tc>
              <w:tc>
                <w:tcPr>
                  <w:tcW w:w="564" w:type="dxa"/>
                </w:tcPr>
                <w:p w:rsidRPr="003C684F" w:rsidR="009730C1" w:rsidRDefault="00A315B9" w14:paraId="762F5427" w14:textId="77777777">
                  <w:pPr>
                    <w:rPr>
                      <w:rFonts w:ascii="宋体" w:hAnsi="宋体" w:cs="宋体"/>
                    </w:rPr>
                  </w:pPr>
                  <w:r w:rsidRPr="003C684F">
                    <w:rPr>
                      <w:rFonts w:hint="eastAsia" w:ascii="宋体" w:hAnsi="宋体" w:cs="宋体"/>
                    </w:rPr>
                    <w:lastRenderedPageBreak/>
                    <w:t>86</w:t>
                  </w:r>
                </w:p>
                <w:p w:rsidRPr="003C684F" w:rsidR="009730C1" w:rsidRDefault="00A315B9" w14:paraId="10BC648A" w14:textId="77777777">
                  <w:pPr>
                    <w:rPr>
                      <w:rFonts w:ascii="宋体" w:hAnsi="宋体" w:cs="宋体"/>
                    </w:rPr>
                  </w:pPr>
                  <w:r w:rsidRPr="003C684F">
                    <w:rPr>
                      <w:rFonts w:hint="eastAsia" w:ascii="宋体" w:hAnsi="宋体" w:cs="宋体"/>
                    </w:rPr>
                    <w:t>88</w:t>
                  </w:r>
                </w:p>
                <w:p w:rsidRPr="003C684F" w:rsidR="009730C1" w:rsidRDefault="00A315B9" w14:paraId="2669CC17" w14:textId="77777777">
                  <w:pPr>
                    <w:rPr>
                      <w:rFonts w:ascii="宋体" w:cs="Times New Roman"/>
                    </w:rPr>
                  </w:pPr>
                  <w:r w:rsidRPr="003C684F">
                    <w:rPr>
                      <w:rFonts w:hint="eastAsia" w:ascii="宋体" w:hAnsi="宋体" w:cs="宋体"/>
                    </w:rPr>
                    <w:t>91</w:t>
                  </w:r>
                </w:p>
              </w:tc>
            </w:tr>
            <w:tr w:rsidRPr="003C684F" w:rsidR="009730C1" w14:paraId="6AAFB9C1" w14:textId="77777777">
              <w:trPr>
                <w:trHeight w:val="285"/>
              </w:trPr>
              <w:tc>
                <w:tcPr>
                  <w:tcW w:w="7958" w:type="dxa"/>
                </w:tcPr>
                <w:p w:rsidRPr="003C684F" w:rsidR="009730C1" w:rsidP="00D12B09" w:rsidRDefault="00A315B9" w14:paraId="4FD0678E" w14:textId="1D10D511">
                  <w:pPr>
                    <w:rPr>
                      <w:rFonts w:ascii="宋体" w:cs="Times New Roman"/>
                    </w:rPr>
                  </w:pPr>
                  <w:r w:rsidRPr="003C684F">
                    <w:rPr>
                      <w:rFonts w:hint="eastAsia" w:ascii="宋体" w:hAnsi="宋体" w:cs="宋体"/>
                    </w:rPr>
                    <w:lastRenderedPageBreak/>
                    <w:t>二十</w:t>
                  </w:r>
                  <w:r w:rsidRPr="003C684F" w:rsidR="00D12B09">
                    <w:rPr>
                      <w:rFonts w:hint="eastAsia" w:ascii="宋体" w:hAnsi="宋体" w:cs="宋体"/>
                    </w:rPr>
                    <w:t>八</w:t>
                  </w:r>
                  <w:r w:rsidRPr="003C684F">
                    <w:rPr>
                      <w:rFonts w:hint="eastAsia" w:ascii="宋体" w:hAnsi="宋体" w:cs="宋体"/>
                    </w:rPr>
                    <w:t>、西达本胺</w:t>
                  </w:r>
                  <w:r w:rsidRPr="003C684F">
                    <w:rPr>
                      <w:rFonts w:hint="eastAsia" w:ascii="宋体" w:cs="宋体"/>
                    </w:rPr>
                    <w:t>……………………………………………………………………………</w:t>
                  </w:r>
                </w:p>
              </w:tc>
              <w:tc>
                <w:tcPr>
                  <w:tcW w:w="564" w:type="dxa"/>
                </w:tcPr>
                <w:p w:rsidRPr="003C684F" w:rsidR="009730C1" w:rsidRDefault="00A315B9" w14:paraId="0921A47B" w14:textId="77777777">
                  <w:pPr>
                    <w:rPr>
                      <w:rFonts w:ascii="宋体" w:cs="Times New Roman"/>
                    </w:rPr>
                  </w:pPr>
                  <w:r w:rsidRPr="003C684F">
                    <w:rPr>
                      <w:rFonts w:hint="eastAsia" w:ascii="宋体" w:hAnsi="宋体" w:cs="宋体"/>
                    </w:rPr>
                    <w:t>97</w:t>
                  </w:r>
                </w:p>
              </w:tc>
            </w:tr>
            <w:tr w:rsidRPr="003C684F" w:rsidR="009730C1" w14:paraId="6005DC35" w14:textId="77777777">
              <w:trPr>
                <w:trHeight w:val="285"/>
              </w:trPr>
              <w:tc>
                <w:tcPr>
                  <w:tcW w:w="7958" w:type="dxa"/>
                </w:tcPr>
                <w:p w:rsidRPr="003C684F" w:rsidR="009730C1" w:rsidP="00D12B09" w:rsidRDefault="00A315B9" w14:paraId="72760E5B" w14:textId="5D6539A2">
                  <w:pPr>
                    <w:rPr>
                      <w:rFonts w:ascii="宋体" w:cs="Times New Roman"/>
                    </w:rPr>
                  </w:pPr>
                  <w:r w:rsidRPr="003C684F">
                    <w:rPr>
                      <w:rFonts w:hint="eastAsia" w:ascii="宋体" w:hAnsi="宋体" w:cs="宋体"/>
                    </w:rPr>
                    <w:t>二十</w:t>
                  </w:r>
                  <w:r w:rsidRPr="003C684F" w:rsidR="00D12B09">
                    <w:rPr>
                      <w:rFonts w:hint="eastAsia" w:ascii="宋体" w:hAnsi="宋体" w:cs="宋体"/>
                    </w:rPr>
                    <w:t>九</w:t>
                  </w:r>
                  <w:r w:rsidRPr="003C684F">
                    <w:rPr>
                      <w:rFonts w:hint="eastAsia" w:ascii="宋体" w:hAnsi="宋体" w:cs="宋体"/>
                    </w:rPr>
                    <w:t>、芦可替尼</w:t>
                  </w:r>
                  <w:r w:rsidRPr="003C684F">
                    <w:rPr>
                      <w:rFonts w:hint="eastAsia" w:ascii="宋体" w:cs="宋体"/>
                    </w:rPr>
                    <w:t>……………………………………………………………………………</w:t>
                  </w:r>
                </w:p>
              </w:tc>
              <w:tc>
                <w:tcPr>
                  <w:tcW w:w="564" w:type="dxa"/>
                </w:tcPr>
                <w:p w:rsidRPr="003C684F" w:rsidR="009730C1" w:rsidRDefault="00A315B9" w14:paraId="3611B2D1" w14:textId="77777777">
                  <w:pPr>
                    <w:rPr>
                      <w:rFonts w:ascii="宋体" w:cs="Times New Roman"/>
                    </w:rPr>
                  </w:pPr>
                  <w:r w:rsidRPr="003C684F">
                    <w:rPr>
                      <w:rFonts w:hint="eastAsia" w:ascii="宋体" w:hAnsi="宋体" w:cs="宋体"/>
                    </w:rPr>
                    <w:t>117</w:t>
                  </w:r>
                </w:p>
              </w:tc>
            </w:tr>
          </w:tbl>
          <w:p w:rsidRPr="003C684F" w:rsidR="009730C1" w:rsidRDefault="00A315B9" w14:paraId="5BDDC6C0" w14:textId="77777777">
            <w:pPr>
              <w:spacing w:line="360" w:lineRule="auto"/>
              <w:ind w:firstLine="105" w:firstLineChars="50"/>
              <w:rPr>
                <w:rFonts w:ascii="宋体" w:cs="Times New Roman"/>
                <w:b/>
                <w:bCs/>
              </w:rPr>
            </w:pPr>
            <w:r w:rsidRPr="003C684F">
              <w:rPr>
                <w:rFonts w:hint="eastAsia" w:ascii="宋体" w:hAnsi="宋体" w:cs="宋体"/>
                <w:b/>
                <w:bCs/>
              </w:rPr>
              <w:t>泌尿系统肿瘤用药</w:t>
            </w:r>
          </w:p>
          <w:tbl>
            <w:tblPr>
              <w:tblW w:w="8578" w:type="dxa"/>
              <w:tblLayout w:type="fixed"/>
              <w:tblLook w:val="04A0" w:firstRow="1" w:lastRow="0" w:firstColumn="1" w:lastColumn="0" w:noHBand="0" w:noVBand="1"/>
            </w:tblPr>
            <w:tblGrid>
              <w:gridCol w:w="7976"/>
              <w:gridCol w:w="602"/>
            </w:tblGrid>
            <w:tr w:rsidRPr="003C684F" w:rsidR="009730C1" w14:paraId="31527028" w14:textId="77777777">
              <w:trPr>
                <w:trHeight w:val="285"/>
              </w:trPr>
              <w:tc>
                <w:tcPr>
                  <w:tcW w:w="7976" w:type="dxa"/>
                </w:tcPr>
                <w:p w:rsidRPr="003C684F" w:rsidR="009730C1" w:rsidRDefault="00A315B9" w14:paraId="661EAA5C" w14:textId="77777777">
                  <w:pPr>
                    <w:rPr>
                      <w:rFonts w:ascii="宋体" w:cs="Times New Roman"/>
                    </w:rPr>
                  </w:pPr>
                  <w:r w:rsidRPr="003C684F">
                    <w:rPr>
                      <w:rFonts w:hint="eastAsia" w:ascii="宋体" w:cs="Times New Roman"/>
                    </w:rPr>
                    <w:t>一、索拉非尼…………………………………………………………………………………</w:t>
                  </w:r>
                </w:p>
                <w:p w:rsidRPr="003C684F" w:rsidR="009730C1" w:rsidRDefault="00A315B9" w14:paraId="417A79DE" w14:textId="77777777">
                  <w:pPr>
                    <w:rPr>
                      <w:rFonts w:ascii="宋体" w:cs="Times New Roman"/>
                    </w:rPr>
                  </w:pPr>
                  <w:r w:rsidRPr="003C684F">
                    <w:rPr>
                      <w:rFonts w:hint="eastAsia" w:ascii="宋体" w:cs="Times New Roman"/>
                    </w:rPr>
                    <w:t>二、舒尼替尼…………………………………………………………………………………</w:t>
                  </w:r>
                </w:p>
                <w:p w:rsidRPr="003C684F" w:rsidR="009730C1" w:rsidRDefault="00A315B9" w14:paraId="12A20973" w14:textId="77777777">
                  <w:pPr>
                    <w:rPr>
                      <w:rFonts w:ascii="宋体" w:cs="Times New Roman"/>
                    </w:rPr>
                  </w:pPr>
                  <w:r w:rsidRPr="003C684F">
                    <w:rPr>
                      <w:rFonts w:hint="eastAsia" w:ascii="宋体" w:cs="Times New Roman"/>
                    </w:rPr>
                    <w:t>三、培唑帕尼…………………………………………………………………………………</w:t>
                  </w:r>
                </w:p>
                <w:p w:rsidRPr="003C684F" w:rsidR="009730C1" w:rsidRDefault="00A315B9" w14:paraId="6D514569" w14:textId="77777777">
                  <w:pPr>
                    <w:rPr>
                      <w:rFonts w:ascii="宋体" w:cs="Times New Roman"/>
                    </w:rPr>
                  </w:pPr>
                  <w:r w:rsidRPr="003C684F">
                    <w:rPr>
                      <w:rFonts w:hint="eastAsia" w:ascii="宋体" w:cs="Times New Roman"/>
                    </w:rPr>
                    <w:t>四、阿昔替尼…………………………………………………………………………………</w:t>
                  </w:r>
                </w:p>
                <w:p w:rsidRPr="003C684F" w:rsidR="009730C1" w:rsidRDefault="00A315B9" w14:paraId="61E0B5AB" w14:textId="77777777">
                  <w:pPr>
                    <w:rPr>
                      <w:rFonts w:ascii="宋体" w:cs="Times New Roman"/>
                    </w:rPr>
                  </w:pPr>
                  <w:r w:rsidRPr="003C684F">
                    <w:rPr>
                      <w:rFonts w:hint="eastAsia" w:ascii="宋体" w:cs="Times New Roman"/>
                    </w:rPr>
                    <w:t>五、依维莫司…………………………………………………………………………………</w:t>
                  </w:r>
                </w:p>
                <w:p w:rsidRPr="003C684F" w:rsidR="009730C1" w:rsidRDefault="00A315B9" w14:paraId="04A649F3" w14:textId="77777777">
                  <w:pPr>
                    <w:rPr>
                      <w:rFonts w:ascii="宋体" w:cs="Times New Roman"/>
                    </w:rPr>
                  </w:pPr>
                  <w:r w:rsidRPr="003C684F">
                    <w:rPr>
                      <w:rFonts w:hint="eastAsia" w:ascii="宋体" w:cs="Times New Roman"/>
                    </w:rPr>
                    <w:t>六、替雷利珠单抗……………………………………………………………………………</w:t>
                  </w:r>
                </w:p>
                <w:p w:rsidRPr="003C684F" w:rsidR="009730C1" w:rsidRDefault="00DE5287" w14:paraId="7A6FA72C" w14:textId="77777777">
                  <w:pPr>
                    <w:rPr>
                      <w:rFonts w:ascii="宋体" w:cs="Times New Roman"/>
                    </w:rPr>
                  </w:pPr>
                  <w:r w:rsidRPr="003C684F">
                    <w:rPr>
                      <w:rFonts w:hint="eastAsia" w:ascii="宋体" w:cs="Times New Roman"/>
                    </w:rPr>
                    <w:t>七</w:t>
                  </w:r>
                  <w:r w:rsidRPr="003C684F" w:rsidR="00A315B9">
                    <w:rPr>
                      <w:rFonts w:hint="eastAsia" w:ascii="宋体" w:cs="Times New Roman"/>
                    </w:rPr>
                    <w:t>、特瑞普利单抗……………………………………………………………………………</w:t>
                  </w:r>
                </w:p>
                <w:p w:rsidRPr="003C684F" w:rsidR="009730C1" w:rsidRDefault="00DE5287" w14:paraId="286D3028" w14:textId="77777777">
                  <w:pPr>
                    <w:rPr>
                      <w:rFonts w:ascii="宋体" w:cs="Times New Roman"/>
                    </w:rPr>
                  </w:pPr>
                  <w:r w:rsidRPr="003C684F">
                    <w:rPr>
                      <w:rFonts w:hint="eastAsia" w:ascii="宋体" w:cs="Times New Roman"/>
                    </w:rPr>
                    <w:t>八</w:t>
                  </w:r>
                  <w:r w:rsidRPr="003C684F" w:rsidR="00A315B9">
                    <w:rPr>
                      <w:rFonts w:hint="eastAsia" w:ascii="宋体" w:cs="Times New Roman"/>
                    </w:rPr>
                    <w:t>、维迪西妥单抗…………………………………………………………………………</w:t>
                  </w:r>
                  <w:r w:rsidRPr="003C684F" w:rsidR="00753077">
                    <w:rPr>
                      <w:rFonts w:hint="eastAsia" w:ascii="宋体" w:cs="Times New Roman"/>
                    </w:rPr>
                    <w:t>…</w:t>
                  </w:r>
                </w:p>
                <w:p w:rsidRPr="003C684F" w:rsidR="009730C1" w:rsidRDefault="00DE5287" w14:paraId="7FDD3B08" w14:textId="77777777">
                  <w:pPr>
                    <w:rPr>
                      <w:rFonts w:ascii="宋体" w:cs="Times New Roman"/>
                    </w:rPr>
                  </w:pPr>
                  <w:r w:rsidRPr="003C684F">
                    <w:rPr>
                      <w:rFonts w:hint="eastAsia" w:ascii="宋体" w:cs="Times New Roman"/>
                    </w:rPr>
                    <w:t>九</w:t>
                  </w:r>
                  <w:r w:rsidRPr="003C684F" w:rsidR="00A315B9">
                    <w:rPr>
                      <w:rFonts w:hint="eastAsia" w:ascii="宋体" w:cs="Times New Roman"/>
                    </w:rPr>
                    <w:t>、阿比特龙………………………………………………………………………………</w:t>
                  </w:r>
                  <w:r w:rsidRPr="003C684F" w:rsidR="00753077">
                    <w:rPr>
                      <w:rFonts w:hint="eastAsia" w:ascii="宋体" w:cs="Times New Roman"/>
                    </w:rPr>
                    <w:t>…</w:t>
                  </w:r>
                </w:p>
                <w:p w:rsidRPr="003C684F" w:rsidR="009730C1" w:rsidRDefault="00A315B9" w14:paraId="652E8D34" w14:textId="77777777">
                  <w:pPr>
                    <w:rPr>
                      <w:rFonts w:ascii="宋体" w:cs="Times New Roman"/>
                    </w:rPr>
                  </w:pPr>
                  <w:r w:rsidRPr="003C684F">
                    <w:rPr>
                      <w:rFonts w:hint="eastAsia" w:ascii="宋体" w:cs="Times New Roman"/>
                    </w:rPr>
                    <w:t>十、阿帕他胺………………………………………………………………………………</w:t>
                  </w:r>
                  <w:r w:rsidRPr="003C684F" w:rsidR="00753077">
                    <w:rPr>
                      <w:rFonts w:hint="eastAsia" w:ascii="宋体" w:cs="Times New Roman"/>
                    </w:rPr>
                    <w:t>…</w:t>
                  </w:r>
                </w:p>
                <w:p w:rsidRPr="003C684F" w:rsidR="009730C1" w:rsidRDefault="00A315B9" w14:paraId="45EBE1ED" w14:textId="77777777">
                  <w:pPr>
                    <w:rPr>
                      <w:rFonts w:ascii="宋体" w:cs="Times New Roman"/>
                    </w:rPr>
                  </w:pPr>
                  <w:r w:rsidRPr="003C684F">
                    <w:rPr>
                      <w:rFonts w:hint="eastAsia" w:ascii="宋体" w:cs="Times New Roman"/>
                    </w:rPr>
                    <w:t>十</w:t>
                  </w:r>
                  <w:r w:rsidRPr="003C684F" w:rsidR="00DE5287">
                    <w:rPr>
                      <w:rFonts w:hint="eastAsia" w:ascii="宋体" w:cs="Times New Roman"/>
                    </w:rPr>
                    <w:t>一</w:t>
                  </w:r>
                  <w:r w:rsidRPr="003C684F">
                    <w:rPr>
                      <w:rFonts w:hint="eastAsia" w:ascii="宋体" w:cs="Times New Roman"/>
                    </w:rPr>
                    <w:t>、恩扎</w:t>
                  </w:r>
                  <w:r w:rsidRPr="003C684F" w:rsidR="00742AC3">
                    <w:rPr>
                      <w:rFonts w:hint="eastAsia" w:ascii="宋体" w:cs="Times New Roman"/>
                    </w:rPr>
                    <w:t>卢</w:t>
                  </w:r>
                  <w:r w:rsidRPr="003C684F">
                    <w:rPr>
                      <w:rFonts w:hint="eastAsia" w:ascii="宋体" w:cs="Times New Roman"/>
                    </w:rPr>
                    <w:t>胺………………………………………………………………………………</w:t>
                  </w:r>
                </w:p>
                <w:p w:rsidRPr="003C684F" w:rsidR="009730C1" w:rsidRDefault="00A315B9" w14:paraId="0547195E" w14:textId="77777777">
                  <w:pPr>
                    <w:rPr>
                      <w:rFonts w:ascii="宋体" w:cs="Times New Roman"/>
                    </w:rPr>
                  </w:pPr>
                  <w:r w:rsidRPr="003C684F">
                    <w:rPr>
                      <w:rFonts w:hint="eastAsia" w:ascii="宋体" w:cs="Times New Roman"/>
                    </w:rPr>
                    <w:t>十</w:t>
                  </w:r>
                  <w:r w:rsidRPr="003C684F" w:rsidR="00DE5287">
                    <w:rPr>
                      <w:rFonts w:hint="eastAsia" w:ascii="宋体" w:cs="Times New Roman"/>
                    </w:rPr>
                    <w:t>二</w:t>
                  </w:r>
                  <w:r w:rsidRPr="003C684F">
                    <w:rPr>
                      <w:rFonts w:hint="eastAsia" w:ascii="宋体" w:cs="Times New Roman"/>
                    </w:rPr>
                    <w:t>、达罗他胺………………………………………………………………………………</w:t>
                  </w:r>
                </w:p>
                <w:p w:rsidRPr="003C684F" w:rsidR="009730C1" w:rsidRDefault="00A315B9" w14:paraId="13A4DD94" w14:textId="77777777">
                  <w:pPr>
                    <w:rPr>
                      <w:rFonts w:ascii="宋体" w:cs="Times New Roman"/>
                    </w:rPr>
                  </w:pPr>
                  <w:r w:rsidRPr="003C684F">
                    <w:rPr>
                      <w:rFonts w:hint="eastAsia" w:ascii="宋体" w:cs="Times New Roman"/>
                    </w:rPr>
                    <w:t>十</w:t>
                  </w:r>
                  <w:r w:rsidRPr="003C684F" w:rsidR="00DE5287">
                    <w:rPr>
                      <w:rFonts w:hint="eastAsia" w:ascii="宋体" w:cs="Times New Roman"/>
                    </w:rPr>
                    <w:t>三</w:t>
                  </w:r>
                  <w:r w:rsidRPr="003C684F">
                    <w:rPr>
                      <w:rFonts w:hint="eastAsia" w:ascii="宋体" w:cs="Times New Roman"/>
                    </w:rPr>
                    <w:t>、瑞维鲁胺………………………………………………………………………………</w:t>
                  </w:r>
                </w:p>
                <w:p w:rsidRPr="003C684F" w:rsidR="009730C1" w:rsidRDefault="00A315B9" w14:paraId="36D5339C" w14:textId="77777777">
                  <w:pPr>
                    <w:rPr>
                      <w:rFonts w:ascii="宋体" w:cs="Times New Roman"/>
                    </w:rPr>
                  </w:pPr>
                  <w:r w:rsidRPr="003C684F">
                    <w:rPr>
                      <w:rFonts w:hint="eastAsia" w:ascii="宋体" w:cs="Times New Roman"/>
                    </w:rPr>
                    <w:t>十</w:t>
                  </w:r>
                  <w:r w:rsidRPr="003C684F" w:rsidR="00DE5287">
                    <w:rPr>
                      <w:rFonts w:hint="eastAsia" w:ascii="宋体" w:cs="Times New Roman"/>
                    </w:rPr>
                    <w:t>四</w:t>
                  </w:r>
                  <w:r w:rsidRPr="003C684F">
                    <w:rPr>
                      <w:rFonts w:hint="eastAsia" w:ascii="宋体" w:cs="Times New Roman"/>
                    </w:rPr>
                    <w:t>、奥拉帕利………………………………………………………………………………</w:t>
                  </w:r>
                </w:p>
                <w:p w:rsidRPr="003C684F" w:rsidR="00D004BC" w:rsidP="00D004BC" w:rsidRDefault="000C259D" w14:paraId="6A386430" w14:textId="0F39F01D">
                  <w:pPr>
                    <w:rPr>
                      <w:rFonts w:ascii="宋体" w:cs="Times New Roman"/>
                    </w:rPr>
                  </w:pPr>
                  <w:r w:rsidRPr="003C684F">
                    <w:rPr>
                      <w:rFonts w:hint="eastAsia" w:ascii="宋体" w:cs="Times New Roman"/>
                    </w:rPr>
                    <w:t>十</w:t>
                  </w:r>
                  <w:r w:rsidRPr="003C684F" w:rsidR="00E73FEE">
                    <w:rPr>
                      <w:rFonts w:hint="eastAsia" w:ascii="宋体" w:cs="Times New Roman"/>
                    </w:rPr>
                    <w:t>五</w:t>
                  </w:r>
                  <w:r w:rsidRPr="003C684F">
                    <w:rPr>
                      <w:rFonts w:hint="eastAsia" w:ascii="宋体" w:cs="Times New Roman"/>
                    </w:rPr>
                    <w:t>、仑伐替尼</w:t>
                  </w:r>
                  <w:r w:rsidRPr="003C684F" w:rsidR="00D004BC">
                    <w:rPr>
                      <w:rFonts w:hint="eastAsia" w:ascii="宋体" w:cs="Times New Roman"/>
                    </w:rPr>
                    <w:t>………………………………………………………………………………</w:t>
                  </w:r>
                </w:p>
                <w:p w:rsidRPr="003C684F" w:rsidR="00D004BC" w:rsidP="00D004BC" w:rsidRDefault="000C259D" w14:paraId="10687F33" w14:textId="43B3E540">
                  <w:pPr>
                    <w:rPr>
                      <w:rFonts w:ascii="宋体" w:cs="Times New Roman"/>
                    </w:rPr>
                  </w:pPr>
                  <w:r w:rsidRPr="003C684F">
                    <w:rPr>
                      <w:rFonts w:hint="eastAsia" w:ascii="宋体" w:cs="Times New Roman"/>
                    </w:rPr>
                    <w:t>十</w:t>
                  </w:r>
                  <w:r w:rsidRPr="003C684F" w:rsidR="00E73FEE">
                    <w:rPr>
                      <w:rFonts w:hint="eastAsia" w:ascii="宋体" w:cs="Times New Roman"/>
                    </w:rPr>
                    <w:t>六</w:t>
                  </w:r>
                  <w:r w:rsidRPr="003C684F">
                    <w:rPr>
                      <w:rFonts w:hint="eastAsia" w:ascii="宋体" w:cs="Times New Roman"/>
                    </w:rPr>
                    <w:t>、纳武利尤单抗…………………………………………</w:t>
                  </w:r>
                  <w:r w:rsidRPr="003C684F" w:rsidR="00D004BC">
                    <w:rPr>
                      <w:rFonts w:hint="eastAsia" w:ascii="宋体" w:cs="Times New Roman"/>
                    </w:rPr>
                    <w:t>………………………………</w:t>
                  </w:r>
                </w:p>
                <w:p w:rsidRPr="003C684F" w:rsidR="00D004BC" w:rsidP="00E73FEE" w:rsidRDefault="000C259D" w14:paraId="2C29AE08" w14:textId="1CC2A1B5">
                  <w:pPr>
                    <w:rPr>
                      <w:rFonts w:ascii="宋体" w:cs="Times New Roman"/>
                    </w:rPr>
                  </w:pPr>
                  <w:r w:rsidRPr="003C684F">
                    <w:rPr>
                      <w:rFonts w:hint="eastAsia" w:ascii="宋体" w:cs="Times New Roman"/>
                    </w:rPr>
                    <w:t>十</w:t>
                  </w:r>
                  <w:r w:rsidRPr="003C684F" w:rsidR="00E73FEE">
                    <w:rPr>
                      <w:rFonts w:hint="eastAsia" w:ascii="宋体" w:cs="Times New Roman"/>
                    </w:rPr>
                    <w:t>七</w:t>
                  </w:r>
                  <w:r w:rsidRPr="003C684F" w:rsidR="00D004BC">
                    <w:rPr>
                      <w:rFonts w:hint="eastAsia" w:ascii="宋体" w:cs="Times New Roman"/>
                    </w:rPr>
                    <w:t>、帕博利珠单抗</w:t>
                  </w:r>
                  <w:r w:rsidRPr="003C684F">
                    <w:rPr>
                      <w:rFonts w:hint="eastAsia" w:ascii="宋体" w:cs="Times New Roman"/>
                    </w:rPr>
                    <w:t>…………………………………………………………………………</w:t>
                  </w:r>
                </w:p>
              </w:tc>
              <w:tc>
                <w:tcPr>
                  <w:tcW w:w="602" w:type="dxa"/>
                </w:tcPr>
                <w:p w:rsidRPr="003C684F" w:rsidR="009730C1" w:rsidRDefault="00A315B9" w14:paraId="560631E3" w14:textId="77777777">
                  <w:pPr>
                    <w:rPr>
                      <w:rFonts w:ascii="宋体" w:hAnsi="宋体" w:cs="宋体"/>
                    </w:rPr>
                  </w:pPr>
                  <w:r w:rsidRPr="003C684F">
                    <w:rPr>
                      <w:rFonts w:hint="eastAsia" w:ascii="宋体" w:hAnsi="宋体" w:cs="宋体"/>
                    </w:rPr>
                    <w:t>122</w:t>
                  </w:r>
                </w:p>
                <w:p w:rsidRPr="003C684F" w:rsidR="009730C1" w:rsidRDefault="00A315B9" w14:paraId="46B4A828" w14:textId="77777777">
                  <w:pPr>
                    <w:rPr>
                      <w:rFonts w:ascii="宋体" w:hAnsi="宋体" w:cs="宋体"/>
                    </w:rPr>
                  </w:pPr>
                  <w:r w:rsidRPr="003C684F">
                    <w:rPr>
                      <w:rFonts w:hint="eastAsia" w:ascii="宋体" w:hAnsi="宋体" w:cs="宋体"/>
                    </w:rPr>
                    <w:t>123</w:t>
                  </w:r>
                </w:p>
                <w:p w:rsidRPr="003C684F" w:rsidR="009730C1" w:rsidRDefault="00A315B9" w14:paraId="1BA3E671" w14:textId="77777777">
                  <w:pPr>
                    <w:rPr>
                      <w:rFonts w:ascii="宋体" w:hAnsi="宋体" w:cs="宋体"/>
                    </w:rPr>
                  </w:pPr>
                  <w:r w:rsidRPr="003C684F">
                    <w:rPr>
                      <w:rFonts w:hint="eastAsia" w:ascii="宋体" w:hAnsi="宋体" w:cs="宋体"/>
                    </w:rPr>
                    <w:t>124</w:t>
                  </w:r>
                </w:p>
                <w:p w:rsidRPr="003C684F" w:rsidR="009730C1" w:rsidRDefault="00A315B9" w14:paraId="79CC43B4" w14:textId="77777777">
                  <w:pPr>
                    <w:rPr>
                      <w:rFonts w:ascii="宋体" w:hAnsi="宋体" w:cs="宋体"/>
                    </w:rPr>
                  </w:pPr>
                  <w:r w:rsidRPr="003C684F">
                    <w:rPr>
                      <w:rFonts w:hint="eastAsia" w:ascii="宋体" w:hAnsi="宋体" w:cs="宋体"/>
                    </w:rPr>
                    <w:t>126</w:t>
                  </w:r>
                </w:p>
                <w:p w:rsidRPr="003C684F" w:rsidR="009730C1" w:rsidRDefault="00A315B9" w14:paraId="2C4E5B9C" w14:textId="77777777">
                  <w:pPr>
                    <w:rPr>
                      <w:rFonts w:ascii="宋体" w:hAnsi="宋体" w:cs="宋体"/>
                    </w:rPr>
                  </w:pPr>
                  <w:r w:rsidRPr="003C684F">
                    <w:rPr>
                      <w:rFonts w:hint="eastAsia" w:ascii="宋体" w:hAnsi="宋体" w:cs="宋体"/>
                    </w:rPr>
                    <w:t>128</w:t>
                  </w:r>
                </w:p>
                <w:p w:rsidRPr="003C684F" w:rsidR="009730C1" w:rsidRDefault="00A315B9" w14:paraId="551D3607" w14:textId="77777777">
                  <w:pPr>
                    <w:rPr>
                      <w:rFonts w:ascii="宋体" w:hAnsi="宋体" w:cs="宋体"/>
                    </w:rPr>
                  </w:pPr>
                  <w:r w:rsidRPr="003C684F">
                    <w:rPr>
                      <w:rFonts w:hint="eastAsia" w:ascii="宋体" w:hAnsi="宋体" w:cs="宋体"/>
                    </w:rPr>
                    <w:t>129</w:t>
                  </w:r>
                </w:p>
                <w:p w:rsidRPr="003C684F" w:rsidR="009730C1" w:rsidRDefault="00A315B9" w14:paraId="5CAE99E3" w14:textId="77777777">
                  <w:pPr>
                    <w:rPr>
                      <w:rFonts w:ascii="宋体" w:cs="Times New Roman"/>
                    </w:rPr>
                  </w:pPr>
                  <w:r w:rsidRPr="003C684F">
                    <w:rPr>
                      <w:rFonts w:hint="eastAsia" w:ascii="宋体" w:hAnsi="宋体" w:cs="宋体"/>
                    </w:rPr>
                    <w:t>131</w:t>
                  </w:r>
                </w:p>
              </w:tc>
            </w:tr>
          </w:tbl>
          <w:p w:rsidRPr="003C684F" w:rsidR="009730C1" w:rsidRDefault="00A315B9" w14:paraId="42A58E71" w14:textId="77777777">
            <w:pPr>
              <w:spacing w:line="360" w:lineRule="auto"/>
              <w:ind w:firstLine="105" w:firstLineChars="50"/>
              <w:rPr>
                <w:rFonts w:ascii="宋体" w:cs="Times New Roman"/>
                <w:b/>
                <w:bCs/>
              </w:rPr>
            </w:pPr>
            <w:r w:rsidRPr="003C684F">
              <w:rPr>
                <w:rFonts w:hint="eastAsia" w:ascii="宋体" w:hAnsi="宋体" w:cs="宋体"/>
                <w:b/>
                <w:bCs/>
              </w:rPr>
              <w:t>乳腺癌用药</w:t>
            </w:r>
          </w:p>
          <w:tbl>
            <w:tblPr>
              <w:tblW w:w="8578" w:type="dxa"/>
              <w:tblLayout w:type="fixed"/>
              <w:tblLook w:val="04A0" w:firstRow="1" w:lastRow="0" w:firstColumn="1" w:lastColumn="0" w:noHBand="0" w:noVBand="1"/>
            </w:tblPr>
            <w:tblGrid>
              <w:gridCol w:w="7976"/>
              <w:gridCol w:w="602"/>
            </w:tblGrid>
            <w:tr w:rsidRPr="003C684F" w:rsidR="009730C1" w14:paraId="24CB0593" w14:textId="77777777">
              <w:trPr>
                <w:trHeight w:val="285"/>
              </w:trPr>
              <w:tc>
                <w:tcPr>
                  <w:tcW w:w="7976" w:type="dxa"/>
                </w:tcPr>
                <w:p w:rsidRPr="003C684F" w:rsidR="009730C1" w:rsidRDefault="00A315B9" w14:paraId="64564BB5" w14:textId="77777777">
                  <w:pPr>
                    <w:rPr>
                      <w:rFonts w:ascii="宋体" w:cs="宋体"/>
                    </w:rPr>
                  </w:pPr>
                  <w:r w:rsidRPr="003C684F">
                    <w:rPr>
                      <w:rFonts w:hint="eastAsia" w:ascii="宋体" w:hAnsi="宋体" w:cs="宋体"/>
                    </w:rPr>
                    <w:t>一、曲妥珠单抗</w:t>
                  </w:r>
                  <w:r w:rsidRPr="003C684F">
                    <w:rPr>
                      <w:rFonts w:hint="eastAsia" w:ascii="宋体" w:cs="宋体"/>
                    </w:rPr>
                    <w:t>………………………………………………………………………………</w:t>
                  </w:r>
                </w:p>
                <w:p w:rsidRPr="003C684F" w:rsidR="009730C1" w:rsidRDefault="00A315B9" w14:paraId="5DA3439B" w14:textId="77777777">
                  <w:pPr>
                    <w:rPr>
                      <w:rFonts w:ascii="宋体" w:cs="宋体"/>
                    </w:rPr>
                  </w:pPr>
                  <w:r w:rsidRPr="003C684F">
                    <w:rPr>
                      <w:rFonts w:hint="eastAsia" w:ascii="宋体" w:hAnsi="宋体" w:cs="宋体"/>
                    </w:rPr>
                    <w:t>二、恩美曲妥珠单抗</w:t>
                  </w:r>
                  <w:r w:rsidRPr="003C684F">
                    <w:rPr>
                      <w:rFonts w:hint="eastAsia" w:ascii="宋体" w:cs="宋体"/>
                    </w:rPr>
                    <w:t>…………………………………………………………………………</w:t>
                  </w:r>
                </w:p>
                <w:p w:rsidRPr="003C684F" w:rsidR="009730C1" w:rsidRDefault="00A315B9" w14:paraId="5B657DE1" w14:textId="77777777">
                  <w:pPr>
                    <w:rPr>
                      <w:rFonts w:ascii="宋体" w:cs="宋体"/>
                    </w:rPr>
                  </w:pPr>
                  <w:r w:rsidRPr="003C684F">
                    <w:rPr>
                      <w:rFonts w:hint="eastAsia" w:ascii="宋体" w:cs="Times New Roman"/>
                    </w:rPr>
                    <w:t>三、帕妥珠单抗</w:t>
                  </w:r>
                  <w:r w:rsidRPr="003C684F">
                    <w:rPr>
                      <w:rFonts w:hint="eastAsia" w:ascii="宋体" w:cs="宋体"/>
                    </w:rPr>
                    <w:t>………………………………………………………………………………</w:t>
                  </w:r>
                </w:p>
                <w:p w:rsidRPr="003C684F" w:rsidR="009730C1" w:rsidRDefault="00A315B9" w14:paraId="5F9B0225" w14:textId="77777777">
                  <w:pPr>
                    <w:rPr>
                      <w:rFonts w:ascii="宋体" w:cs="Times New Roman"/>
                    </w:rPr>
                  </w:pPr>
                  <w:r w:rsidRPr="003C684F">
                    <w:rPr>
                      <w:rFonts w:hint="eastAsia" w:ascii="宋体" w:cs="Times New Roman"/>
                    </w:rPr>
                    <w:t>四、伊尼妥单抗</w:t>
                  </w:r>
                  <w:r w:rsidRPr="003C684F">
                    <w:rPr>
                      <w:rFonts w:hint="eastAsia" w:ascii="宋体" w:cs="宋体"/>
                    </w:rPr>
                    <w:t>………………………………………………………………………………</w:t>
                  </w:r>
                </w:p>
              </w:tc>
              <w:tc>
                <w:tcPr>
                  <w:tcW w:w="602" w:type="dxa"/>
                </w:tcPr>
                <w:p w:rsidRPr="003C684F" w:rsidR="009730C1" w:rsidRDefault="00A315B9" w14:paraId="58AE2460" w14:textId="77777777">
                  <w:pPr>
                    <w:rPr>
                      <w:rFonts w:ascii="宋体" w:hAnsi="宋体" w:cs="宋体"/>
                    </w:rPr>
                  </w:pPr>
                  <w:r w:rsidRPr="003C684F">
                    <w:rPr>
                      <w:rFonts w:hint="eastAsia" w:ascii="宋体" w:hAnsi="宋体" w:cs="宋体"/>
                    </w:rPr>
                    <w:t>132</w:t>
                  </w:r>
                </w:p>
                <w:p w:rsidRPr="003C684F" w:rsidR="009730C1" w:rsidRDefault="00A315B9" w14:paraId="2BB65609" w14:textId="77777777">
                  <w:pPr>
                    <w:rPr>
                      <w:rFonts w:ascii="宋体" w:hAnsi="宋体" w:cs="宋体"/>
                    </w:rPr>
                  </w:pPr>
                  <w:r w:rsidRPr="003C684F">
                    <w:rPr>
                      <w:rFonts w:hint="eastAsia" w:ascii="宋体" w:hAnsi="宋体" w:cs="宋体"/>
                    </w:rPr>
                    <w:t>134</w:t>
                  </w:r>
                </w:p>
                <w:p w:rsidRPr="003C684F" w:rsidR="009730C1" w:rsidRDefault="00A315B9" w14:paraId="0D0F64F9" w14:textId="77777777">
                  <w:pPr>
                    <w:rPr>
                      <w:rFonts w:ascii="宋体" w:hAnsi="宋体" w:cs="宋体"/>
                    </w:rPr>
                  </w:pPr>
                  <w:r w:rsidRPr="003C684F">
                    <w:rPr>
                      <w:rFonts w:hint="eastAsia" w:ascii="宋体" w:hAnsi="宋体" w:cs="宋体"/>
                    </w:rPr>
                    <w:t>137</w:t>
                  </w:r>
                </w:p>
                <w:p w:rsidRPr="003C684F" w:rsidR="009730C1" w:rsidRDefault="00A315B9" w14:paraId="22A165CC" w14:textId="77777777">
                  <w:pPr>
                    <w:rPr>
                      <w:rFonts w:ascii="宋体" w:cs="Times New Roman"/>
                    </w:rPr>
                  </w:pPr>
                  <w:r w:rsidRPr="003C684F">
                    <w:rPr>
                      <w:rFonts w:hint="eastAsia" w:ascii="宋体" w:hAnsi="宋体" w:cs="宋体"/>
                    </w:rPr>
                    <w:t>140</w:t>
                  </w:r>
                </w:p>
              </w:tc>
            </w:tr>
            <w:tr w:rsidRPr="003C684F" w:rsidR="009730C1" w14:paraId="0133AE1C" w14:textId="77777777">
              <w:trPr>
                <w:trHeight w:val="195"/>
              </w:trPr>
              <w:tc>
                <w:tcPr>
                  <w:tcW w:w="7976" w:type="dxa"/>
                </w:tcPr>
                <w:p w:rsidRPr="003C684F" w:rsidR="009730C1" w:rsidRDefault="00A315B9" w14:paraId="1BA1904D" w14:textId="77777777">
                  <w:pPr>
                    <w:rPr>
                      <w:rFonts w:ascii="宋体" w:cs="宋体"/>
                    </w:rPr>
                  </w:pPr>
                  <w:r w:rsidRPr="003C684F">
                    <w:rPr>
                      <w:rFonts w:hint="eastAsia" w:ascii="宋体" w:hAnsi="宋体" w:cs="宋体"/>
                    </w:rPr>
                    <w:t>五、拉帕替尼</w:t>
                  </w:r>
                  <w:r w:rsidRPr="003C684F">
                    <w:rPr>
                      <w:rFonts w:hint="eastAsia" w:ascii="宋体" w:cs="宋体"/>
                    </w:rPr>
                    <w:t>…………………………………………………………………………………</w:t>
                  </w:r>
                </w:p>
                <w:p w:rsidRPr="003C684F" w:rsidR="009730C1" w:rsidRDefault="00A315B9" w14:paraId="2029A0C8" w14:textId="77777777">
                  <w:pPr>
                    <w:rPr>
                      <w:rFonts w:ascii="宋体" w:cs="宋体"/>
                    </w:rPr>
                  </w:pPr>
                  <w:r w:rsidRPr="003C684F">
                    <w:rPr>
                      <w:rFonts w:hint="eastAsia" w:ascii="宋体" w:cs="Times New Roman"/>
                    </w:rPr>
                    <w:t>六、吡咯替尼</w:t>
                  </w:r>
                  <w:r w:rsidRPr="003C684F">
                    <w:rPr>
                      <w:rFonts w:hint="eastAsia" w:ascii="宋体" w:cs="宋体"/>
                    </w:rPr>
                    <w:t>…………………………………………………………………………………</w:t>
                  </w:r>
                </w:p>
                <w:p w:rsidRPr="003C684F" w:rsidR="009730C1" w:rsidRDefault="00A315B9" w14:paraId="7809E514" w14:textId="77777777">
                  <w:pPr>
                    <w:rPr>
                      <w:rFonts w:ascii="宋体" w:cs="宋体"/>
                    </w:rPr>
                  </w:pPr>
                  <w:r w:rsidRPr="003C684F">
                    <w:rPr>
                      <w:rFonts w:hint="eastAsia" w:ascii="宋体" w:cs="Times New Roman"/>
                    </w:rPr>
                    <w:t>七、奈拉替尼</w:t>
                  </w:r>
                  <w:r w:rsidRPr="003C684F">
                    <w:rPr>
                      <w:rFonts w:hint="eastAsia" w:ascii="宋体" w:cs="宋体"/>
                    </w:rPr>
                    <w:t>…………………………………………………………………………………</w:t>
                  </w:r>
                </w:p>
                <w:p w:rsidRPr="003C684F" w:rsidR="009730C1" w:rsidRDefault="00A315B9" w14:paraId="2EA63AF6" w14:textId="77777777">
                  <w:pPr>
                    <w:rPr>
                      <w:rFonts w:ascii="宋体" w:cs="宋体"/>
                    </w:rPr>
                  </w:pPr>
                  <w:r w:rsidRPr="003C684F">
                    <w:rPr>
                      <w:rFonts w:hint="eastAsia" w:ascii="宋体" w:cs="Times New Roman"/>
                    </w:rPr>
                    <w:t>八、哌柏西利</w:t>
                  </w:r>
                  <w:r w:rsidRPr="003C684F">
                    <w:rPr>
                      <w:rFonts w:hint="eastAsia" w:ascii="宋体" w:cs="宋体"/>
                    </w:rPr>
                    <w:t>…………………………………………………………………………………</w:t>
                  </w:r>
                </w:p>
                <w:p w:rsidRPr="003C684F" w:rsidR="009730C1" w:rsidRDefault="00A315B9" w14:paraId="3A30AB3C" w14:textId="77777777">
                  <w:pPr>
                    <w:rPr>
                      <w:rFonts w:ascii="宋体" w:cs="宋体"/>
                    </w:rPr>
                  </w:pPr>
                  <w:r w:rsidRPr="003C684F">
                    <w:rPr>
                      <w:rFonts w:hint="eastAsia" w:ascii="宋体" w:cs="宋体"/>
                    </w:rPr>
                    <w:lastRenderedPageBreak/>
                    <w:t>九、阿贝西利…………………………………………………………………………………</w:t>
                  </w:r>
                </w:p>
                <w:p w:rsidRPr="003C684F" w:rsidR="009730C1" w:rsidRDefault="00A315B9" w14:paraId="7825FBA7" w14:textId="77777777">
                  <w:pPr>
                    <w:rPr>
                      <w:rFonts w:ascii="宋体" w:cs="宋体"/>
                    </w:rPr>
                  </w:pPr>
                  <w:r w:rsidRPr="003C684F">
                    <w:rPr>
                      <w:rFonts w:hint="eastAsia" w:ascii="宋体" w:cs="宋体"/>
                    </w:rPr>
                    <w:t>十、西达本胺…………………………………………………………………………………</w:t>
                  </w:r>
                </w:p>
                <w:p w:rsidRPr="003C684F" w:rsidR="009730C1" w:rsidRDefault="00A315B9" w14:paraId="64343438" w14:textId="77777777">
                  <w:pPr>
                    <w:rPr>
                      <w:rFonts w:ascii="宋体" w:cs="宋体"/>
                    </w:rPr>
                  </w:pPr>
                  <w:r w:rsidRPr="003C684F">
                    <w:rPr>
                      <w:rFonts w:hint="eastAsia" w:ascii="宋体" w:cs="宋体"/>
                    </w:rPr>
                    <w:t>十一、达尔西利………………………………………………………………………………</w:t>
                  </w:r>
                </w:p>
                <w:p w:rsidRPr="003C684F" w:rsidR="009730C1" w:rsidRDefault="00A315B9" w14:paraId="41C4409B" w14:textId="77777777">
                  <w:pPr>
                    <w:rPr>
                      <w:rFonts w:ascii="宋体" w:cs="宋体"/>
                    </w:rPr>
                  </w:pPr>
                  <w:r w:rsidRPr="003C684F">
                    <w:rPr>
                      <w:rFonts w:hint="eastAsia" w:ascii="宋体" w:cs="宋体"/>
                    </w:rPr>
                    <w:t>十二、依维莫司………………………………………………………………………………</w:t>
                  </w:r>
                </w:p>
                <w:p w:rsidRPr="003C684F" w:rsidR="009730C1" w:rsidP="00F83FDF" w:rsidRDefault="00A315B9" w14:paraId="20EF423E" w14:textId="33CBB304">
                  <w:pPr>
                    <w:rPr>
                      <w:rFonts w:ascii="宋体" w:cs="Times New Roman"/>
                    </w:rPr>
                  </w:pPr>
                  <w:r w:rsidRPr="003C684F">
                    <w:rPr>
                      <w:rFonts w:hint="eastAsia" w:ascii="宋体" w:cs="宋体"/>
                    </w:rPr>
                    <w:t>十三、戈沙妥</w:t>
                  </w:r>
                  <w:r w:rsidRPr="003C684F" w:rsidR="00F83FDF">
                    <w:rPr>
                      <w:rFonts w:hint="eastAsia" w:ascii="宋体" w:cs="宋体"/>
                    </w:rPr>
                    <w:t>珠</w:t>
                  </w:r>
                  <w:r w:rsidRPr="003C684F">
                    <w:rPr>
                      <w:rFonts w:hint="eastAsia" w:ascii="宋体" w:cs="宋体"/>
                    </w:rPr>
                    <w:t>单抗…………………………………………………………………………</w:t>
                  </w:r>
                </w:p>
              </w:tc>
              <w:tc>
                <w:tcPr>
                  <w:tcW w:w="602" w:type="dxa"/>
                </w:tcPr>
                <w:p w:rsidRPr="003C684F" w:rsidR="009730C1" w:rsidRDefault="00A315B9" w14:paraId="15CD0663" w14:textId="77777777">
                  <w:pPr>
                    <w:rPr>
                      <w:rFonts w:ascii="宋体" w:hAnsi="宋体" w:cs="宋体"/>
                    </w:rPr>
                  </w:pPr>
                  <w:r w:rsidRPr="003C684F">
                    <w:rPr>
                      <w:rFonts w:hint="eastAsia" w:ascii="宋体" w:hAnsi="宋体" w:cs="宋体"/>
                    </w:rPr>
                    <w:lastRenderedPageBreak/>
                    <w:t>141</w:t>
                  </w:r>
                </w:p>
                <w:p w:rsidRPr="003C684F" w:rsidR="009730C1" w:rsidRDefault="00A315B9" w14:paraId="757AD0D7" w14:textId="77777777">
                  <w:pPr>
                    <w:rPr>
                      <w:rFonts w:ascii="宋体" w:hAnsi="宋体" w:cs="宋体"/>
                    </w:rPr>
                  </w:pPr>
                  <w:r w:rsidRPr="003C684F">
                    <w:rPr>
                      <w:rFonts w:hint="eastAsia" w:ascii="宋体" w:hAnsi="宋体" w:cs="宋体"/>
                    </w:rPr>
                    <w:t>143</w:t>
                  </w:r>
                </w:p>
                <w:p w:rsidRPr="003C684F" w:rsidR="009730C1" w:rsidRDefault="00A315B9" w14:paraId="03AAAFE3" w14:textId="77777777">
                  <w:pPr>
                    <w:rPr>
                      <w:rFonts w:ascii="宋体" w:hAnsi="宋体" w:cs="宋体"/>
                    </w:rPr>
                  </w:pPr>
                  <w:r w:rsidRPr="003C684F">
                    <w:rPr>
                      <w:rFonts w:hint="eastAsia" w:ascii="宋体" w:hAnsi="宋体" w:cs="宋体"/>
                    </w:rPr>
                    <w:t>145</w:t>
                  </w:r>
                </w:p>
                <w:p w:rsidRPr="003C684F" w:rsidR="009730C1" w:rsidRDefault="00A315B9" w14:paraId="462A3A9B" w14:textId="77777777">
                  <w:pPr>
                    <w:rPr>
                      <w:rFonts w:ascii="宋体" w:hAnsi="宋体" w:cs="宋体"/>
                    </w:rPr>
                  </w:pPr>
                  <w:r w:rsidRPr="003C684F">
                    <w:rPr>
                      <w:rFonts w:hint="eastAsia" w:ascii="宋体" w:hAnsi="宋体" w:cs="宋体"/>
                    </w:rPr>
                    <w:t>146</w:t>
                  </w:r>
                </w:p>
                <w:p w:rsidRPr="003C684F" w:rsidR="009730C1" w:rsidRDefault="00A315B9" w14:paraId="5D172D6A" w14:textId="77777777">
                  <w:pPr>
                    <w:rPr>
                      <w:rFonts w:ascii="宋体" w:cs="Times New Roman"/>
                    </w:rPr>
                  </w:pPr>
                  <w:r w:rsidRPr="003C684F">
                    <w:rPr>
                      <w:rFonts w:hint="eastAsia" w:ascii="宋体" w:cs="Times New Roman"/>
                    </w:rPr>
                    <w:lastRenderedPageBreak/>
                    <w:t>148</w:t>
                  </w:r>
                </w:p>
                <w:p w:rsidRPr="003C684F" w:rsidR="009730C1" w:rsidRDefault="00A315B9" w14:paraId="5D3624EE" w14:textId="77777777">
                  <w:pPr>
                    <w:rPr>
                      <w:rFonts w:ascii="宋体" w:cs="Times New Roman"/>
                    </w:rPr>
                  </w:pPr>
                  <w:r w:rsidRPr="003C684F">
                    <w:rPr>
                      <w:rFonts w:hint="eastAsia" w:ascii="宋体" w:cs="Times New Roman"/>
                    </w:rPr>
                    <w:t>150</w:t>
                  </w:r>
                </w:p>
              </w:tc>
            </w:tr>
          </w:tbl>
          <w:p w:rsidRPr="003C684F" w:rsidR="0037660B" w:rsidRDefault="00A315B9" w14:paraId="36AB0E03" w14:textId="77777777">
            <w:pPr>
              <w:spacing w:line="360" w:lineRule="auto"/>
              <w:ind w:firstLine="105" w:firstLineChars="50"/>
              <w:rPr>
                <w:rFonts w:ascii="宋体" w:hAnsi="宋体" w:cs="宋体"/>
                <w:b/>
                <w:bCs/>
              </w:rPr>
            </w:pPr>
            <w:r w:rsidRPr="003C684F">
              <w:rPr>
                <w:rFonts w:hint="eastAsia" w:ascii="宋体" w:hAnsi="宋体" w:cs="宋体"/>
                <w:b/>
                <w:bCs/>
              </w:rPr>
              <w:lastRenderedPageBreak/>
              <w:t>皮肤肿瘤用药</w:t>
            </w:r>
          </w:p>
          <w:tbl>
            <w:tblPr>
              <w:tblW w:w="8719" w:type="dxa"/>
              <w:tblLayout w:type="fixed"/>
              <w:tblLook w:val="04A0" w:firstRow="1" w:lastRow="0" w:firstColumn="1" w:lastColumn="0" w:noHBand="0" w:noVBand="1"/>
            </w:tblPr>
            <w:tblGrid>
              <w:gridCol w:w="7961"/>
              <w:gridCol w:w="758"/>
            </w:tblGrid>
            <w:tr w:rsidRPr="003C684F" w:rsidR="0037660B" w:rsidTr="0037660B" w14:paraId="0E619394" w14:textId="77777777">
              <w:trPr>
                <w:trHeight w:val="285"/>
              </w:trPr>
              <w:tc>
                <w:tcPr>
                  <w:tcW w:w="8719" w:type="dxa"/>
                  <w:gridSpan w:val="2"/>
                </w:tcPr>
                <w:p w:rsidRPr="003C684F" w:rsidR="0037660B" w:rsidP="0037660B" w:rsidRDefault="0037660B" w14:paraId="5B455883" w14:textId="77777777">
                  <w:pPr>
                    <w:rPr>
                      <w:rFonts w:ascii="宋体" w:cs="Times New Roman"/>
                    </w:rPr>
                  </w:pPr>
                  <w:r w:rsidRPr="003C684F">
                    <w:rPr>
                      <w:rFonts w:hint="eastAsia" w:ascii="宋体" w:hAnsi="宋体" w:cs="宋体"/>
                    </w:rPr>
                    <w:t>一、维莫非尼…………………………………………………………………………………</w:t>
                  </w:r>
                </w:p>
              </w:tc>
            </w:tr>
            <w:tr w:rsidRPr="003C684F" w:rsidR="0037660B" w:rsidTr="0037660B" w14:paraId="747AB8B3" w14:textId="77777777">
              <w:trPr>
                <w:trHeight w:val="1210"/>
              </w:trPr>
              <w:tc>
                <w:tcPr>
                  <w:tcW w:w="8719" w:type="dxa"/>
                  <w:gridSpan w:val="2"/>
                </w:tcPr>
                <w:p w:rsidRPr="003C684F" w:rsidR="0037660B" w:rsidP="0037660B" w:rsidRDefault="0037660B" w14:paraId="50673D27" w14:textId="77777777">
                  <w:pPr>
                    <w:rPr>
                      <w:rFonts w:ascii="宋体" w:cs="宋体"/>
                    </w:rPr>
                  </w:pPr>
                  <w:r w:rsidRPr="003C684F">
                    <w:rPr>
                      <w:rFonts w:hint="eastAsia" w:ascii="宋体" w:hAnsi="宋体" w:cs="宋体"/>
                    </w:rPr>
                    <w:t>二、达拉非尼</w:t>
                  </w:r>
                  <w:r w:rsidRPr="003C684F">
                    <w:rPr>
                      <w:rFonts w:hint="eastAsia" w:ascii="宋体" w:cs="宋体"/>
                    </w:rPr>
                    <w:t>…………………………………………………………………………………</w:t>
                  </w:r>
                </w:p>
                <w:p w:rsidRPr="003C684F" w:rsidR="0037660B" w:rsidP="0037660B" w:rsidRDefault="0037660B" w14:paraId="23A1D756" w14:textId="77777777">
                  <w:pPr>
                    <w:rPr>
                      <w:rFonts w:ascii="宋体" w:cs="宋体"/>
                    </w:rPr>
                  </w:pPr>
                  <w:r w:rsidRPr="003C684F">
                    <w:rPr>
                      <w:rFonts w:hint="eastAsia" w:ascii="宋体" w:hAnsi="宋体" w:cs="宋体"/>
                    </w:rPr>
                    <w:t>三、曲美替尼</w:t>
                  </w:r>
                  <w:r w:rsidRPr="003C684F">
                    <w:rPr>
                      <w:rFonts w:hint="eastAsia" w:ascii="宋体" w:cs="宋体"/>
                    </w:rPr>
                    <w:t>…………………………………………………………………………………</w:t>
                  </w:r>
                </w:p>
                <w:p w:rsidRPr="003C684F" w:rsidR="0037660B" w:rsidP="0037660B" w:rsidRDefault="0037660B" w14:paraId="12CED3BD" w14:textId="77777777">
                  <w:pPr>
                    <w:rPr>
                      <w:rFonts w:ascii="宋体" w:cs="宋体"/>
                    </w:rPr>
                  </w:pPr>
                  <w:r w:rsidRPr="003C684F">
                    <w:rPr>
                      <w:rFonts w:hint="eastAsia" w:ascii="宋体" w:cs="Times New Roman"/>
                    </w:rPr>
                    <w:t>四、帕博利珠单抗</w:t>
                  </w:r>
                  <w:r w:rsidRPr="003C684F">
                    <w:rPr>
                      <w:rFonts w:hint="eastAsia" w:ascii="宋体" w:cs="宋体"/>
                    </w:rPr>
                    <w:t>……………………………………………………………………………</w:t>
                  </w:r>
                </w:p>
                <w:p w:rsidRPr="003C684F" w:rsidR="00243D99" w:rsidP="0037660B" w:rsidRDefault="0037660B" w14:paraId="61883C81" w14:textId="788FF3A1">
                  <w:pPr>
                    <w:rPr>
                      <w:rFonts w:ascii="宋体" w:cs="Times New Roman"/>
                    </w:rPr>
                  </w:pPr>
                  <w:r w:rsidRPr="003C684F">
                    <w:rPr>
                      <w:rFonts w:hint="eastAsia" w:ascii="宋体" w:cs="Times New Roman"/>
                    </w:rPr>
                    <w:t>五、特瑞普利单抗</w:t>
                  </w:r>
                  <w:r w:rsidRPr="003C684F" w:rsidR="00243D99">
                    <w:rPr>
                      <w:rFonts w:hint="eastAsia" w:ascii="宋体" w:cs="Times New Roman"/>
                    </w:rPr>
                    <w:t>……………………………………………………………………………</w:t>
                  </w:r>
                </w:p>
                <w:p w:rsidRPr="003C684F" w:rsidR="00243D99" w:rsidP="00243D99" w:rsidRDefault="00243D99" w14:paraId="3E554B1D" w14:textId="10CAE3CC">
                  <w:pPr>
                    <w:rPr>
                      <w:rFonts w:ascii="宋体" w:cs="宋体"/>
                    </w:rPr>
                  </w:pPr>
                  <w:r w:rsidRPr="003C684F">
                    <w:rPr>
                      <w:rFonts w:hint="eastAsia" w:ascii="宋体" w:cs="宋体"/>
                    </w:rPr>
                    <w:t>六、索立德吉…………………………………………………………………………………</w:t>
                  </w:r>
                </w:p>
                <w:p w:rsidRPr="003C684F" w:rsidR="00D004BC" w:rsidP="00243D99" w:rsidRDefault="00243D99" w14:paraId="239DB6CE" w14:textId="692F6BE7">
                  <w:pPr>
                    <w:rPr>
                      <w:rFonts w:ascii="宋体" w:cs="Times New Roman"/>
                    </w:rPr>
                  </w:pPr>
                  <w:r w:rsidRPr="003C684F">
                    <w:rPr>
                      <w:rFonts w:hint="eastAsia" w:ascii="宋体" w:cs="Times New Roman"/>
                    </w:rPr>
                    <w:t>七</w:t>
                  </w:r>
                  <w:r w:rsidRPr="003C684F" w:rsidR="00D004BC">
                    <w:rPr>
                      <w:rFonts w:hint="eastAsia" w:ascii="宋体" w:cs="Times New Roman"/>
                    </w:rPr>
                    <w:t>、伊马替尼…………………………………………………………………………………</w:t>
                  </w:r>
                </w:p>
              </w:tc>
            </w:tr>
            <w:tr w:rsidRPr="003C684F" w:rsidR="0037660B" w:rsidTr="0037660B" w14:paraId="2621D512" w14:textId="77777777">
              <w:trPr>
                <w:trHeight w:val="285"/>
              </w:trPr>
              <w:tc>
                <w:tcPr>
                  <w:tcW w:w="7961" w:type="dxa"/>
                </w:tcPr>
                <w:p w:rsidRPr="003C684F" w:rsidR="0037660B" w:rsidP="0037660B" w:rsidRDefault="0037660B" w14:paraId="230CB040" w14:textId="77777777">
                  <w:pPr>
                    <w:spacing w:line="360" w:lineRule="auto"/>
                    <w:rPr>
                      <w:rFonts w:ascii="宋体" w:hAnsi="宋体" w:cs="宋体"/>
                      <w:b/>
                      <w:bCs/>
                    </w:rPr>
                  </w:pPr>
                  <w:r w:rsidRPr="003C684F">
                    <w:rPr>
                      <w:rFonts w:hint="eastAsia" w:ascii="宋体" w:hAnsi="宋体" w:cs="宋体"/>
                      <w:b/>
                      <w:bCs/>
                    </w:rPr>
                    <w:t>骨与软组织肿瘤用药</w:t>
                  </w:r>
                </w:p>
                <w:p w:rsidRPr="003C684F" w:rsidR="0037660B" w:rsidP="0037660B" w:rsidRDefault="0037660B" w14:paraId="38D25F97" w14:textId="77777777">
                  <w:pPr>
                    <w:rPr>
                      <w:rFonts w:ascii="宋体" w:hAnsi="宋体" w:cs="宋体"/>
                    </w:rPr>
                  </w:pPr>
                  <w:r w:rsidRPr="003C684F">
                    <w:rPr>
                      <w:rFonts w:hint="eastAsia" w:ascii="宋体" w:hAnsi="宋体" w:cs="宋体"/>
                    </w:rPr>
                    <w:t>一、依维莫司…………………………………………………………………………………</w:t>
                  </w:r>
                </w:p>
              </w:tc>
              <w:tc>
                <w:tcPr>
                  <w:tcW w:w="758" w:type="dxa"/>
                </w:tcPr>
                <w:p w:rsidRPr="003C684F" w:rsidR="0037660B" w:rsidRDefault="0037660B" w14:paraId="79AA039C" w14:textId="77777777">
                  <w:pPr>
                    <w:spacing w:line="360" w:lineRule="auto"/>
                    <w:rPr>
                      <w:rFonts w:ascii="宋体" w:hAnsi="宋体" w:cs="宋体"/>
                    </w:rPr>
                  </w:pPr>
                </w:p>
                <w:p w:rsidRPr="003C684F" w:rsidR="0037660B" w:rsidRDefault="0037660B" w14:paraId="0A597D1F" w14:textId="77777777">
                  <w:pPr>
                    <w:rPr>
                      <w:rFonts w:ascii="宋体" w:hAnsi="宋体" w:cs="宋体"/>
                    </w:rPr>
                  </w:pPr>
                  <w:r w:rsidRPr="003C684F">
                    <w:rPr>
                      <w:rFonts w:hint="eastAsia" w:ascii="宋体" w:hAnsi="宋体" w:cs="宋体"/>
                    </w:rPr>
                    <w:t>161</w:t>
                  </w:r>
                </w:p>
              </w:tc>
            </w:tr>
            <w:tr w:rsidRPr="003C684F" w:rsidR="0037660B" w14:paraId="51E180AE" w14:textId="77777777">
              <w:trPr>
                <w:trHeight w:val="285"/>
              </w:trPr>
              <w:tc>
                <w:tcPr>
                  <w:tcW w:w="7961" w:type="dxa"/>
                </w:tcPr>
                <w:p w:rsidRPr="003C684F" w:rsidR="0037660B" w:rsidRDefault="0037660B" w14:paraId="7AF7DFF6" w14:textId="77777777">
                  <w:pPr>
                    <w:rPr>
                      <w:rFonts w:ascii="宋体" w:hAnsi="宋体" w:cs="宋体"/>
                    </w:rPr>
                  </w:pPr>
                  <w:r w:rsidRPr="003C684F">
                    <w:rPr>
                      <w:rFonts w:hint="eastAsia" w:ascii="宋体" w:hAnsi="宋体" w:cs="宋体"/>
                    </w:rPr>
                    <w:t>二、地舒单抗…………………………………………………………………………………</w:t>
                  </w:r>
                </w:p>
              </w:tc>
              <w:tc>
                <w:tcPr>
                  <w:tcW w:w="758" w:type="dxa"/>
                </w:tcPr>
                <w:p w:rsidRPr="003C684F" w:rsidR="0037660B" w:rsidRDefault="0037660B" w14:paraId="1257EB10" w14:textId="77777777">
                  <w:pPr>
                    <w:rPr>
                      <w:rFonts w:ascii="宋体" w:hAnsi="宋体" w:cs="宋体"/>
                    </w:rPr>
                  </w:pPr>
                  <w:r w:rsidRPr="003C684F">
                    <w:rPr>
                      <w:rFonts w:hint="eastAsia" w:ascii="宋体" w:hAnsi="宋体" w:cs="宋体"/>
                    </w:rPr>
                    <w:t>163</w:t>
                  </w:r>
                </w:p>
              </w:tc>
            </w:tr>
            <w:tr w:rsidRPr="003C684F" w:rsidR="0037660B" w14:paraId="23EF7BC2" w14:textId="77777777">
              <w:trPr>
                <w:trHeight w:val="285"/>
              </w:trPr>
              <w:tc>
                <w:tcPr>
                  <w:tcW w:w="7961" w:type="dxa"/>
                </w:tcPr>
                <w:p w:rsidRPr="003C684F" w:rsidR="001B3B0B" w:rsidRDefault="0037660B" w14:paraId="6D4C91AB" w14:textId="0C699EBB">
                  <w:pPr>
                    <w:rPr>
                      <w:rFonts w:ascii="宋体" w:hAnsi="宋体" w:cs="宋体"/>
                    </w:rPr>
                  </w:pPr>
                  <w:r w:rsidRPr="003C684F">
                    <w:rPr>
                      <w:rFonts w:hint="eastAsia" w:ascii="宋体" w:hAnsi="宋体" w:cs="宋体"/>
                    </w:rPr>
                    <w:t>三、安罗替尼</w:t>
                  </w:r>
                  <w:r w:rsidRPr="003C684F" w:rsidR="001B3B0B">
                    <w:rPr>
                      <w:rFonts w:hint="eastAsia" w:ascii="宋体" w:hAnsi="宋体" w:cs="宋体"/>
                    </w:rPr>
                    <w:t>…………………………………………………………………………………</w:t>
                  </w:r>
                </w:p>
                <w:p w:rsidRPr="003C684F" w:rsidR="0037660B" w:rsidRDefault="001B3B0B" w14:paraId="53127212" w14:textId="0F22CD70">
                  <w:pPr>
                    <w:rPr>
                      <w:rFonts w:ascii="宋体" w:hAnsi="宋体" w:cs="宋体"/>
                    </w:rPr>
                  </w:pPr>
                  <w:r w:rsidRPr="003C684F">
                    <w:rPr>
                      <w:rFonts w:hint="eastAsia" w:ascii="宋体" w:hAnsi="宋体" w:cs="宋体"/>
                    </w:rPr>
                    <w:t>四、拉罗替尼</w:t>
                  </w:r>
                  <w:r w:rsidRPr="003C684F" w:rsidR="0037660B">
                    <w:rPr>
                      <w:rFonts w:hint="eastAsia" w:ascii="宋体" w:hAnsi="宋体" w:cs="宋体"/>
                    </w:rPr>
                    <w:t>…………………………………………………………………………………</w:t>
                  </w:r>
                </w:p>
              </w:tc>
              <w:tc>
                <w:tcPr>
                  <w:tcW w:w="758" w:type="dxa"/>
                </w:tcPr>
                <w:p w:rsidRPr="003C684F" w:rsidR="0037660B" w:rsidRDefault="0037660B" w14:paraId="05AEF4BC" w14:textId="77777777">
                  <w:pPr>
                    <w:rPr>
                      <w:rFonts w:ascii="宋体" w:hAnsi="宋体" w:cs="宋体"/>
                    </w:rPr>
                  </w:pPr>
                  <w:r w:rsidRPr="003C684F">
                    <w:rPr>
                      <w:rFonts w:hint="eastAsia" w:ascii="宋体" w:hAnsi="宋体" w:cs="宋体"/>
                    </w:rPr>
                    <w:t>164</w:t>
                  </w:r>
                </w:p>
              </w:tc>
            </w:tr>
          </w:tbl>
          <w:p w:rsidRPr="003C684F" w:rsidR="009730C1" w:rsidRDefault="00A315B9" w14:paraId="356B8271" w14:textId="77777777">
            <w:pPr>
              <w:spacing w:line="360" w:lineRule="auto"/>
              <w:ind w:firstLine="105" w:firstLineChars="50"/>
              <w:rPr>
                <w:rFonts w:ascii="宋体" w:hAnsi="宋体" w:cs="宋体"/>
                <w:b/>
                <w:bCs/>
              </w:rPr>
            </w:pPr>
            <w:r w:rsidRPr="003C684F">
              <w:rPr>
                <w:rFonts w:hint="eastAsia" w:ascii="宋体" w:hAnsi="宋体" w:cs="宋体"/>
                <w:b/>
                <w:bCs/>
              </w:rPr>
              <w:t>头颈部肿瘤用药</w:t>
            </w:r>
          </w:p>
          <w:tbl>
            <w:tblPr>
              <w:tblW w:w="8522" w:type="dxa"/>
              <w:tblLayout w:type="fixed"/>
              <w:tblLook w:val="04A0" w:firstRow="1" w:lastRow="0" w:firstColumn="1" w:lastColumn="0" w:noHBand="0" w:noVBand="1"/>
            </w:tblPr>
            <w:tblGrid>
              <w:gridCol w:w="7976"/>
              <w:gridCol w:w="546"/>
            </w:tblGrid>
            <w:tr w:rsidRPr="003C684F" w:rsidR="009730C1" w14:paraId="2355DF06" w14:textId="77777777">
              <w:trPr>
                <w:trHeight w:val="285"/>
              </w:trPr>
              <w:tc>
                <w:tcPr>
                  <w:tcW w:w="7976" w:type="dxa"/>
                </w:tcPr>
                <w:p w:rsidRPr="003C684F" w:rsidR="009730C1" w:rsidRDefault="00A315B9" w14:paraId="7877EF08" w14:textId="77777777">
                  <w:pPr>
                    <w:adjustRightInd w:val="0"/>
                    <w:rPr>
                      <w:rFonts w:ascii="宋体" w:cs="宋体"/>
                    </w:rPr>
                  </w:pPr>
                  <w:r w:rsidRPr="003C684F">
                    <w:rPr>
                      <w:rFonts w:hint="eastAsia" w:ascii="宋体" w:hAnsi="宋体" w:cs="宋体"/>
                    </w:rPr>
                    <w:t>一、尼妥珠单抗</w:t>
                  </w:r>
                  <w:r w:rsidRPr="003C684F">
                    <w:rPr>
                      <w:rFonts w:hint="eastAsia" w:ascii="宋体" w:cs="宋体"/>
                    </w:rPr>
                    <w:t>………………………………………………………………………………</w:t>
                  </w:r>
                </w:p>
                <w:p w:rsidRPr="003C684F" w:rsidR="009730C1" w:rsidRDefault="00A315B9" w14:paraId="2C19F8C6" w14:textId="77777777">
                  <w:pPr>
                    <w:adjustRightInd w:val="0"/>
                    <w:rPr>
                      <w:rFonts w:ascii="宋体" w:cs="宋体"/>
                    </w:rPr>
                  </w:pPr>
                  <w:r w:rsidRPr="003C684F">
                    <w:rPr>
                      <w:rFonts w:hint="eastAsia" w:ascii="宋体" w:cs="宋体"/>
                    </w:rPr>
                    <w:t>二、特瑞普利单抗……………………………………………………………………………</w:t>
                  </w:r>
                </w:p>
                <w:p w:rsidRPr="003C684F" w:rsidR="009730C1" w:rsidRDefault="00A315B9" w14:paraId="7B6988EF" w14:textId="77777777">
                  <w:pPr>
                    <w:adjustRightInd w:val="0"/>
                    <w:rPr>
                      <w:rFonts w:ascii="宋体" w:cs="宋体"/>
                    </w:rPr>
                  </w:pPr>
                  <w:r w:rsidRPr="003C684F">
                    <w:rPr>
                      <w:rFonts w:hint="eastAsia" w:ascii="宋体" w:cs="宋体"/>
                    </w:rPr>
                    <w:t>三、卡瑞利珠单抗……………………………………………………………………………</w:t>
                  </w:r>
                </w:p>
                <w:p w:rsidRPr="003C684F" w:rsidR="009730C1" w:rsidRDefault="00A315B9" w14:paraId="1AB74432" w14:textId="77777777">
                  <w:pPr>
                    <w:adjustRightInd w:val="0"/>
                    <w:rPr>
                      <w:rFonts w:ascii="宋体" w:cs="宋体"/>
                    </w:rPr>
                  </w:pPr>
                  <w:r w:rsidRPr="003C684F">
                    <w:rPr>
                      <w:rFonts w:hint="eastAsia" w:ascii="宋体" w:hAnsi="宋体" w:cs="宋体"/>
                    </w:rPr>
                    <w:t>四、索拉非尼</w:t>
                  </w:r>
                  <w:r w:rsidRPr="003C684F">
                    <w:rPr>
                      <w:rFonts w:hint="eastAsia" w:ascii="宋体" w:cs="宋体"/>
                    </w:rPr>
                    <w:t>…………………………………………………………………………………</w:t>
                  </w:r>
                </w:p>
                <w:p w:rsidRPr="003C684F" w:rsidR="009730C1" w:rsidRDefault="00A315B9" w14:paraId="03BFDFF3" w14:textId="77777777">
                  <w:pPr>
                    <w:adjustRightInd w:val="0"/>
                    <w:rPr>
                      <w:rFonts w:ascii="宋体" w:cs="宋体"/>
                    </w:rPr>
                  </w:pPr>
                  <w:r w:rsidRPr="003C684F">
                    <w:rPr>
                      <w:rFonts w:hint="eastAsia" w:ascii="宋体" w:hAnsi="宋体" w:cs="宋体"/>
                    </w:rPr>
                    <w:t>五、仑伐替尼</w:t>
                  </w:r>
                  <w:r w:rsidRPr="003C684F">
                    <w:rPr>
                      <w:rFonts w:hint="eastAsia" w:ascii="宋体" w:cs="宋体"/>
                    </w:rPr>
                    <w:t>…………………………………………………………………………………</w:t>
                  </w:r>
                </w:p>
                <w:p w:rsidRPr="003C684F" w:rsidR="009730C1" w:rsidRDefault="00A315B9" w14:paraId="72FF2013" w14:textId="77777777">
                  <w:pPr>
                    <w:adjustRightInd w:val="0"/>
                    <w:rPr>
                      <w:rFonts w:ascii="宋体" w:cs="宋体"/>
                    </w:rPr>
                  </w:pPr>
                  <w:r w:rsidRPr="003C684F">
                    <w:rPr>
                      <w:rFonts w:hint="eastAsia" w:ascii="宋体" w:hAnsi="宋体" w:cs="宋体"/>
                    </w:rPr>
                    <w:t>六、安罗替尼</w:t>
                  </w:r>
                  <w:r w:rsidRPr="003C684F">
                    <w:rPr>
                      <w:rFonts w:hint="eastAsia" w:ascii="宋体" w:cs="宋体"/>
                    </w:rPr>
                    <w:t>…………………………………………………………………………………</w:t>
                  </w:r>
                </w:p>
                <w:p w:rsidRPr="003C684F" w:rsidR="009730C1" w:rsidRDefault="00A315B9" w14:paraId="407E7EF3" w14:textId="77777777">
                  <w:pPr>
                    <w:adjustRightInd w:val="0"/>
                    <w:rPr>
                      <w:rFonts w:ascii="宋体" w:cs="宋体"/>
                    </w:rPr>
                  </w:pPr>
                  <w:r w:rsidRPr="003C684F">
                    <w:rPr>
                      <w:rFonts w:hint="eastAsia" w:ascii="宋体" w:cs="宋体"/>
                    </w:rPr>
                    <w:t>七、</w:t>
                  </w:r>
                  <w:r w:rsidRPr="003C684F">
                    <w:rPr>
                      <w:rFonts w:hint="eastAsia" w:ascii="宋体" w:hAnsi="宋体" w:cs="宋体"/>
                    </w:rPr>
                    <w:t>纳武利尤单抗</w:t>
                  </w:r>
                  <w:r w:rsidRPr="003C684F">
                    <w:rPr>
                      <w:rFonts w:hint="eastAsia" w:ascii="宋体" w:cs="宋体"/>
                    </w:rPr>
                    <w:t>……………………………………………………………………………</w:t>
                  </w:r>
                </w:p>
                <w:p w:rsidRPr="003C684F" w:rsidR="009730C1" w:rsidRDefault="00A315B9" w14:paraId="4FD90878" w14:textId="77777777">
                  <w:pPr>
                    <w:adjustRightInd w:val="0"/>
                    <w:rPr>
                      <w:rFonts w:ascii="宋体" w:cs="Times New Roman"/>
                    </w:rPr>
                  </w:pPr>
                  <w:r w:rsidRPr="003C684F">
                    <w:rPr>
                      <w:rFonts w:hint="eastAsia" w:ascii="宋体" w:cs="宋体"/>
                    </w:rPr>
                    <w:t>八、</w:t>
                  </w:r>
                  <w:r w:rsidRPr="003C684F">
                    <w:rPr>
                      <w:rFonts w:hint="eastAsia" w:ascii="宋体" w:cs="Times New Roman"/>
                    </w:rPr>
                    <w:t>西妥昔单抗………………………………………………………………………………</w:t>
                  </w:r>
                </w:p>
                <w:p w:rsidRPr="003C684F" w:rsidR="009730C1" w:rsidRDefault="00A315B9" w14:paraId="5426B56A" w14:textId="77777777">
                  <w:pPr>
                    <w:adjustRightInd w:val="0"/>
                    <w:rPr>
                      <w:rFonts w:ascii="宋体" w:cs="宋体"/>
                    </w:rPr>
                  </w:pPr>
                  <w:r w:rsidRPr="003C684F">
                    <w:rPr>
                      <w:rFonts w:hint="eastAsia" w:ascii="宋体" w:cs="Times New Roman"/>
                    </w:rPr>
                    <w:t>九、帕博利珠单抗</w:t>
                  </w:r>
                  <w:r w:rsidRPr="003C684F">
                    <w:rPr>
                      <w:rFonts w:hint="eastAsia" w:ascii="宋体" w:cs="宋体"/>
                    </w:rPr>
                    <w:t>……………………………………………………………………………</w:t>
                  </w:r>
                </w:p>
                <w:p w:rsidRPr="003C684F" w:rsidR="00F9044F" w:rsidRDefault="00A315B9" w14:paraId="2BCC85A1" w14:textId="26AB4BE5">
                  <w:pPr>
                    <w:adjustRightInd w:val="0"/>
                    <w:rPr>
                      <w:rFonts w:ascii="宋体" w:cs="宋体"/>
                    </w:rPr>
                  </w:pPr>
                  <w:r w:rsidRPr="003C684F">
                    <w:rPr>
                      <w:rFonts w:hint="eastAsia" w:ascii="宋体" w:cs="宋体"/>
                    </w:rPr>
                    <w:t>十、替雷利珠单抗</w:t>
                  </w:r>
                  <w:r w:rsidRPr="003C684F" w:rsidR="00F9044F">
                    <w:rPr>
                      <w:rFonts w:hint="eastAsia" w:ascii="宋体" w:cs="宋体"/>
                    </w:rPr>
                    <w:t>……………………………………………………………………………</w:t>
                  </w:r>
                </w:p>
                <w:p w:rsidRPr="003C684F" w:rsidR="009730C1" w:rsidRDefault="00F9044F" w14:paraId="6C0A8AD5" w14:textId="3429C66E">
                  <w:pPr>
                    <w:adjustRightInd w:val="0"/>
                    <w:rPr>
                      <w:rFonts w:ascii="宋体" w:cs="宋体"/>
                    </w:rPr>
                  </w:pPr>
                  <w:r w:rsidRPr="003C684F">
                    <w:rPr>
                      <w:rFonts w:hint="eastAsia" w:ascii="宋体" w:cs="宋体"/>
                    </w:rPr>
                    <w:t>十一、普拉替尼</w:t>
                  </w:r>
                  <w:r w:rsidRPr="003C684F" w:rsidR="00A315B9">
                    <w:rPr>
                      <w:rFonts w:hint="eastAsia" w:ascii="宋体" w:cs="宋体"/>
                    </w:rPr>
                    <w:t>……………………………………………………………………………</w:t>
                  </w:r>
                </w:p>
                <w:p w:rsidRPr="003C684F" w:rsidR="009730C1" w:rsidRDefault="00A315B9" w14:paraId="6B7CF9B9" w14:textId="77777777">
                  <w:pPr>
                    <w:spacing w:line="360" w:lineRule="auto"/>
                    <w:ind w:firstLine="105" w:firstLineChars="50"/>
                    <w:rPr>
                      <w:rFonts w:ascii="宋体" w:cs="Times New Roman"/>
                      <w:b/>
                      <w:bCs/>
                    </w:rPr>
                  </w:pPr>
                  <w:r w:rsidRPr="003C684F">
                    <w:rPr>
                      <w:rFonts w:hint="eastAsia" w:ascii="宋体" w:hAnsi="宋体" w:cs="宋体"/>
                      <w:b/>
                      <w:bCs/>
                    </w:rPr>
                    <w:t>生殖系统肿瘤用药</w:t>
                  </w:r>
                </w:p>
                <w:p w:rsidRPr="003C684F" w:rsidR="009730C1" w:rsidRDefault="00A315B9" w14:paraId="34852139" w14:textId="77777777">
                  <w:pPr>
                    <w:rPr>
                      <w:rFonts w:ascii="宋体" w:cs="宋体"/>
                    </w:rPr>
                  </w:pPr>
                  <w:r w:rsidRPr="003C684F">
                    <w:rPr>
                      <w:rFonts w:hint="eastAsia" w:ascii="宋体" w:cs="宋体"/>
                    </w:rPr>
                    <w:t>一、奥拉帕利…………………………………………………………………………………</w:t>
                  </w:r>
                </w:p>
                <w:p w:rsidRPr="003C684F" w:rsidR="009730C1" w:rsidRDefault="00A315B9" w14:paraId="72585AA6" w14:textId="77777777">
                  <w:pPr>
                    <w:rPr>
                      <w:rFonts w:ascii="宋体" w:cs="宋体"/>
                    </w:rPr>
                  </w:pPr>
                  <w:r w:rsidRPr="003C684F">
                    <w:rPr>
                      <w:rFonts w:hint="eastAsia" w:ascii="宋体" w:cs="Times New Roman"/>
                    </w:rPr>
                    <w:t>二、</w:t>
                  </w:r>
                  <w:r w:rsidRPr="003C684F">
                    <w:rPr>
                      <w:rFonts w:hint="eastAsia" w:ascii="宋体" w:cs="宋体"/>
                    </w:rPr>
                    <w:t>尼拉帕利…………………………………………………………………………………</w:t>
                  </w:r>
                </w:p>
                <w:p w:rsidRPr="003C684F" w:rsidR="009730C1" w:rsidRDefault="00A315B9" w14:paraId="429A956E" w14:textId="77777777">
                  <w:pPr>
                    <w:rPr>
                      <w:rFonts w:ascii="宋体" w:cs="宋体"/>
                    </w:rPr>
                  </w:pPr>
                  <w:r w:rsidRPr="003C684F">
                    <w:rPr>
                      <w:rFonts w:hint="eastAsia" w:ascii="宋体" w:cs="宋体"/>
                    </w:rPr>
                    <w:t>三、氟唑帕利…………………………………………………………………………………</w:t>
                  </w:r>
                </w:p>
                <w:p w:rsidRPr="003C684F" w:rsidR="009730C1" w:rsidRDefault="00A315B9" w14:paraId="3F637201" w14:textId="77777777">
                  <w:pPr>
                    <w:rPr>
                      <w:rFonts w:ascii="宋体" w:cs="宋体"/>
                    </w:rPr>
                  </w:pPr>
                  <w:r w:rsidRPr="003C684F">
                    <w:rPr>
                      <w:rFonts w:hint="eastAsia" w:ascii="宋体" w:cs="宋体"/>
                    </w:rPr>
                    <w:t>四、帕米帕利…………………………………………………………………………………</w:t>
                  </w:r>
                </w:p>
                <w:p w:rsidRPr="003C684F" w:rsidR="009730C1" w:rsidRDefault="00A315B9" w14:paraId="6519706B" w14:textId="77777777">
                  <w:pPr>
                    <w:rPr>
                      <w:rFonts w:ascii="宋体" w:cs="宋体"/>
                    </w:rPr>
                  </w:pPr>
                  <w:r w:rsidRPr="003C684F">
                    <w:rPr>
                      <w:rFonts w:hint="eastAsia" w:ascii="宋体" w:cs="宋体"/>
                    </w:rPr>
                    <w:t>五、贝伐珠单抗………………………………………………………………………………</w:t>
                  </w:r>
                </w:p>
                <w:p w:rsidRPr="003C684F" w:rsidR="009730C1" w:rsidP="00AC2BEC" w:rsidRDefault="00A218F5" w14:paraId="1BFAB3D5" w14:textId="296AA07F">
                  <w:pPr>
                    <w:spacing w:after="93" w:afterLines="30"/>
                    <w:rPr>
                      <w:rFonts w:ascii="宋体" w:cs="宋体"/>
                    </w:rPr>
                  </w:pPr>
                  <w:r w:rsidRPr="003C684F">
                    <w:rPr>
                      <w:rFonts w:hint="eastAsia" w:ascii="宋体" w:cs="宋体"/>
                    </w:rPr>
                    <w:t>六、卡度尼利单抗……………………………………………………………………………</w:t>
                  </w:r>
                </w:p>
                <w:p w:rsidRPr="003C684F" w:rsidR="009730C1" w:rsidP="00AC2BEC" w:rsidRDefault="00A315B9" w14:paraId="7BD1A8A0" w14:textId="77777777">
                  <w:pPr>
                    <w:spacing w:after="93" w:afterLines="30"/>
                    <w:ind w:firstLine="105" w:firstLineChars="50"/>
                    <w:rPr>
                      <w:rFonts w:ascii="宋体" w:hAnsi="宋体" w:cs="宋体"/>
                      <w:b/>
                      <w:bCs/>
                    </w:rPr>
                  </w:pPr>
                  <w:r w:rsidRPr="003C684F">
                    <w:rPr>
                      <w:rFonts w:hint="eastAsia" w:ascii="宋体" w:hAnsi="宋体" w:cs="宋体"/>
                      <w:b/>
                      <w:bCs/>
                    </w:rPr>
                    <w:t>附表</w:t>
                  </w:r>
                </w:p>
                <w:p w:rsidRPr="003C684F" w:rsidR="009730C1" w:rsidRDefault="00A315B9" w14:paraId="353EEF72" w14:textId="77777777">
                  <w:pPr>
                    <w:rPr>
                      <w:rFonts w:ascii="宋体" w:cs="宋体"/>
                    </w:rPr>
                  </w:pPr>
                  <w:r w:rsidRPr="003C684F">
                    <w:rPr>
                      <w:rFonts w:hint="eastAsia" w:ascii="宋体" w:cs="宋体"/>
                    </w:rPr>
                    <w:t>附表1　免疫相关性不良反应和治疗调整方案……………………………………………</w:t>
                  </w:r>
                </w:p>
                <w:p w:rsidRPr="003C684F" w:rsidR="009730C1" w:rsidRDefault="00A315B9" w14:paraId="4A74C2DA" w14:textId="77777777">
                  <w:pPr>
                    <w:rPr>
                      <w:rFonts w:ascii="宋体" w:cs="宋体"/>
                    </w:rPr>
                  </w:pPr>
                  <w:r w:rsidRPr="003C684F">
                    <w:rPr>
                      <w:rFonts w:hint="eastAsia" w:ascii="宋体" w:cs="宋体"/>
                    </w:rPr>
                    <w:t>附表2　不同器官重启免疫治疗注意事项…………………………………………………</w:t>
                  </w:r>
                </w:p>
                <w:p w:rsidRPr="003C684F" w:rsidR="009730C1" w:rsidRDefault="00A315B9" w14:paraId="7C64083F" w14:textId="77777777">
                  <w:pPr>
                    <w:rPr>
                      <w:rFonts w:ascii="宋体" w:cs="宋体"/>
                    </w:rPr>
                  </w:pPr>
                  <w:r w:rsidRPr="003C684F">
                    <w:rPr>
                      <w:rFonts w:hint="eastAsia" w:ascii="宋体" w:cs="宋体"/>
                    </w:rPr>
                    <w:t>附表3　反应性毛细血管增生症分级标准和治疗建议……………………………………</w:t>
                  </w:r>
                </w:p>
                <w:p w:rsidRPr="003C684F" w:rsidR="001A1806" w:rsidP="00E17505" w:rsidRDefault="001A1806" w14:paraId="62C62208" w14:textId="77777777">
                  <w:pPr>
                    <w:rPr>
                      <w:rFonts w:ascii="宋体" w:cs="Times New Roman"/>
                    </w:rPr>
                  </w:pPr>
                </w:p>
              </w:tc>
              <w:tc>
                <w:tcPr>
                  <w:tcW w:w="546" w:type="dxa"/>
                </w:tcPr>
                <w:p w:rsidRPr="003C684F" w:rsidR="009730C1" w:rsidRDefault="00A315B9" w14:paraId="66146A7D" w14:textId="77777777">
                  <w:pPr>
                    <w:rPr>
                      <w:rFonts w:ascii="宋体" w:hAnsi="宋体" w:cs="宋体"/>
                    </w:rPr>
                  </w:pPr>
                  <w:r w:rsidRPr="003C684F">
                    <w:rPr>
                      <w:rFonts w:hint="eastAsia" w:ascii="宋体" w:hAnsi="宋体" w:cs="宋体"/>
                    </w:rPr>
                    <w:t>171</w:t>
                  </w:r>
                </w:p>
                <w:p w:rsidRPr="003C684F" w:rsidR="009730C1" w:rsidRDefault="00A315B9" w14:paraId="38463898" w14:textId="77777777">
                  <w:pPr>
                    <w:rPr>
                      <w:rFonts w:ascii="宋体" w:cs="Times New Roman"/>
                    </w:rPr>
                  </w:pPr>
                  <w:r w:rsidRPr="003C684F">
                    <w:rPr>
                      <w:rFonts w:hint="eastAsia" w:ascii="宋体" w:cs="Times New Roman"/>
                    </w:rPr>
                    <w:t>172</w:t>
                  </w:r>
                </w:p>
                <w:p w:rsidRPr="003C684F" w:rsidR="009730C1" w:rsidRDefault="00A315B9" w14:paraId="78F5EA5E" w14:textId="77777777">
                  <w:pPr>
                    <w:rPr>
                      <w:rFonts w:ascii="宋体" w:cs="Times New Roman"/>
                    </w:rPr>
                  </w:pPr>
                  <w:r w:rsidRPr="003C684F">
                    <w:rPr>
                      <w:rFonts w:hint="eastAsia" w:ascii="宋体" w:cs="Times New Roman"/>
                    </w:rPr>
                    <w:t>173</w:t>
                  </w:r>
                </w:p>
                <w:p w:rsidRPr="003C684F" w:rsidR="009730C1" w:rsidRDefault="00A315B9" w14:paraId="0D2D1F79" w14:textId="77777777">
                  <w:pPr>
                    <w:rPr>
                      <w:rFonts w:ascii="宋体" w:cs="Times New Roman"/>
                    </w:rPr>
                  </w:pPr>
                  <w:r w:rsidRPr="003C684F">
                    <w:rPr>
                      <w:rFonts w:hint="eastAsia" w:ascii="宋体" w:cs="Times New Roman"/>
                    </w:rPr>
                    <w:t>175</w:t>
                  </w:r>
                </w:p>
                <w:p w:rsidRPr="003C684F" w:rsidR="009730C1" w:rsidRDefault="00A315B9" w14:paraId="171D1A3C" w14:textId="77777777">
                  <w:pPr>
                    <w:rPr>
                      <w:rFonts w:ascii="宋体" w:cs="Times New Roman"/>
                    </w:rPr>
                  </w:pPr>
                  <w:r w:rsidRPr="003C684F">
                    <w:rPr>
                      <w:rFonts w:hint="eastAsia" w:ascii="宋体" w:cs="Times New Roman"/>
                    </w:rPr>
                    <w:t>176</w:t>
                  </w:r>
                </w:p>
                <w:p w:rsidRPr="003C684F" w:rsidR="009730C1" w:rsidRDefault="00A315B9" w14:paraId="528428E4" w14:textId="77777777">
                  <w:pPr>
                    <w:rPr>
                      <w:rFonts w:ascii="宋体" w:cs="Times New Roman"/>
                    </w:rPr>
                  </w:pPr>
                  <w:r w:rsidRPr="003C684F">
                    <w:rPr>
                      <w:rFonts w:hint="eastAsia" w:ascii="宋体" w:cs="Times New Roman"/>
                    </w:rPr>
                    <w:t>177</w:t>
                  </w:r>
                </w:p>
                <w:p w:rsidRPr="003C684F" w:rsidR="009730C1" w:rsidRDefault="00A315B9" w14:paraId="33219C67" w14:textId="77777777">
                  <w:pPr>
                    <w:rPr>
                      <w:rFonts w:ascii="宋体" w:cs="Times New Roman"/>
                    </w:rPr>
                  </w:pPr>
                  <w:r w:rsidRPr="003C684F">
                    <w:rPr>
                      <w:rFonts w:hint="eastAsia" w:ascii="宋体" w:cs="Times New Roman"/>
                    </w:rPr>
                    <w:t>179</w:t>
                  </w:r>
                </w:p>
                <w:p w:rsidRPr="003C684F" w:rsidR="009730C1" w:rsidRDefault="00A315B9" w14:paraId="2B79F2A3" w14:textId="77777777">
                  <w:pPr>
                    <w:rPr>
                      <w:rFonts w:ascii="宋体" w:cs="Times New Roman"/>
                    </w:rPr>
                  </w:pPr>
                  <w:r w:rsidRPr="003C684F">
                    <w:rPr>
                      <w:rFonts w:hint="eastAsia" w:ascii="宋体" w:cs="Times New Roman"/>
                    </w:rPr>
                    <w:t>181</w:t>
                  </w:r>
                </w:p>
                <w:p w:rsidRPr="003C684F" w:rsidR="009730C1" w:rsidRDefault="00A315B9" w14:paraId="005E1B2E" w14:textId="77777777">
                  <w:pPr>
                    <w:rPr>
                      <w:rFonts w:ascii="宋体" w:cs="Times New Roman"/>
                    </w:rPr>
                  </w:pPr>
                  <w:r w:rsidRPr="003C684F">
                    <w:rPr>
                      <w:rFonts w:hint="eastAsia" w:ascii="宋体" w:cs="Times New Roman"/>
                    </w:rPr>
                    <w:t>183</w:t>
                  </w:r>
                </w:p>
                <w:p w:rsidRPr="003C684F" w:rsidR="009730C1" w:rsidRDefault="009730C1" w14:paraId="35455D86" w14:textId="77777777">
                  <w:pPr>
                    <w:spacing w:line="360" w:lineRule="auto"/>
                    <w:rPr>
                      <w:rFonts w:ascii="宋体" w:cs="Times New Roman"/>
                    </w:rPr>
                  </w:pPr>
                </w:p>
                <w:p w:rsidRPr="003C684F" w:rsidR="009730C1" w:rsidRDefault="00A315B9" w14:paraId="41219ECB" w14:textId="77777777">
                  <w:pPr>
                    <w:rPr>
                      <w:rFonts w:ascii="宋体" w:cs="Times New Roman"/>
                    </w:rPr>
                  </w:pPr>
                  <w:r w:rsidRPr="003C684F">
                    <w:rPr>
                      <w:rFonts w:hint="eastAsia" w:ascii="宋体" w:cs="Times New Roman"/>
                    </w:rPr>
                    <w:t>185</w:t>
                  </w:r>
                </w:p>
                <w:p w:rsidRPr="003C684F" w:rsidR="009730C1" w:rsidRDefault="00A315B9" w14:paraId="41D5B40D" w14:textId="77777777">
                  <w:pPr>
                    <w:rPr>
                      <w:rFonts w:ascii="宋体" w:cs="Times New Roman"/>
                    </w:rPr>
                  </w:pPr>
                  <w:r w:rsidRPr="003C684F">
                    <w:rPr>
                      <w:rFonts w:hint="eastAsia" w:ascii="宋体" w:cs="Times New Roman"/>
                    </w:rPr>
                    <w:t>187</w:t>
                  </w:r>
                </w:p>
                <w:p w:rsidRPr="003C684F" w:rsidR="009730C1" w:rsidRDefault="00A315B9" w14:paraId="3E693C8D" w14:textId="77777777">
                  <w:pPr>
                    <w:rPr>
                      <w:rFonts w:ascii="宋体" w:cs="Times New Roman"/>
                    </w:rPr>
                  </w:pPr>
                  <w:r w:rsidRPr="003C684F">
                    <w:rPr>
                      <w:rFonts w:hint="eastAsia" w:ascii="宋体" w:cs="Times New Roman"/>
                    </w:rPr>
                    <w:t>190</w:t>
                  </w:r>
                </w:p>
                <w:p w:rsidRPr="003C684F" w:rsidR="009730C1" w:rsidRDefault="00A315B9" w14:paraId="6644C14A" w14:textId="77777777">
                  <w:pPr>
                    <w:rPr>
                      <w:rFonts w:ascii="宋体" w:cs="Times New Roman"/>
                    </w:rPr>
                  </w:pPr>
                  <w:r w:rsidRPr="003C684F">
                    <w:rPr>
                      <w:rFonts w:hint="eastAsia" w:ascii="宋体" w:cs="Times New Roman"/>
                    </w:rPr>
                    <w:t>192</w:t>
                  </w:r>
                </w:p>
                <w:p w:rsidRPr="003C684F" w:rsidR="009730C1" w:rsidRDefault="009730C1" w14:paraId="76B82C70" w14:textId="77777777">
                  <w:pPr>
                    <w:rPr>
                      <w:rFonts w:ascii="宋体" w:cs="Times New Roman"/>
                    </w:rPr>
                  </w:pPr>
                </w:p>
                <w:p w:rsidRPr="003C684F" w:rsidR="009730C1" w:rsidRDefault="009730C1" w14:paraId="128DCEDC" w14:textId="77777777">
                  <w:pPr>
                    <w:rPr>
                      <w:rFonts w:ascii="宋体" w:cs="Times New Roman"/>
                    </w:rPr>
                  </w:pPr>
                </w:p>
                <w:p w:rsidRPr="003C684F" w:rsidR="009730C1" w:rsidRDefault="00A315B9" w14:paraId="65457F4C" w14:textId="77777777">
                  <w:pPr>
                    <w:rPr>
                      <w:rFonts w:ascii="宋体" w:cs="Times New Roman"/>
                    </w:rPr>
                  </w:pPr>
                  <w:r w:rsidRPr="003C684F">
                    <w:rPr>
                      <w:rFonts w:hint="eastAsia" w:ascii="宋体" w:cs="Times New Roman"/>
                    </w:rPr>
                    <w:t>195</w:t>
                  </w:r>
                </w:p>
                <w:p w:rsidRPr="003C684F" w:rsidR="009730C1" w:rsidRDefault="00A315B9" w14:paraId="36317B59" w14:textId="77777777">
                  <w:pPr>
                    <w:rPr>
                      <w:rFonts w:ascii="宋体" w:cs="Times New Roman"/>
                    </w:rPr>
                  </w:pPr>
                  <w:r w:rsidRPr="003C684F">
                    <w:rPr>
                      <w:rFonts w:hint="eastAsia" w:ascii="宋体" w:cs="Times New Roman"/>
                    </w:rPr>
                    <w:t>197</w:t>
                  </w:r>
                </w:p>
              </w:tc>
            </w:tr>
          </w:tbl>
          <w:p w:rsidRPr="003C684F" w:rsidR="009730C1" w:rsidRDefault="009730C1" w14:paraId="3059ACEB" w14:textId="77777777">
            <w:pPr>
              <w:jc w:val="left"/>
              <w:rPr>
                <w:rFonts w:ascii="宋体" w:cs="Times New Roman"/>
              </w:rPr>
            </w:pPr>
          </w:p>
        </w:tc>
        <w:tc>
          <w:tcPr>
            <w:tcW w:w="584" w:type="dxa"/>
          </w:tcPr>
          <w:p w:rsidRPr="003C684F" w:rsidR="009730C1" w:rsidRDefault="00A315B9" w14:paraId="7B4B6EA3" w14:textId="23BF1627">
            <w:pPr>
              <w:jc w:val="left"/>
              <w:rPr>
                <w:rFonts w:ascii="宋体" w:hAnsi="宋体" w:cs="宋体"/>
              </w:rPr>
            </w:pPr>
            <w:r w:rsidRPr="003C684F">
              <w:rPr>
                <w:rFonts w:hint="eastAsia" w:ascii="宋体" w:hAnsi="宋体" w:cs="宋体"/>
              </w:rPr>
              <w:lastRenderedPageBreak/>
              <w:t>04</w:t>
            </w:r>
            <w:r w:rsidRPr="003C684F" w:rsidR="008A2B57">
              <w:rPr>
                <w:rFonts w:hint="eastAsia" w:ascii="宋体" w:hAnsi="宋体" w:cs="宋体"/>
              </w:rPr>
              <w:t>3</w:t>
            </w:r>
          </w:p>
          <w:p w:rsidRPr="003C684F" w:rsidR="009730C1" w:rsidRDefault="00A315B9" w14:paraId="17E0570F" w14:textId="4433FDCA">
            <w:pPr>
              <w:jc w:val="left"/>
              <w:rPr>
                <w:rFonts w:ascii="宋体" w:hAnsi="宋体" w:cs="宋体"/>
              </w:rPr>
            </w:pPr>
            <w:r w:rsidRPr="003C684F">
              <w:rPr>
                <w:rFonts w:hint="eastAsia" w:ascii="宋体" w:hAnsi="宋体" w:cs="宋体"/>
              </w:rPr>
              <w:t>04</w:t>
            </w:r>
            <w:r w:rsidRPr="003C684F" w:rsidR="008A2B57">
              <w:rPr>
                <w:rFonts w:hint="eastAsia" w:ascii="宋体" w:hAnsi="宋体" w:cs="宋体"/>
              </w:rPr>
              <w:t>7</w:t>
            </w:r>
          </w:p>
          <w:p w:rsidRPr="003C684F" w:rsidR="009730C1" w:rsidRDefault="00A315B9" w14:paraId="14788709" w14:textId="6B081B4F">
            <w:pPr>
              <w:jc w:val="left"/>
              <w:rPr>
                <w:rFonts w:ascii="宋体" w:hAnsi="宋体" w:cs="宋体"/>
              </w:rPr>
            </w:pPr>
            <w:r w:rsidRPr="003C684F">
              <w:rPr>
                <w:rFonts w:hint="eastAsia" w:ascii="宋体" w:hAnsi="宋体" w:cs="宋体"/>
              </w:rPr>
              <w:t>0</w:t>
            </w:r>
            <w:r w:rsidRPr="003C684F" w:rsidR="008A2B57">
              <w:rPr>
                <w:rFonts w:hint="eastAsia" w:ascii="宋体" w:hAnsi="宋体" w:cs="宋体"/>
              </w:rPr>
              <w:t>50</w:t>
            </w:r>
          </w:p>
          <w:p w:rsidRPr="003C684F" w:rsidR="009730C1" w:rsidRDefault="00A315B9" w14:paraId="6EE11AAA" w14:textId="4AC45D6E">
            <w:pPr>
              <w:jc w:val="left"/>
              <w:rPr>
                <w:rFonts w:ascii="宋体" w:hAnsi="宋体" w:cs="宋体"/>
              </w:rPr>
            </w:pPr>
            <w:r w:rsidRPr="003C684F">
              <w:rPr>
                <w:rFonts w:hint="eastAsia" w:ascii="宋体" w:hAnsi="宋体" w:cs="宋体"/>
              </w:rPr>
              <w:t>0</w:t>
            </w:r>
            <w:r w:rsidRPr="003C684F" w:rsidR="00A029C2">
              <w:rPr>
                <w:rFonts w:hint="eastAsia" w:ascii="宋体" w:hAnsi="宋体" w:cs="宋体"/>
              </w:rPr>
              <w:t>5</w:t>
            </w:r>
            <w:r w:rsidRPr="003C684F" w:rsidR="008A2B57">
              <w:rPr>
                <w:rFonts w:hint="eastAsia" w:ascii="宋体" w:hAnsi="宋体" w:cs="宋体"/>
              </w:rPr>
              <w:t>1</w:t>
            </w:r>
          </w:p>
          <w:p w:rsidRPr="003C684F" w:rsidR="009730C1" w:rsidRDefault="00A315B9" w14:paraId="4CC8E704" w14:textId="5EF413E5">
            <w:pPr>
              <w:jc w:val="left"/>
              <w:rPr>
                <w:rFonts w:ascii="宋体" w:hAnsi="宋体" w:cs="宋体"/>
              </w:rPr>
            </w:pPr>
            <w:r w:rsidRPr="003C684F">
              <w:rPr>
                <w:rFonts w:hint="eastAsia" w:ascii="宋体" w:hAnsi="宋体" w:cs="宋体"/>
              </w:rPr>
              <w:t>05</w:t>
            </w:r>
            <w:r w:rsidRPr="003C684F" w:rsidR="008A2B57">
              <w:rPr>
                <w:rFonts w:hint="eastAsia" w:ascii="宋体" w:hAnsi="宋体" w:cs="宋体"/>
              </w:rPr>
              <w:t>4</w:t>
            </w:r>
          </w:p>
          <w:p w:rsidRPr="003C684F" w:rsidR="009730C1" w:rsidRDefault="00A315B9" w14:paraId="525356A6" w14:textId="68D4E7B9">
            <w:pPr>
              <w:jc w:val="left"/>
              <w:rPr>
                <w:rFonts w:ascii="宋体" w:hAnsi="宋体" w:cs="宋体"/>
              </w:rPr>
            </w:pPr>
            <w:r w:rsidRPr="003C684F">
              <w:rPr>
                <w:rFonts w:hint="eastAsia" w:ascii="宋体" w:hAnsi="宋体" w:cs="宋体"/>
              </w:rPr>
              <w:t>05</w:t>
            </w:r>
            <w:r w:rsidRPr="003C684F" w:rsidR="008A2B57">
              <w:rPr>
                <w:rFonts w:hint="eastAsia" w:ascii="宋体" w:hAnsi="宋体" w:cs="宋体"/>
              </w:rPr>
              <w:t>7</w:t>
            </w:r>
          </w:p>
          <w:p w:rsidRPr="003C684F" w:rsidR="009730C1" w:rsidRDefault="00A315B9" w14:paraId="6230021B" w14:textId="57047080">
            <w:pPr>
              <w:jc w:val="left"/>
              <w:rPr>
                <w:rFonts w:ascii="宋体" w:hAnsi="宋体" w:cs="宋体"/>
              </w:rPr>
            </w:pPr>
            <w:r w:rsidRPr="003C684F">
              <w:rPr>
                <w:rFonts w:hint="eastAsia" w:ascii="宋体" w:hAnsi="宋体" w:cs="宋体"/>
              </w:rPr>
              <w:t>05</w:t>
            </w:r>
            <w:r w:rsidRPr="003C684F" w:rsidR="008A2B57">
              <w:rPr>
                <w:rFonts w:hint="eastAsia" w:ascii="宋体" w:hAnsi="宋体" w:cs="宋体"/>
              </w:rPr>
              <w:t>8</w:t>
            </w:r>
          </w:p>
          <w:p w:rsidRPr="003C684F" w:rsidR="009730C1" w:rsidRDefault="00A315B9" w14:paraId="66CDC3E9" w14:textId="78BB1336">
            <w:pPr>
              <w:jc w:val="left"/>
              <w:rPr>
                <w:rFonts w:ascii="宋体" w:hAnsi="宋体" w:cs="宋体"/>
              </w:rPr>
            </w:pPr>
            <w:r w:rsidRPr="003C684F">
              <w:rPr>
                <w:rFonts w:hint="eastAsia" w:ascii="宋体" w:hAnsi="宋体" w:cs="宋体"/>
              </w:rPr>
              <w:t>0</w:t>
            </w:r>
            <w:r w:rsidRPr="003C684F" w:rsidR="008A2B57">
              <w:rPr>
                <w:rFonts w:hint="eastAsia" w:ascii="宋体" w:hAnsi="宋体" w:cs="宋体"/>
              </w:rPr>
              <w:t>60</w:t>
            </w:r>
          </w:p>
          <w:p w:rsidRPr="003C684F" w:rsidR="009730C1" w:rsidRDefault="00A315B9" w14:paraId="7EE1B661" w14:textId="257C6ED1">
            <w:pPr>
              <w:jc w:val="left"/>
              <w:rPr>
                <w:rFonts w:ascii="宋体" w:hAnsi="宋体" w:cs="宋体"/>
              </w:rPr>
            </w:pPr>
            <w:r w:rsidRPr="003C684F">
              <w:rPr>
                <w:rFonts w:hint="eastAsia" w:ascii="宋体" w:hAnsi="宋体" w:cs="宋体"/>
              </w:rPr>
              <w:t>06</w:t>
            </w:r>
            <w:r w:rsidRPr="003C684F" w:rsidR="008A2B57">
              <w:rPr>
                <w:rFonts w:hint="eastAsia" w:ascii="宋体" w:hAnsi="宋体" w:cs="宋体"/>
              </w:rPr>
              <w:t>2</w:t>
            </w:r>
          </w:p>
          <w:p w:rsidRPr="003C684F" w:rsidR="009730C1" w:rsidRDefault="009730C1" w14:paraId="341EA74B" w14:textId="77777777">
            <w:pPr>
              <w:spacing w:line="360" w:lineRule="auto"/>
              <w:jc w:val="left"/>
              <w:rPr>
                <w:rFonts w:ascii="宋体" w:hAnsi="宋体" w:cs="宋体"/>
              </w:rPr>
            </w:pPr>
          </w:p>
          <w:p w:rsidRPr="003C684F" w:rsidR="009730C1" w:rsidRDefault="00A315B9" w14:paraId="1704AC0F" w14:textId="68C09A16">
            <w:pPr>
              <w:jc w:val="left"/>
              <w:rPr>
                <w:rFonts w:ascii="宋体" w:hAnsi="宋体" w:cs="宋体"/>
              </w:rPr>
            </w:pPr>
            <w:r w:rsidRPr="003C684F">
              <w:rPr>
                <w:rFonts w:hint="eastAsia" w:ascii="宋体" w:hAnsi="宋体" w:cs="宋体"/>
              </w:rPr>
              <w:t>06</w:t>
            </w:r>
            <w:r w:rsidRPr="003C684F" w:rsidR="00FE75E4">
              <w:rPr>
                <w:rFonts w:hint="eastAsia" w:ascii="宋体" w:hAnsi="宋体" w:cs="宋体"/>
              </w:rPr>
              <w:t>4</w:t>
            </w:r>
          </w:p>
          <w:p w:rsidRPr="003C684F" w:rsidR="009730C1" w:rsidRDefault="00A315B9" w14:paraId="29497DB0" w14:textId="30EB2495">
            <w:pPr>
              <w:jc w:val="left"/>
              <w:rPr>
                <w:rFonts w:ascii="宋体" w:hAnsi="宋体" w:cs="宋体"/>
              </w:rPr>
            </w:pPr>
            <w:r w:rsidRPr="003C684F">
              <w:rPr>
                <w:rFonts w:hint="eastAsia" w:ascii="宋体" w:hAnsi="宋体" w:cs="宋体"/>
              </w:rPr>
              <w:t>06</w:t>
            </w:r>
            <w:r w:rsidRPr="003C684F" w:rsidR="00FE75E4">
              <w:rPr>
                <w:rFonts w:hint="eastAsia" w:ascii="宋体" w:hAnsi="宋体" w:cs="宋体"/>
              </w:rPr>
              <w:t>5</w:t>
            </w:r>
          </w:p>
          <w:p w:rsidRPr="003C684F" w:rsidR="009730C1" w:rsidRDefault="00A315B9" w14:paraId="0367924C" w14:textId="0973CB77">
            <w:pPr>
              <w:jc w:val="left"/>
              <w:rPr>
                <w:rFonts w:ascii="宋体" w:hAnsi="宋体" w:cs="宋体"/>
              </w:rPr>
            </w:pPr>
            <w:r w:rsidRPr="003C684F">
              <w:rPr>
                <w:rFonts w:hint="eastAsia" w:ascii="宋体" w:hAnsi="宋体" w:cs="宋体"/>
              </w:rPr>
              <w:t>06</w:t>
            </w:r>
            <w:r w:rsidRPr="003C684F" w:rsidR="00FE75E4">
              <w:rPr>
                <w:rFonts w:hint="eastAsia" w:ascii="宋体" w:hAnsi="宋体" w:cs="宋体"/>
              </w:rPr>
              <w:t>6</w:t>
            </w:r>
          </w:p>
          <w:p w:rsidRPr="003C684F" w:rsidR="009730C1" w:rsidRDefault="00A315B9" w14:paraId="37641A6B" w14:textId="5BC875F5">
            <w:pPr>
              <w:jc w:val="left"/>
              <w:rPr>
                <w:rFonts w:ascii="宋体" w:hAnsi="宋体" w:cs="宋体"/>
              </w:rPr>
            </w:pPr>
            <w:r w:rsidRPr="003C684F">
              <w:rPr>
                <w:rFonts w:hint="eastAsia" w:ascii="宋体" w:hAnsi="宋体" w:cs="宋体"/>
              </w:rPr>
              <w:t>06</w:t>
            </w:r>
            <w:r w:rsidRPr="003C684F" w:rsidR="00FE75E4">
              <w:rPr>
                <w:rFonts w:hint="eastAsia" w:ascii="宋体" w:hAnsi="宋体" w:cs="宋体"/>
              </w:rPr>
              <w:t>7</w:t>
            </w:r>
          </w:p>
          <w:p w:rsidRPr="003C684F" w:rsidR="009730C1" w:rsidRDefault="00A315B9" w14:paraId="1656462D" w14:textId="34DFB446">
            <w:pPr>
              <w:jc w:val="left"/>
              <w:rPr>
                <w:rFonts w:ascii="宋体" w:hAnsi="宋体" w:cs="宋体"/>
              </w:rPr>
            </w:pPr>
            <w:r w:rsidRPr="003C684F">
              <w:rPr>
                <w:rFonts w:hint="eastAsia" w:ascii="宋体" w:hAnsi="宋体" w:cs="宋体"/>
              </w:rPr>
              <w:t>06</w:t>
            </w:r>
            <w:r w:rsidRPr="003C684F" w:rsidR="00FE75E4">
              <w:rPr>
                <w:rFonts w:hint="eastAsia" w:ascii="宋体" w:hAnsi="宋体" w:cs="宋体"/>
              </w:rPr>
              <w:t>8</w:t>
            </w:r>
          </w:p>
          <w:p w:rsidRPr="003C684F" w:rsidR="009730C1" w:rsidRDefault="00A315B9" w14:paraId="06CEF4E2" w14:textId="6F1CA0A4">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70</w:t>
            </w:r>
          </w:p>
          <w:p w:rsidRPr="003C684F" w:rsidR="009730C1" w:rsidRDefault="00A315B9" w14:paraId="4C952EFC" w14:textId="4ABB7726">
            <w:pPr>
              <w:jc w:val="left"/>
              <w:rPr>
                <w:rFonts w:ascii="宋体" w:hAnsi="宋体" w:cs="宋体"/>
              </w:rPr>
            </w:pPr>
            <w:r w:rsidRPr="003C684F">
              <w:rPr>
                <w:rFonts w:hint="eastAsia" w:ascii="宋体" w:hAnsi="宋体" w:cs="宋体"/>
              </w:rPr>
              <w:t>0</w:t>
            </w:r>
            <w:r w:rsidRPr="003C684F" w:rsidR="002C1C35">
              <w:rPr>
                <w:rFonts w:hint="eastAsia" w:ascii="宋体" w:hAnsi="宋体" w:cs="宋体"/>
              </w:rPr>
              <w:t>7</w:t>
            </w:r>
            <w:r w:rsidRPr="003C684F" w:rsidR="00FE75E4">
              <w:rPr>
                <w:rFonts w:hint="eastAsia" w:ascii="宋体" w:hAnsi="宋体" w:cs="宋体"/>
              </w:rPr>
              <w:t>2</w:t>
            </w:r>
          </w:p>
          <w:p w:rsidRPr="003C684F" w:rsidR="009730C1" w:rsidRDefault="00A315B9" w14:paraId="12384BD2" w14:textId="0D89E563">
            <w:pPr>
              <w:jc w:val="left"/>
              <w:rPr>
                <w:rFonts w:ascii="宋体" w:hAnsi="宋体" w:cs="宋体"/>
              </w:rPr>
            </w:pPr>
            <w:r w:rsidRPr="003C684F">
              <w:rPr>
                <w:rFonts w:hint="eastAsia" w:ascii="宋体" w:hAnsi="宋体" w:cs="宋体"/>
              </w:rPr>
              <w:t>07</w:t>
            </w:r>
            <w:r w:rsidRPr="003C684F" w:rsidR="00FE75E4">
              <w:rPr>
                <w:rFonts w:hint="eastAsia" w:ascii="宋体" w:hAnsi="宋体" w:cs="宋体"/>
              </w:rPr>
              <w:t>5</w:t>
            </w:r>
          </w:p>
          <w:p w:rsidRPr="003C684F" w:rsidR="009730C1" w:rsidRDefault="00A315B9" w14:paraId="14C17BB4" w14:textId="616F4620">
            <w:pPr>
              <w:jc w:val="left"/>
              <w:rPr>
                <w:rFonts w:ascii="宋体" w:hAnsi="宋体" w:cs="宋体"/>
              </w:rPr>
            </w:pPr>
            <w:r w:rsidRPr="003C684F">
              <w:rPr>
                <w:rFonts w:hint="eastAsia" w:ascii="宋体" w:hAnsi="宋体" w:cs="宋体"/>
              </w:rPr>
              <w:t>07</w:t>
            </w:r>
            <w:r w:rsidR="002A7C3C">
              <w:rPr>
                <w:rFonts w:hint="eastAsia" w:ascii="宋体" w:hAnsi="宋体" w:cs="宋体"/>
              </w:rPr>
              <w:t>8</w:t>
            </w:r>
          </w:p>
          <w:p w:rsidRPr="003C684F" w:rsidR="009730C1" w:rsidRDefault="00A315B9" w14:paraId="5DB355A5" w14:textId="13D19A32">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80</w:t>
            </w:r>
          </w:p>
          <w:p w:rsidRPr="003C684F" w:rsidR="009730C1" w:rsidRDefault="00A315B9" w14:paraId="43E9900E" w14:textId="2C0ADEF6">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82</w:t>
            </w:r>
          </w:p>
          <w:p w:rsidRPr="003C684F" w:rsidR="009730C1" w:rsidRDefault="00A315B9" w14:paraId="72483F40" w14:textId="1A26E725">
            <w:pPr>
              <w:jc w:val="left"/>
              <w:rPr>
                <w:rFonts w:ascii="宋体" w:hAnsi="宋体" w:cs="宋体"/>
              </w:rPr>
            </w:pPr>
            <w:r w:rsidRPr="003C684F">
              <w:rPr>
                <w:rFonts w:hint="eastAsia" w:ascii="宋体" w:hAnsi="宋体" w:cs="宋体"/>
              </w:rPr>
              <w:t>08</w:t>
            </w:r>
            <w:r w:rsidRPr="003C684F" w:rsidR="00FE75E4">
              <w:rPr>
                <w:rFonts w:hint="eastAsia" w:ascii="宋体" w:hAnsi="宋体" w:cs="宋体"/>
              </w:rPr>
              <w:t>4</w:t>
            </w:r>
          </w:p>
          <w:p w:rsidRPr="003C684F" w:rsidR="009730C1" w:rsidRDefault="00A315B9" w14:paraId="58AF761B" w14:textId="402F0D23">
            <w:pPr>
              <w:jc w:val="left"/>
              <w:rPr>
                <w:rFonts w:ascii="宋体" w:hAnsi="宋体" w:cs="宋体"/>
              </w:rPr>
            </w:pPr>
            <w:r w:rsidRPr="003C684F">
              <w:rPr>
                <w:rFonts w:hint="eastAsia" w:ascii="宋体" w:hAnsi="宋体" w:cs="宋体"/>
              </w:rPr>
              <w:t>08</w:t>
            </w:r>
            <w:r w:rsidRPr="003C684F" w:rsidR="00FE75E4">
              <w:rPr>
                <w:rFonts w:hint="eastAsia" w:ascii="宋体" w:hAnsi="宋体" w:cs="宋体"/>
              </w:rPr>
              <w:t>5</w:t>
            </w:r>
          </w:p>
          <w:p w:rsidRPr="003C684F" w:rsidR="009730C1" w:rsidRDefault="00A315B9" w14:paraId="5E52CD63" w14:textId="762AD69B">
            <w:pPr>
              <w:jc w:val="left"/>
              <w:rPr>
                <w:rFonts w:ascii="宋体" w:hAnsi="宋体" w:cs="宋体"/>
              </w:rPr>
            </w:pPr>
            <w:r w:rsidRPr="003C684F">
              <w:rPr>
                <w:rFonts w:hint="eastAsia" w:ascii="宋体" w:hAnsi="宋体" w:cs="宋体"/>
              </w:rPr>
              <w:t>08</w:t>
            </w:r>
            <w:r w:rsidRPr="003C684F" w:rsidR="00FE75E4">
              <w:rPr>
                <w:rFonts w:hint="eastAsia" w:ascii="宋体" w:hAnsi="宋体" w:cs="宋体"/>
              </w:rPr>
              <w:t>8</w:t>
            </w:r>
          </w:p>
          <w:p w:rsidRPr="003C684F" w:rsidR="009730C1" w:rsidRDefault="00A315B9" w14:paraId="299E382A" w14:textId="1BDC5147">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90</w:t>
            </w:r>
          </w:p>
          <w:p w:rsidRPr="003C684F" w:rsidR="009730C1" w:rsidRDefault="00A315B9" w14:paraId="35DD7DFF" w14:textId="3CF7EBC0">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91</w:t>
            </w:r>
          </w:p>
          <w:p w:rsidRPr="003C684F" w:rsidR="009730C1" w:rsidRDefault="00A315B9" w14:paraId="0D377835" w14:textId="1FE719D3">
            <w:pPr>
              <w:jc w:val="left"/>
              <w:rPr>
                <w:rFonts w:ascii="宋体" w:hAnsi="宋体" w:cs="宋体"/>
              </w:rPr>
            </w:pPr>
            <w:r w:rsidRPr="003C684F">
              <w:rPr>
                <w:rFonts w:hint="eastAsia" w:ascii="宋体" w:hAnsi="宋体" w:cs="宋体"/>
              </w:rPr>
              <w:t>0</w:t>
            </w:r>
            <w:r w:rsidRPr="003C684F" w:rsidR="00FE75E4">
              <w:rPr>
                <w:rFonts w:hint="eastAsia" w:ascii="宋体" w:hAnsi="宋体" w:cs="宋体"/>
              </w:rPr>
              <w:t>93</w:t>
            </w:r>
          </w:p>
          <w:p w:rsidRPr="003C684F" w:rsidR="009730C1" w:rsidRDefault="00A315B9" w14:paraId="240B3131" w14:textId="718FDCB3">
            <w:pPr>
              <w:jc w:val="left"/>
              <w:rPr>
                <w:rFonts w:ascii="宋体" w:hAnsi="宋体" w:cs="宋体"/>
              </w:rPr>
            </w:pPr>
            <w:r w:rsidRPr="003C684F">
              <w:rPr>
                <w:rFonts w:hint="eastAsia" w:ascii="宋体" w:hAnsi="宋体" w:cs="宋体"/>
              </w:rPr>
              <w:t>0</w:t>
            </w:r>
            <w:r w:rsidRPr="003C684F" w:rsidR="002C1C35">
              <w:rPr>
                <w:rFonts w:hint="eastAsia" w:ascii="宋体" w:hAnsi="宋体" w:cs="宋体"/>
              </w:rPr>
              <w:t>9</w:t>
            </w:r>
            <w:r w:rsidR="002A7C3C">
              <w:rPr>
                <w:rFonts w:hint="eastAsia" w:ascii="宋体" w:hAnsi="宋体" w:cs="宋体"/>
              </w:rPr>
              <w:t>5</w:t>
            </w:r>
          </w:p>
          <w:p w:rsidRPr="003C684F" w:rsidR="009730C1" w:rsidRDefault="00A315B9" w14:paraId="5C6AF785" w14:textId="7C595033">
            <w:pPr>
              <w:jc w:val="left"/>
              <w:rPr>
                <w:rFonts w:ascii="宋体" w:hAnsi="宋体" w:cs="宋体"/>
              </w:rPr>
            </w:pPr>
            <w:r w:rsidRPr="003C684F">
              <w:rPr>
                <w:rFonts w:hint="eastAsia" w:ascii="宋体" w:hAnsi="宋体" w:cs="宋体"/>
              </w:rPr>
              <w:t>09</w:t>
            </w:r>
            <w:r w:rsidRPr="003C684F" w:rsidR="00FE75E4">
              <w:rPr>
                <w:rFonts w:hint="eastAsia" w:ascii="宋体" w:hAnsi="宋体" w:cs="宋体"/>
              </w:rPr>
              <w:t>6</w:t>
            </w:r>
          </w:p>
          <w:p w:rsidRPr="003C684F" w:rsidR="009730C1" w:rsidRDefault="00A315B9" w14:paraId="0EA6978A" w14:textId="44B475BB">
            <w:pPr>
              <w:jc w:val="left"/>
              <w:rPr>
                <w:rFonts w:ascii="宋体" w:hAnsi="宋体" w:cs="宋体"/>
              </w:rPr>
            </w:pPr>
            <w:r w:rsidRPr="003C684F">
              <w:rPr>
                <w:rFonts w:hint="eastAsia" w:ascii="宋体" w:hAnsi="宋体" w:cs="宋体"/>
              </w:rPr>
              <w:t>09</w:t>
            </w:r>
            <w:r w:rsidRPr="003C684F" w:rsidR="00FE75E4">
              <w:rPr>
                <w:rFonts w:hint="eastAsia" w:ascii="宋体" w:hAnsi="宋体" w:cs="宋体"/>
              </w:rPr>
              <w:t>7</w:t>
            </w:r>
          </w:p>
          <w:p w:rsidRPr="003C684F" w:rsidR="009730C1" w:rsidRDefault="00A315B9" w14:paraId="28104407" w14:textId="027EAE79">
            <w:pPr>
              <w:jc w:val="left"/>
              <w:rPr>
                <w:rFonts w:ascii="宋体" w:hAnsi="宋体" w:cs="宋体"/>
              </w:rPr>
            </w:pPr>
            <w:r w:rsidRPr="003C684F">
              <w:rPr>
                <w:rFonts w:hint="eastAsia" w:ascii="宋体" w:hAnsi="宋体" w:cs="宋体"/>
              </w:rPr>
              <w:t>09</w:t>
            </w:r>
            <w:r w:rsidRPr="003C684F" w:rsidR="00FE75E4">
              <w:rPr>
                <w:rFonts w:hint="eastAsia" w:ascii="宋体" w:hAnsi="宋体" w:cs="宋体"/>
              </w:rPr>
              <w:t>8</w:t>
            </w:r>
          </w:p>
          <w:p w:rsidRPr="003C684F" w:rsidR="009730C1" w:rsidRDefault="00FE75E4" w14:paraId="130E918B" w14:textId="64552A16">
            <w:pPr>
              <w:jc w:val="left"/>
              <w:rPr>
                <w:rFonts w:ascii="宋体" w:hAnsi="宋体" w:cs="宋体"/>
              </w:rPr>
            </w:pPr>
            <w:r w:rsidRPr="003C684F">
              <w:rPr>
                <w:rFonts w:hint="eastAsia" w:ascii="宋体" w:hAnsi="宋体" w:cs="宋体"/>
              </w:rPr>
              <w:t>100</w:t>
            </w:r>
          </w:p>
          <w:p w:rsidRPr="003C684F" w:rsidR="009730C1" w:rsidRDefault="00FE75E4" w14:paraId="30F24289" w14:textId="676FEB7B">
            <w:pPr>
              <w:jc w:val="left"/>
              <w:rPr>
                <w:rFonts w:ascii="宋体" w:hAnsi="宋体" w:cs="宋体"/>
              </w:rPr>
            </w:pPr>
            <w:r w:rsidRPr="003C684F">
              <w:rPr>
                <w:rFonts w:hint="eastAsia" w:ascii="宋体" w:hAnsi="宋体" w:cs="宋体"/>
              </w:rPr>
              <w:t>102</w:t>
            </w:r>
          </w:p>
          <w:p w:rsidRPr="003C684F" w:rsidR="009730C1" w:rsidRDefault="00FE75E4" w14:paraId="58EF4EB8" w14:textId="646523A6">
            <w:pPr>
              <w:jc w:val="left"/>
              <w:rPr>
                <w:rFonts w:ascii="宋体" w:hAnsi="宋体" w:cs="宋体"/>
              </w:rPr>
            </w:pPr>
            <w:r w:rsidRPr="003C684F">
              <w:rPr>
                <w:rFonts w:hint="eastAsia" w:ascii="宋体" w:hAnsi="宋体" w:cs="宋体"/>
              </w:rPr>
              <w:t>104</w:t>
            </w:r>
          </w:p>
          <w:p w:rsidRPr="003C684F" w:rsidR="009730C1" w:rsidRDefault="00CD6DFC" w14:paraId="6FABD796" w14:textId="2EB63230">
            <w:pPr>
              <w:jc w:val="left"/>
              <w:rPr>
                <w:rFonts w:ascii="宋体" w:hAnsi="宋体" w:cs="宋体"/>
              </w:rPr>
            </w:pPr>
            <w:r w:rsidRPr="003C684F">
              <w:rPr>
                <w:rFonts w:hint="eastAsia" w:ascii="宋体" w:hAnsi="宋体" w:cs="宋体"/>
              </w:rPr>
              <w:t>10</w:t>
            </w:r>
            <w:r w:rsidRPr="003C684F" w:rsidR="00FE75E4">
              <w:rPr>
                <w:rFonts w:hint="eastAsia" w:ascii="宋体" w:hAnsi="宋体" w:cs="宋体"/>
              </w:rPr>
              <w:t>5</w:t>
            </w:r>
          </w:p>
          <w:p w:rsidRPr="003C684F" w:rsidR="009730C1" w:rsidRDefault="00A315B9" w14:paraId="2E7A812A" w14:textId="69A24ED5">
            <w:pPr>
              <w:jc w:val="left"/>
              <w:rPr>
                <w:rFonts w:ascii="宋体" w:hAnsi="宋体" w:cs="宋体"/>
              </w:rPr>
            </w:pPr>
            <w:r w:rsidRPr="003C684F">
              <w:rPr>
                <w:rFonts w:hint="eastAsia" w:ascii="宋体" w:hAnsi="宋体" w:cs="宋体"/>
              </w:rPr>
              <w:t>10</w:t>
            </w:r>
            <w:r w:rsidRPr="003C684F" w:rsidR="00FE75E4">
              <w:rPr>
                <w:rFonts w:hint="eastAsia" w:ascii="宋体" w:hAnsi="宋体" w:cs="宋体"/>
              </w:rPr>
              <w:t>8</w:t>
            </w:r>
          </w:p>
          <w:p w:rsidRPr="003C684F" w:rsidR="009730C1" w:rsidRDefault="00A315B9" w14:paraId="2CBA02D9" w14:textId="0F110170">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10</w:t>
            </w:r>
          </w:p>
          <w:p w:rsidRPr="003C684F" w:rsidR="009730C1" w:rsidRDefault="00A315B9" w14:paraId="770C0975" w14:textId="0DF24FB2">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12</w:t>
            </w:r>
          </w:p>
          <w:p w:rsidRPr="003C684F" w:rsidR="009730C1" w:rsidRDefault="009730C1" w14:paraId="23D3CA69" w14:textId="77777777">
            <w:pPr>
              <w:spacing w:line="360" w:lineRule="auto"/>
              <w:jc w:val="left"/>
              <w:rPr>
                <w:rFonts w:ascii="宋体" w:hAnsi="宋体" w:cs="宋体"/>
              </w:rPr>
            </w:pPr>
          </w:p>
          <w:p w:rsidRPr="003C684F" w:rsidR="009730C1" w:rsidRDefault="00A315B9" w14:paraId="0F08F032" w14:textId="0FBF7737">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15</w:t>
            </w:r>
          </w:p>
          <w:p w:rsidRPr="003C684F" w:rsidR="009730C1" w:rsidRDefault="00A315B9" w14:paraId="64F35DAB" w14:textId="0E3F3B39">
            <w:pPr>
              <w:jc w:val="left"/>
              <w:rPr>
                <w:rFonts w:ascii="宋体" w:hAnsi="宋体" w:cs="宋体"/>
              </w:rPr>
            </w:pPr>
            <w:r w:rsidRPr="003C684F">
              <w:rPr>
                <w:rFonts w:hint="eastAsia" w:ascii="宋体" w:hAnsi="宋体" w:cs="宋体"/>
              </w:rPr>
              <w:t>11</w:t>
            </w:r>
            <w:r w:rsidRPr="003C684F" w:rsidR="00FE75E4">
              <w:rPr>
                <w:rFonts w:hint="eastAsia" w:ascii="宋体" w:hAnsi="宋体" w:cs="宋体"/>
              </w:rPr>
              <w:t>7</w:t>
            </w:r>
          </w:p>
          <w:p w:rsidRPr="003C684F" w:rsidR="009730C1" w:rsidRDefault="00A315B9" w14:paraId="675D491A" w14:textId="63873FE4">
            <w:pPr>
              <w:jc w:val="left"/>
              <w:rPr>
                <w:rFonts w:ascii="宋体" w:hAnsi="宋体" w:cs="宋体"/>
              </w:rPr>
            </w:pPr>
            <w:r w:rsidRPr="003C684F">
              <w:rPr>
                <w:rFonts w:hint="eastAsia" w:ascii="宋体" w:hAnsi="宋体" w:cs="宋体"/>
              </w:rPr>
              <w:t>11</w:t>
            </w:r>
            <w:r w:rsidR="002A7C3C">
              <w:rPr>
                <w:rFonts w:hint="eastAsia" w:ascii="宋体" w:hAnsi="宋体" w:cs="宋体"/>
              </w:rPr>
              <w:t>8</w:t>
            </w:r>
          </w:p>
          <w:p w:rsidRPr="003C684F" w:rsidR="009730C1" w:rsidRDefault="00A315B9" w14:paraId="00CA5E70" w14:textId="0965D7F9">
            <w:pPr>
              <w:jc w:val="left"/>
              <w:rPr>
                <w:rFonts w:ascii="宋体" w:hAnsi="宋体" w:cs="宋体"/>
              </w:rPr>
            </w:pPr>
            <w:r w:rsidRPr="003C684F">
              <w:rPr>
                <w:rFonts w:hint="eastAsia" w:ascii="宋体" w:hAnsi="宋体" w:cs="宋体"/>
              </w:rPr>
              <w:t>11</w:t>
            </w:r>
            <w:r w:rsidRPr="003C684F" w:rsidR="00FE75E4">
              <w:rPr>
                <w:rFonts w:hint="eastAsia" w:ascii="宋体" w:hAnsi="宋体" w:cs="宋体"/>
              </w:rPr>
              <w:t>8</w:t>
            </w:r>
          </w:p>
          <w:p w:rsidRPr="003C684F" w:rsidR="009730C1" w:rsidRDefault="00A315B9" w14:paraId="6E95A90E" w14:textId="449C6FE4">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20</w:t>
            </w:r>
          </w:p>
          <w:p w:rsidRPr="003C684F" w:rsidR="009730C1" w:rsidRDefault="00A315B9" w14:paraId="7E836B08" w14:textId="77F620BA">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2</w:t>
            </w:r>
            <w:r w:rsidR="002A7C3C">
              <w:rPr>
                <w:rFonts w:hint="eastAsia" w:ascii="宋体" w:hAnsi="宋体" w:cs="宋体"/>
              </w:rPr>
              <w:t>1</w:t>
            </w:r>
          </w:p>
          <w:p w:rsidRPr="003C684F" w:rsidR="009730C1" w:rsidRDefault="00A315B9" w14:paraId="12ADFB55" w14:textId="4E2255F1">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2</w:t>
            </w:r>
            <w:r w:rsidR="002A7C3C">
              <w:rPr>
                <w:rFonts w:hint="eastAsia" w:ascii="宋体" w:hAnsi="宋体" w:cs="宋体"/>
              </w:rPr>
              <w:t>3</w:t>
            </w:r>
          </w:p>
          <w:p w:rsidRPr="003C684F" w:rsidR="009730C1" w:rsidRDefault="00A315B9" w14:paraId="378FB53C" w14:textId="7FB54542">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25</w:t>
            </w:r>
          </w:p>
          <w:p w:rsidRPr="003C684F" w:rsidR="009730C1" w:rsidRDefault="00A315B9" w14:paraId="1F2891F8" w14:textId="6E6C4144">
            <w:pPr>
              <w:jc w:val="left"/>
              <w:rPr>
                <w:rFonts w:ascii="宋体" w:hAnsi="宋体" w:cs="宋体"/>
              </w:rPr>
            </w:pPr>
            <w:r w:rsidRPr="003C684F">
              <w:rPr>
                <w:rFonts w:hint="eastAsia" w:ascii="宋体" w:hAnsi="宋体" w:cs="宋体"/>
              </w:rPr>
              <w:t>12</w:t>
            </w:r>
            <w:r w:rsidRPr="003C684F" w:rsidR="00FE75E4">
              <w:rPr>
                <w:rFonts w:hint="eastAsia" w:ascii="宋体" w:hAnsi="宋体" w:cs="宋体"/>
              </w:rPr>
              <w:t>7</w:t>
            </w:r>
          </w:p>
          <w:p w:rsidRPr="003C684F" w:rsidR="009730C1" w:rsidRDefault="00A315B9" w14:paraId="7274A265" w14:textId="7F87882B">
            <w:pPr>
              <w:jc w:val="left"/>
              <w:rPr>
                <w:rFonts w:ascii="宋体" w:hAnsi="宋体" w:cs="宋体"/>
              </w:rPr>
            </w:pPr>
            <w:r w:rsidRPr="003C684F">
              <w:rPr>
                <w:rFonts w:hint="eastAsia" w:ascii="宋体" w:hAnsi="宋体" w:cs="宋体"/>
              </w:rPr>
              <w:t>12</w:t>
            </w:r>
            <w:r w:rsidRPr="003C684F" w:rsidR="00FE75E4">
              <w:rPr>
                <w:rFonts w:hint="eastAsia" w:ascii="宋体" w:hAnsi="宋体" w:cs="宋体"/>
              </w:rPr>
              <w:t>9</w:t>
            </w:r>
          </w:p>
          <w:p w:rsidRPr="003C684F" w:rsidR="009730C1" w:rsidRDefault="00A315B9" w14:paraId="7F86EB95" w14:textId="3F60B426">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31</w:t>
            </w:r>
          </w:p>
          <w:p w:rsidRPr="003C684F" w:rsidR="009730C1" w:rsidRDefault="00A315B9" w14:paraId="7608ACBC" w14:textId="5B9EB902">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3</w:t>
            </w:r>
            <w:r w:rsidR="002A7C3C">
              <w:rPr>
                <w:rFonts w:hint="eastAsia" w:ascii="宋体" w:hAnsi="宋体" w:cs="宋体"/>
              </w:rPr>
              <w:t>4</w:t>
            </w:r>
          </w:p>
          <w:p w:rsidRPr="003C684F" w:rsidR="009730C1" w:rsidRDefault="00A315B9" w14:paraId="45D7A102" w14:textId="0C3C87C0">
            <w:pPr>
              <w:jc w:val="left"/>
              <w:rPr>
                <w:rFonts w:ascii="宋体" w:hAnsi="宋体" w:cs="宋体"/>
              </w:rPr>
            </w:pPr>
            <w:r w:rsidRPr="003C684F">
              <w:rPr>
                <w:rFonts w:hint="eastAsia" w:ascii="宋体" w:hAnsi="宋体" w:cs="宋体"/>
              </w:rPr>
              <w:t>1</w:t>
            </w:r>
            <w:r w:rsidRPr="003C684F" w:rsidR="00FE75E4">
              <w:rPr>
                <w:rFonts w:hint="eastAsia" w:ascii="宋体" w:hAnsi="宋体" w:cs="宋体"/>
              </w:rPr>
              <w:t>3</w:t>
            </w:r>
            <w:r w:rsidR="002A7C3C">
              <w:rPr>
                <w:rFonts w:hint="eastAsia" w:ascii="宋体" w:hAnsi="宋体" w:cs="宋体"/>
              </w:rPr>
              <w:t>5</w:t>
            </w:r>
          </w:p>
          <w:p w:rsidRPr="003C684F" w:rsidR="009730C1" w:rsidRDefault="00A315B9" w14:paraId="7C48952D" w14:textId="2FE3A16E">
            <w:pPr>
              <w:jc w:val="left"/>
              <w:rPr>
                <w:rFonts w:ascii="宋体" w:hAnsi="宋体" w:cs="宋体"/>
              </w:rPr>
            </w:pPr>
            <w:r w:rsidRPr="003C684F">
              <w:rPr>
                <w:rFonts w:hint="eastAsia" w:ascii="宋体" w:hAnsi="宋体" w:cs="宋体"/>
              </w:rPr>
              <w:lastRenderedPageBreak/>
              <w:t>1</w:t>
            </w:r>
            <w:r w:rsidRPr="003C684F" w:rsidR="00372DEB">
              <w:rPr>
                <w:rFonts w:hint="eastAsia" w:ascii="宋体" w:hAnsi="宋体" w:cs="宋体"/>
              </w:rPr>
              <w:t>3</w:t>
            </w:r>
            <w:r w:rsidRPr="003C684F" w:rsidR="006D5DFE">
              <w:rPr>
                <w:rFonts w:hint="eastAsia" w:ascii="宋体" w:hAnsi="宋体" w:cs="宋体"/>
              </w:rPr>
              <w:t>6</w:t>
            </w:r>
          </w:p>
          <w:p w:rsidRPr="003C684F" w:rsidR="009730C1" w:rsidRDefault="00A315B9" w14:paraId="078FDC2F" w14:textId="13FCABAF">
            <w:pPr>
              <w:jc w:val="left"/>
              <w:rPr>
                <w:rFonts w:ascii="宋体" w:hAnsi="宋体" w:cs="宋体"/>
              </w:rPr>
            </w:pPr>
            <w:r w:rsidRPr="003C684F">
              <w:rPr>
                <w:rFonts w:hint="eastAsia" w:ascii="宋体" w:hAnsi="宋体" w:cs="宋体"/>
              </w:rPr>
              <w:t>13</w:t>
            </w:r>
            <w:r w:rsidRPr="003C684F" w:rsidR="006D5DFE">
              <w:rPr>
                <w:rFonts w:hint="eastAsia" w:ascii="宋体" w:hAnsi="宋体" w:cs="宋体"/>
              </w:rPr>
              <w:t>8</w:t>
            </w:r>
          </w:p>
          <w:p w:rsidRPr="003C684F" w:rsidR="009730C1" w:rsidRDefault="00A315B9" w14:paraId="34FE9BDD" w14:textId="208BC5E8">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41</w:t>
            </w:r>
          </w:p>
          <w:p w:rsidRPr="003C684F" w:rsidR="009730C1" w:rsidRDefault="00A315B9" w14:paraId="26AE4E3F" w14:textId="262DCB38">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43</w:t>
            </w:r>
          </w:p>
          <w:p w:rsidRPr="003C684F" w:rsidR="009730C1" w:rsidRDefault="00A315B9" w14:paraId="07FC7C04" w14:textId="7B1D10CC">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45</w:t>
            </w:r>
          </w:p>
          <w:p w:rsidRPr="003C684F" w:rsidR="009730C1" w:rsidRDefault="00A315B9" w14:paraId="7C2E509C" w14:textId="003788DE">
            <w:pPr>
              <w:jc w:val="left"/>
              <w:rPr>
                <w:rFonts w:ascii="宋体" w:hAnsi="宋体" w:cs="宋体"/>
              </w:rPr>
            </w:pPr>
            <w:r w:rsidRPr="003C684F">
              <w:rPr>
                <w:rFonts w:hint="eastAsia" w:ascii="宋体" w:hAnsi="宋体" w:cs="宋体"/>
              </w:rPr>
              <w:t>14</w:t>
            </w:r>
            <w:r w:rsidRPr="003C684F" w:rsidR="006D5DFE">
              <w:rPr>
                <w:rFonts w:hint="eastAsia" w:ascii="宋体" w:hAnsi="宋体" w:cs="宋体"/>
              </w:rPr>
              <w:t>8</w:t>
            </w:r>
          </w:p>
          <w:p w:rsidRPr="003C684F" w:rsidR="009730C1" w:rsidRDefault="00A315B9" w14:paraId="17D7627E" w14:textId="73CBF8F3">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50</w:t>
            </w:r>
          </w:p>
          <w:p w:rsidRPr="003C684F" w:rsidR="009730C1" w:rsidRDefault="00A315B9" w14:paraId="3CEA2BF4" w14:textId="1A9A619D">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54</w:t>
            </w:r>
          </w:p>
          <w:p w:rsidRPr="003C684F" w:rsidR="009730C1" w:rsidRDefault="00A315B9" w14:paraId="7EA5019C" w14:textId="2EE2FCA0">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55</w:t>
            </w:r>
          </w:p>
          <w:p w:rsidRPr="003C684F" w:rsidR="009730C1" w:rsidRDefault="00A315B9" w14:paraId="1B3BB2F0" w14:textId="260B2E35">
            <w:pPr>
              <w:jc w:val="left"/>
              <w:rPr>
                <w:rFonts w:ascii="宋体" w:hAnsi="宋体" w:cs="宋体"/>
              </w:rPr>
            </w:pPr>
            <w:r w:rsidRPr="003C684F">
              <w:rPr>
                <w:rFonts w:hint="eastAsia" w:ascii="宋体" w:hAnsi="宋体" w:cs="宋体"/>
              </w:rPr>
              <w:t>15</w:t>
            </w:r>
            <w:r w:rsidR="002A7C3C">
              <w:rPr>
                <w:rFonts w:hint="eastAsia" w:ascii="宋体" w:hAnsi="宋体" w:cs="宋体"/>
              </w:rPr>
              <w:t>8</w:t>
            </w:r>
          </w:p>
          <w:p w:rsidRPr="003C684F" w:rsidR="009730C1" w:rsidRDefault="00A315B9" w14:paraId="5C4C5F00" w14:textId="1ED3EE15">
            <w:pPr>
              <w:jc w:val="left"/>
              <w:rPr>
                <w:rFonts w:ascii="宋体" w:hAnsi="宋体" w:cs="宋体"/>
              </w:rPr>
            </w:pPr>
            <w:r w:rsidRPr="003C684F">
              <w:rPr>
                <w:rFonts w:hint="eastAsia" w:ascii="宋体" w:hAnsi="宋体" w:cs="宋体"/>
              </w:rPr>
              <w:t>15</w:t>
            </w:r>
            <w:r w:rsidRPr="003C684F" w:rsidR="006D5DFE">
              <w:rPr>
                <w:rFonts w:hint="eastAsia" w:ascii="宋体" w:hAnsi="宋体" w:cs="宋体"/>
              </w:rPr>
              <w:t>9</w:t>
            </w:r>
          </w:p>
          <w:p w:rsidRPr="003C684F" w:rsidR="009730C1" w:rsidRDefault="00A315B9" w14:paraId="78E57D94" w14:textId="28A1628B">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61</w:t>
            </w:r>
          </w:p>
          <w:p w:rsidRPr="003C684F" w:rsidR="009730C1" w:rsidRDefault="00A315B9" w14:paraId="170F9D44" w14:textId="497BADB1">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63</w:t>
            </w:r>
          </w:p>
          <w:p w:rsidRPr="003C684F" w:rsidR="009730C1" w:rsidRDefault="00A315B9" w14:paraId="4D10EEFA" w14:textId="0373DD94">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66</w:t>
            </w:r>
          </w:p>
          <w:p w:rsidRPr="003C684F" w:rsidR="009730C1" w:rsidRDefault="00A315B9" w14:paraId="1DACCC48" w14:textId="78E7CE1D">
            <w:pPr>
              <w:jc w:val="left"/>
              <w:rPr>
                <w:rFonts w:ascii="宋体" w:hAnsi="宋体" w:cs="宋体"/>
              </w:rPr>
            </w:pPr>
            <w:r w:rsidRPr="003C684F">
              <w:rPr>
                <w:rFonts w:hint="eastAsia" w:ascii="宋体" w:hAnsi="宋体" w:cs="宋体"/>
              </w:rPr>
              <w:t>1</w:t>
            </w:r>
            <w:r w:rsidRPr="003C684F" w:rsidR="006D5DFE">
              <w:rPr>
                <w:rFonts w:hint="eastAsia" w:ascii="宋体" w:hAnsi="宋体" w:cs="宋体"/>
              </w:rPr>
              <w:t>6</w:t>
            </w:r>
            <w:r w:rsidR="002A7C3C">
              <w:rPr>
                <w:rFonts w:hint="eastAsia" w:ascii="宋体" w:hAnsi="宋体" w:cs="宋体"/>
              </w:rPr>
              <w:t>8</w:t>
            </w:r>
          </w:p>
          <w:p w:rsidRPr="003C684F" w:rsidR="006D5DFE" w:rsidRDefault="006D5DFE" w14:paraId="7381D241" w14:textId="442A369A">
            <w:pPr>
              <w:jc w:val="left"/>
              <w:rPr>
                <w:rFonts w:ascii="宋体" w:hAnsi="宋体" w:cs="宋体"/>
              </w:rPr>
            </w:pPr>
            <w:r w:rsidRPr="003C684F">
              <w:rPr>
                <w:rFonts w:hint="eastAsia" w:ascii="宋体" w:hAnsi="宋体" w:cs="宋体"/>
              </w:rPr>
              <w:t>16</w:t>
            </w:r>
            <w:r w:rsidR="002A7C3C">
              <w:rPr>
                <w:rFonts w:hint="eastAsia" w:ascii="宋体" w:hAnsi="宋体" w:cs="宋体"/>
              </w:rPr>
              <w:t>9</w:t>
            </w:r>
          </w:p>
          <w:p w:rsidRPr="003C684F" w:rsidR="009730C1" w:rsidRDefault="009730C1" w14:paraId="0925A95F" w14:textId="77777777">
            <w:pPr>
              <w:spacing w:line="360" w:lineRule="auto"/>
              <w:jc w:val="left"/>
              <w:rPr>
                <w:rFonts w:ascii="宋体" w:hAnsi="宋体" w:cs="宋体"/>
              </w:rPr>
            </w:pPr>
          </w:p>
          <w:p w:rsidRPr="003C684F" w:rsidR="009730C1" w:rsidRDefault="00A315B9" w14:paraId="04DF525E" w14:textId="77E8F6A5">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w:t>
            </w:r>
            <w:r w:rsidRPr="003C684F" w:rsidR="0012743B">
              <w:rPr>
                <w:rFonts w:hint="eastAsia" w:ascii="宋体" w:hAnsi="宋体" w:cs="宋体"/>
              </w:rPr>
              <w:t>0</w:t>
            </w:r>
          </w:p>
          <w:p w:rsidRPr="003C684F" w:rsidR="009730C1" w:rsidRDefault="00A315B9" w14:paraId="0667A41D" w14:textId="430CCADA">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w:t>
            </w:r>
            <w:r w:rsidR="002A7C3C">
              <w:rPr>
                <w:rFonts w:hint="eastAsia" w:ascii="宋体" w:hAnsi="宋体" w:cs="宋体"/>
              </w:rPr>
              <w:t>1</w:t>
            </w:r>
          </w:p>
          <w:p w:rsidRPr="003C684F" w:rsidR="009730C1" w:rsidRDefault="00A315B9" w14:paraId="510F9658" w14:textId="30849B0E">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71</w:t>
            </w:r>
          </w:p>
          <w:p w:rsidRPr="003C684F" w:rsidR="009730C1" w:rsidRDefault="00A315B9" w14:paraId="5E079571" w14:textId="4C724A20">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72</w:t>
            </w:r>
          </w:p>
          <w:p w:rsidRPr="003C684F" w:rsidR="009730C1" w:rsidRDefault="00A315B9" w14:paraId="63FD0A55" w14:textId="7CFC7520">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73</w:t>
            </w:r>
          </w:p>
          <w:p w:rsidRPr="003C684F" w:rsidR="009730C1" w:rsidRDefault="00A315B9" w14:paraId="7D824980" w14:textId="05E733F3">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w:t>
            </w:r>
            <w:r w:rsidR="002A7C3C">
              <w:rPr>
                <w:rFonts w:hint="eastAsia" w:ascii="宋体" w:hAnsi="宋体" w:cs="宋体"/>
              </w:rPr>
              <w:t>5</w:t>
            </w:r>
          </w:p>
          <w:p w:rsidRPr="003C684F" w:rsidR="009730C1" w:rsidRDefault="00A315B9" w14:paraId="0A4A9F8D" w14:textId="33E12DEC">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w:t>
            </w:r>
            <w:r w:rsidR="00CA34D1">
              <w:rPr>
                <w:rFonts w:hint="eastAsia" w:ascii="宋体" w:hAnsi="宋体" w:cs="宋体"/>
              </w:rPr>
              <w:t>6</w:t>
            </w:r>
          </w:p>
          <w:p w:rsidRPr="003C684F" w:rsidR="009730C1" w:rsidRDefault="00A315B9" w14:paraId="6BD79500" w14:textId="5C8DE3F7">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77</w:t>
            </w:r>
          </w:p>
          <w:p w:rsidRPr="003C684F" w:rsidR="009730C1" w:rsidRDefault="00A315B9" w14:paraId="487C045B" w14:textId="402FA9B6">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78</w:t>
            </w:r>
          </w:p>
          <w:p w:rsidRPr="003C684F" w:rsidR="009730C1" w:rsidRDefault="00A315B9" w14:paraId="58BFEB80" w14:textId="1ACBAE74">
            <w:pPr>
              <w:jc w:val="left"/>
              <w:rPr>
                <w:rFonts w:ascii="宋体" w:hAnsi="宋体" w:cs="宋体"/>
              </w:rPr>
            </w:pPr>
            <w:r w:rsidRPr="003C684F">
              <w:rPr>
                <w:rFonts w:hint="eastAsia" w:ascii="宋体" w:hAnsi="宋体" w:cs="宋体"/>
              </w:rPr>
              <w:t>17</w:t>
            </w:r>
            <w:r w:rsidRPr="003C684F" w:rsidR="00152F7C">
              <w:rPr>
                <w:rFonts w:hint="eastAsia" w:ascii="宋体" w:hAnsi="宋体" w:cs="宋体"/>
              </w:rPr>
              <w:t>9</w:t>
            </w:r>
          </w:p>
          <w:p w:rsidRPr="003C684F" w:rsidR="009730C1" w:rsidRDefault="00A315B9" w14:paraId="55BA8289" w14:textId="0569F850">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80</w:t>
            </w:r>
          </w:p>
          <w:p w:rsidRPr="003C684F" w:rsidR="009730C1" w:rsidRDefault="00A315B9" w14:paraId="6F2EB754" w14:textId="43E4FE0C">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81</w:t>
            </w:r>
          </w:p>
          <w:p w:rsidRPr="003C684F" w:rsidR="009730C1" w:rsidRDefault="00A315B9" w14:paraId="6E3C117E" w14:textId="62D4A100">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82</w:t>
            </w:r>
          </w:p>
          <w:p w:rsidRPr="003C684F" w:rsidR="009730C1" w:rsidRDefault="00A315B9" w14:paraId="1177F1E8" w14:textId="6F64F8FF">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83</w:t>
            </w:r>
          </w:p>
          <w:p w:rsidRPr="003C684F" w:rsidR="009730C1" w:rsidRDefault="00A315B9" w14:paraId="418810BF" w14:textId="1B98746A">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w:t>
            </w:r>
            <w:r w:rsidRPr="003C684F" w:rsidR="0012743B">
              <w:rPr>
                <w:rFonts w:hint="eastAsia" w:ascii="宋体" w:hAnsi="宋体" w:cs="宋体"/>
              </w:rPr>
              <w:t>5</w:t>
            </w:r>
          </w:p>
          <w:p w:rsidRPr="003C684F" w:rsidR="009730C1" w:rsidRDefault="00A315B9" w14:paraId="77E3B1B2" w14:textId="7B1D3B45">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w:t>
            </w:r>
            <w:r w:rsidRPr="003C684F" w:rsidR="0012743B">
              <w:rPr>
                <w:rFonts w:hint="eastAsia" w:ascii="宋体" w:hAnsi="宋体" w:cs="宋体"/>
              </w:rPr>
              <w:t>6</w:t>
            </w:r>
          </w:p>
          <w:p w:rsidRPr="003C684F" w:rsidR="009730C1" w:rsidRDefault="00A315B9" w14:paraId="752503D4" w14:textId="5FE7EC60">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88</w:t>
            </w:r>
          </w:p>
          <w:p w:rsidRPr="003C684F" w:rsidR="009730C1" w:rsidP="00D004BC" w:rsidRDefault="009730C1" w14:paraId="298CA5B7" w14:textId="295B527B">
            <w:pPr>
              <w:spacing w:line="360" w:lineRule="auto"/>
              <w:jc w:val="left"/>
              <w:rPr>
                <w:rFonts w:ascii="宋体" w:hAnsi="宋体" w:cs="宋体"/>
              </w:rPr>
            </w:pPr>
          </w:p>
          <w:p w:rsidRPr="003C684F" w:rsidR="009730C1" w:rsidRDefault="00A315B9" w14:paraId="13BE17C7" w14:textId="7F8C6629">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90</w:t>
            </w:r>
          </w:p>
          <w:p w:rsidRPr="003C684F" w:rsidR="009730C1" w:rsidRDefault="00A315B9" w14:paraId="7EA2ECE7" w14:textId="25F917BC">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9</w:t>
            </w:r>
            <w:r w:rsidR="002A7C3C">
              <w:rPr>
                <w:rFonts w:hint="eastAsia" w:ascii="宋体" w:hAnsi="宋体" w:cs="宋体"/>
              </w:rPr>
              <w:t>3</w:t>
            </w:r>
          </w:p>
          <w:p w:rsidRPr="003C684F" w:rsidR="009730C1" w:rsidRDefault="00A315B9" w14:paraId="4B676249" w14:textId="727E965E">
            <w:pPr>
              <w:jc w:val="left"/>
              <w:rPr>
                <w:rFonts w:ascii="宋体" w:hAnsi="宋体" w:cs="宋体"/>
              </w:rPr>
            </w:pPr>
            <w:r w:rsidRPr="003C684F">
              <w:rPr>
                <w:rFonts w:hint="eastAsia" w:ascii="宋体" w:hAnsi="宋体" w:cs="宋体"/>
              </w:rPr>
              <w:t>1</w:t>
            </w:r>
            <w:r w:rsidRPr="003C684F" w:rsidR="00152F7C">
              <w:rPr>
                <w:rFonts w:hint="eastAsia" w:ascii="宋体" w:hAnsi="宋体" w:cs="宋体"/>
              </w:rPr>
              <w:t>96</w:t>
            </w:r>
          </w:p>
          <w:p w:rsidRPr="003C684F" w:rsidR="009730C1" w:rsidRDefault="00A315B9" w14:paraId="58327AD6" w14:textId="6F03D20A">
            <w:pPr>
              <w:jc w:val="left"/>
              <w:rPr>
                <w:rFonts w:ascii="宋体" w:hAnsi="宋体" w:cs="宋体"/>
              </w:rPr>
            </w:pPr>
            <w:r w:rsidRPr="003C684F">
              <w:rPr>
                <w:rFonts w:hint="eastAsia" w:ascii="宋体" w:hAnsi="宋体" w:cs="宋体"/>
              </w:rPr>
              <w:t>19</w:t>
            </w:r>
            <w:r w:rsidR="002A7C3C">
              <w:rPr>
                <w:rFonts w:hint="eastAsia" w:ascii="宋体" w:hAnsi="宋体" w:cs="宋体"/>
              </w:rPr>
              <w:t>9</w:t>
            </w:r>
          </w:p>
          <w:p w:rsidRPr="003C684F" w:rsidR="009730C1" w:rsidRDefault="00152F7C" w14:paraId="239F484C" w14:textId="4ECA53CF">
            <w:pPr>
              <w:jc w:val="left"/>
              <w:rPr>
                <w:rFonts w:ascii="宋体" w:hAnsi="宋体" w:cs="宋体"/>
              </w:rPr>
            </w:pPr>
            <w:r w:rsidRPr="003C684F">
              <w:rPr>
                <w:rFonts w:hint="eastAsia" w:ascii="宋体" w:hAnsi="宋体" w:cs="宋体"/>
              </w:rPr>
              <w:t>200</w:t>
            </w:r>
          </w:p>
          <w:p w:rsidRPr="003C684F" w:rsidR="009730C1" w:rsidRDefault="00152F7C" w14:paraId="30A55C4F" w14:textId="15CEA3E9">
            <w:pPr>
              <w:jc w:val="left"/>
              <w:rPr>
                <w:rFonts w:ascii="宋体" w:hAnsi="宋体" w:cs="宋体"/>
              </w:rPr>
            </w:pPr>
            <w:r w:rsidRPr="003C684F">
              <w:rPr>
                <w:rFonts w:hint="eastAsia" w:ascii="宋体" w:hAnsi="宋体" w:cs="宋体"/>
              </w:rPr>
              <w:t>202</w:t>
            </w:r>
          </w:p>
          <w:p w:rsidRPr="003C684F" w:rsidR="009730C1" w:rsidRDefault="00152F7C" w14:paraId="52D30E3A" w14:textId="4401DB6F">
            <w:pPr>
              <w:jc w:val="left"/>
              <w:rPr>
                <w:rFonts w:ascii="宋体" w:hAnsi="宋体" w:cs="宋体"/>
              </w:rPr>
            </w:pPr>
            <w:r w:rsidRPr="003C684F">
              <w:rPr>
                <w:rFonts w:hint="eastAsia" w:ascii="宋体" w:hAnsi="宋体" w:cs="宋体"/>
              </w:rPr>
              <w:t>204</w:t>
            </w:r>
          </w:p>
          <w:p w:rsidRPr="003C684F" w:rsidR="009730C1" w:rsidRDefault="00152F7C" w14:paraId="05D5A483" w14:textId="3F80320F">
            <w:pPr>
              <w:jc w:val="left"/>
              <w:rPr>
                <w:rFonts w:ascii="宋体" w:hAnsi="宋体" w:cs="宋体"/>
              </w:rPr>
            </w:pPr>
            <w:r w:rsidRPr="003C684F">
              <w:rPr>
                <w:rFonts w:hint="eastAsia" w:ascii="宋体" w:hAnsi="宋体" w:cs="宋体"/>
              </w:rPr>
              <w:t>20</w:t>
            </w:r>
            <w:r w:rsidR="002A7C3C">
              <w:rPr>
                <w:rFonts w:hint="eastAsia" w:ascii="宋体" w:hAnsi="宋体" w:cs="宋体"/>
              </w:rPr>
              <w:t>6</w:t>
            </w:r>
          </w:p>
          <w:p w:rsidRPr="003C684F" w:rsidR="009730C1" w:rsidRDefault="007C037D" w14:paraId="7014D61B" w14:textId="46583934">
            <w:pPr>
              <w:jc w:val="left"/>
              <w:rPr>
                <w:rFonts w:ascii="宋体" w:hAnsi="宋体" w:cs="宋体"/>
              </w:rPr>
            </w:pPr>
            <w:r w:rsidRPr="003C684F">
              <w:rPr>
                <w:rFonts w:hint="eastAsia" w:ascii="宋体" w:hAnsi="宋体" w:cs="宋体"/>
              </w:rPr>
              <w:lastRenderedPageBreak/>
              <w:t>207</w:t>
            </w:r>
          </w:p>
          <w:p w:rsidRPr="003C684F" w:rsidR="009730C1" w:rsidRDefault="00A315B9" w14:paraId="036971F6" w14:textId="6DA10B84">
            <w:pPr>
              <w:jc w:val="left"/>
              <w:rPr>
                <w:rFonts w:ascii="宋体" w:hAnsi="宋体" w:cs="宋体"/>
              </w:rPr>
            </w:pPr>
            <w:r w:rsidRPr="003C684F">
              <w:rPr>
                <w:rFonts w:hint="eastAsia" w:ascii="宋体" w:hAnsi="宋体" w:cs="宋体"/>
              </w:rPr>
              <w:t>2</w:t>
            </w:r>
            <w:r w:rsidR="002A7C3C">
              <w:rPr>
                <w:rFonts w:hint="eastAsia" w:ascii="宋体" w:hAnsi="宋体" w:cs="宋体"/>
              </w:rPr>
              <w:t>10</w:t>
            </w:r>
          </w:p>
          <w:p w:rsidRPr="003C684F" w:rsidR="009730C1" w:rsidRDefault="00A315B9" w14:paraId="7F45AD80" w14:textId="006D2498">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1</w:t>
            </w:r>
            <w:r w:rsidR="002A7C3C">
              <w:rPr>
                <w:rFonts w:hint="eastAsia" w:ascii="宋体" w:hAnsi="宋体" w:cs="宋体"/>
              </w:rPr>
              <w:t>1</w:t>
            </w:r>
          </w:p>
          <w:p w:rsidRPr="003C684F" w:rsidR="009730C1" w:rsidRDefault="00A315B9" w14:paraId="2F1DFE1D" w14:textId="24FDC583">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12</w:t>
            </w:r>
          </w:p>
          <w:p w:rsidRPr="003C684F" w:rsidR="009730C1" w:rsidRDefault="00A315B9" w14:paraId="2CAA66B1" w14:textId="7DCD5346">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14</w:t>
            </w:r>
          </w:p>
          <w:p w:rsidRPr="003C684F" w:rsidR="00DE5287" w:rsidP="00D004BC" w:rsidRDefault="00DE5287" w14:paraId="20326B12" w14:textId="33618017">
            <w:pPr>
              <w:spacing w:line="360" w:lineRule="auto"/>
              <w:jc w:val="left"/>
              <w:rPr>
                <w:rFonts w:ascii="宋体" w:hAnsi="宋体" w:cs="宋体"/>
              </w:rPr>
            </w:pPr>
          </w:p>
          <w:p w:rsidRPr="003C684F" w:rsidR="009730C1" w:rsidRDefault="007369B0" w14:paraId="1052A5A0" w14:textId="7FDF3AAC">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1</w:t>
            </w:r>
            <w:r w:rsidR="002A7C3C">
              <w:rPr>
                <w:rFonts w:hint="eastAsia" w:ascii="宋体" w:hAnsi="宋体" w:cs="宋体"/>
              </w:rPr>
              <w:t>7</w:t>
            </w:r>
          </w:p>
          <w:p w:rsidRPr="003C684F" w:rsidR="009730C1" w:rsidRDefault="00A315B9" w14:paraId="4DA8A9FD" w14:textId="3122876E">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1</w:t>
            </w:r>
            <w:r w:rsidR="002A7C3C">
              <w:rPr>
                <w:rFonts w:hint="eastAsia" w:ascii="宋体" w:hAnsi="宋体" w:cs="宋体"/>
              </w:rPr>
              <w:t>8</w:t>
            </w:r>
          </w:p>
          <w:p w:rsidRPr="003C684F" w:rsidR="009730C1" w:rsidRDefault="00A315B9" w14:paraId="5A8E37F5" w14:textId="5DF8D7B8">
            <w:pPr>
              <w:jc w:val="left"/>
              <w:rPr>
                <w:rFonts w:ascii="宋体" w:hAnsi="宋体" w:cs="宋体"/>
              </w:rPr>
            </w:pPr>
            <w:r w:rsidRPr="003C684F">
              <w:rPr>
                <w:rFonts w:hint="eastAsia" w:ascii="宋体" w:hAnsi="宋体" w:cs="宋体"/>
              </w:rPr>
              <w:t>2</w:t>
            </w:r>
            <w:r w:rsidR="002A7C3C">
              <w:rPr>
                <w:rFonts w:hint="eastAsia" w:ascii="宋体" w:hAnsi="宋体" w:cs="宋体"/>
              </w:rPr>
              <w:t>20</w:t>
            </w:r>
          </w:p>
          <w:p w:rsidRPr="003C684F" w:rsidR="009730C1" w:rsidRDefault="007369B0" w14:paraId="7C9E436D" w14:textId="2E52460B">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2</w:t>
            </w:r>
            <w:r w:rsidR="00CA34D1">
              <w:rPr>
                <w:rFonts w:hint="eastAsia" w:ascii="宋体" w:hAnsi="宋体" w:cs="宋体"/>
              </w:rPr>
              <w:t>1</w:t>
            </w:r>
          </w:p>
          <w:p w:rsidRPr="003C684F" w:rsidR="009730C1" w:rsidRDefault="007369B0" w14:paraId="5E8DA083" w14:textId="7C4AC288">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2</w:t>
            </w:r>
            <w:r w:rsidR="002A7C3C">
              <w:rPr>
                <w:rFonts w:hint="eastAsia" w:ascii="宋体" w:hAnsi="宋体" w:cs="宋体"/>
              </w:rPr>
              <w:t>4</w:t>
            </w:r>
          </w:p>
          <w:p w:rsidRPr="003C684F" w:rsidR="009730C1" w:rsidRDefault="00A315B9" w14:paraId="7A539B6D" w14:textId="6AD9A091">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26</w:t>
            </w:r>
          </w:p>
          <w:p w:rsidRPr="003C684F" w:rsidR="007C037D" w:rsidRDefault="007C037D" w14:paraId="39F1CE37" w14:textId="6F4F1029">
            <w:pPr>
              <w:jc w:val="left"/>
              <w:rPr>
                <w:rFonts w:ascii="宋体" w:hAnsi="宋体" w:cs="宋体"/>
              </w:rPr>
            </w:pPr>
            <w:r w:rsidRPr="003C684F">
              <w:rPr>
                <w:rFonts w:hint="eastAsia" w:ascii="宋体" w:hAnsi="宋体" w:cs="宋体"/>
              </w:rPr>
              <w:t>22</w:t>
            </w:r>
            <w:r w:rsidR="002A7C3C">
              <w:rPr>
                <w:rFonts w:hint="eastAsia" w:ascii="宋体" w:hAnsi="宋体" w:cs="宋体"/>
              </w:rPr>
              <w:t>7</w:t>
            </w:r>
          </w:p>
          <w:p w:rsidRPr="003C684F" w:rsidR="009730C1" w:rsidP="00D004BC" w:rsidRDefault="009730C1" w14:paraId="747E9CA1" w14:textId="03B7855A">
            <w:pPr>
              <w:spacing w:line="360" w:lineRule="auto"/>
              <w:jc w:val="left"/>
              <w:rPr>
                <w:rFonts w:ascii="宋体" w:hAnsi="宋体" w:cs="宋体"/>
              </w:rPr>
            </w:pPr>
          </w:p>
          <w:p w:rsidRPr="003C684F" w:rsidR="009730C1" w:rsidRDefault="00A315B9" w14:paraId="384BCC64" w14:textId="424A5A07">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28</w:t>
            </w:r>
          </w:p>
          <w:p w:rsidRPr="003C684F" w:rsidR="009730C1" w:rsidRDefault="00A315B9" w14:paraId="4EECF490" w14:textId="187A5E1E">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3</w:t>
            </w:r>
            <w:r w:rsidRPr="003C684F" w:rsidR="007369B0">
              <w:rPr>
                <w:rFonts w:hint="eastAsia" w:ascii="宋体" w:hAnsi="宋体" w:cs="宋体"/>
              </w:rPr>
              <w:t>0</w:t>
            </w:r>
          </w:p>
          <w:p w:rsidRPr="003C684F" w:rsidR="009730C1" w:rsidRDefault="00A315B9" w14:paraId="736F2927" w14:textId="790B186B">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3</w:t>
            </w:r>
            <w:r w:rsidR="002A7C3C">
              <w:rPr>
                <w:rFonts w:hint="eastAsia" w:ascii="宋体" w:hAnsi="宋体" w:cs="宋体"/>
              </w:rPr>
              <w:t>2</w:t>
            </w:r>
          </w:p>
          <w:p w:rsidRPr="003C684F" w:rsidR="001B3B0B" w:rsidRDefault="007C037D" w14:paraId="4AFB124C" w14:textId="1F4BE216">
            <w:pPr>
              <w:jc w:val="left"/>
              <w:rPr>
                <w:rFonts w:ascii="宋体" w:hAnsi="宋体" w:cs="宋体"/>
              </w:rPr>
            </w:pPr>
            <w:r w:rsidRPr="003C684F">
              <w:rPr>
                <w:rFonts w:hint="eastAsia" w:ascii="宋体" w:hAnsi="宋体" w:cs="宋体"/>
              </w:rPr>
              <w:t>237</w:t>
            </w:r>
          </w:p>
          <w:p w:rsidRPr="003C684F" w:rsidR="00D004BC" w:rsidP="00D004BC" w:rsidRDefault="00D004BC" w14:paraId="2578BC56" w14:textId="77777777">
            <w:pPr>
              <w:spacing w:line="360" w:lineRule="auto"/>
              <w:jc w:val="left"/>
              <w:rPr>
                <w:rFonts w:ascii="宋体" w:hAnsi="宋体" w:cs="宋体"/>
              </w:rPr>
            </w:pPr>
          </w:p>
          <w:p w:rsidRPr="003C684F" w:rsidR="009730C1" w:rsidRDefault="007369B0" w14:paraId="0A8AAC24" w14:textId="3498EBC7">
            <w:pPr>
              <w:jc w:val="left"/>
              <w:rPr>
                <w:rFonts w:ascii="宋体" w:hAnsi="宋体" w:cs="宋体"/>
              </w:rPr>
            </w:pPr>
            <w:r w:rsidRPr="003C684F">
              <w:rPr>
                <w:rFonts w:hint="eastAsia" w:ascii="宋体" w:hAnsi="宋体" w:cs="宋体"/>
              </w:rPr>
              <w:t>2</w:t>
            </w:r>
            <w:r w:rsidR="002A7C3C">
              <w:rPr>
                <w:rFonts w:hint="eastAsia" w:ascii="宋体" w:hAnsi="宋体" w:cs="宋体"/>
              </w:rPr>
              <w:t>40</w:t>
            </w:r>
          </w:p>
          <w:p w:rsidRPr="003C684F" w:rsidR="009730C1" w:rsidRDefault="00A315B9" w14:paraId="1C331C7C" w14:textId="3FDB4287">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40</w:t>
            </w:r>
          </w:p>
          <w:p w:rsidRPr="003C684F" w:rsidR="009730C1" w:rsidP="00D004BC" w:rsidRDefault="00C173B3" w14:paraId="6FD881B5" w14:textId="2222428A">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42</w:t>
            </w:r>
          </w:p>
          <w:p w:rsidRPr="003C684F" w:rsidR="009730C1" w:rsidRDefault="00A315B9" w14:paraId="5FF4F397" w14:textId="752B2E6A">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44</w:t>
            </w:r>
          </w:p>
          <w:p w:rsidRPr="003C684F" w:rsidR="009730C1" w:rsidRDefault="007369B0" w14:paraId="5331C4FE" w14:textId="0A91E4D6">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45</w:t>
            </w:r>
          </w:p>
          <w:p w:rsidRPr="003C684F" w:rsidR="009730C1" w:rsidRDefault="007369B0" w14:paraId="375F15A5" w14:textId="601754BF">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46</w:t>
            </w:r>
          </w:p>
          <w:p w:rsidRPr="003C684F" w:rsidR="009730C1" w:rsidRDefault="00A315B9" w14:paraId="55CE3ED2" w14:textId="04318AFE">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47</w:t>
            </w:r>
          </w:p>
          <w:p w:rsidRPr="003C684F" w:rsidR="009730C1" w:rsidRDefault="00A315B9" w14:paraId="373A7EAE" w14:textId="235F0773">
            <w:pPr>
              <w:jc w:val="left"/>
              <w:rPr>
                <w:rFonts w:ascii="宋体" w:hAnsi="宋体" w:cs="宋体"/>
              </w:rPr>
            </w:pPr>
            <w:r w:rsidRPr="003C684F">
              <w:rPr>
                <w:rFonts w:hint="eastAsia" w:ascii="宋体" w:hAnsi="宋体" w:cs="宋体"/>
              </w:rPr>
              <w:t>2</w:t>
            </w:r>
            <w:r w:rsidR="002A7C3C">
              <w:rPr>
                <w:rFonts w:hint="eastAsia" w:ascii="宋体" w:hAnsi="宋体" w:cs="宋体"/>
              </w:rPr>
              <w:t>50</w:t>
            </w:r>
          </w:p>
          <w:p w:rsidRPr="003C684F" w:rsidR="009730C1" w:rsidRDefault="007369B0" w14:paraId="5A1A9993" w14:textId="6CDCB90D">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5</w:t>
            </w:r>
            <w:r w:rsidR="00CA34D1">
              <w:rPr>
                <w:rFonts w:hint="eastAsia" w:ascii="宋体" w:hAnsi="宋体" w:cs="宋体"/>
              </w:rPr>
              <w:t>1</w:t>
            </w:r>
          </w:p>
          <w:p w:rsidRPr="003C684F" w:rsidR="009730C1" w:rsidP="0021641A" w:rsidRDefault="00A315B9" w14:paraId="3D3468F1" w14:textId="374DD11A">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5</w:t>
            </w:r>
            <w:r w:rsidR="002A7C3C">
              <w:rPr>
                <w:rFonts w:hint="eastAsia" w:ascii="宋体" w:hAnsi="宋体" w:cs="宋体"/>
              </w:rPr>
              <w:t>4</w:t>
            </w:r>
          </w:p>
          <w:p w:rsidRPr="003C684F" w:rsidR="00D004BC" w:rsidP="0021641A" w:rsidRDefault="007369B0" w14:paraId="34CAE7B7" w14:textId="39AE2C8C">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5</w:t>
            </w:r>
            <w:r w:rsidR="002A7C3C">
              <w:rPr>
                <w:rFonts w:hint="eastAsia" w:ascii="宋体" w:hAnsi="宋体" w:cs="宋体"/>
              </w:rPr>
              <w:t>5</w:t>
            </w:r>
          </w:p>
          <w:p w:rsidRPr="003C684F" w:rsidR="007C037D" w:rsidP="007C037D" w:rsidRDefault="007C037D" w14:paraId="7D340C21" w14:textId="77777777">
            <w:pPr>
              <w:spacing w:line="360" w:lineRule="auto"/>
              <w:jc w:val="left"/>
              <w:rPr>
                <w:rFonts w:ascii="宋体" w:hAnsi="宋体" w:cs="宋体"/>
              </w:rPr>
            </w:pPr>
          </w:p>
          <w:p w:rsidRPr="003C684F" w:rsidR="007C037D" w:rsidP="0021641A" w:rsidRDefault="007C037D" w14:paraId="50C2469F" w14:textId="2FA4DA85">
            <w:pPr>
              <w:jc w:val="left"/>
              <w:rPr>
                <w:rFonts w:ascii="宋体" w:hAnsi="宋体" w:cs="宋体"/>
              </w:rPr>
            </w:pPr>
            <w:r w:rsidRPr="003C684F">
              <w:rPr>
                <w:rFonts w:hint="eastAsia" w:ascii="宋体" w:hAnsi="宋体" w:cs="宋体"/>
              </w:rPr>
              <w:t>25</w:t>
            </w:r>
            <w:r w:rsidR="002A7C3C">
              <w:rPr>
                <w:rFonts w:hint="eastAsia" w:ascii="宋体" w:hAnsi="宋体" w:cs="宋体"/>
              </w:rPr>
              <w:t>7</w:t>
            </w:r>
          </w:p>
          <w:p w:rsidRPr="003C684F" w:rsidR="00F61D28" w:rsidP="0021641A" w:rsidRDefault="007369B0" w14:paraId="67282FBE" w14:textId="07F5317F">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59</w:t>
            </w:r>
          </w:p>
          <w:p w:rsidRPr="003C684F" w:rsidR="00F61D28" w:rsidP="0021641A" w:rsidRDefault="007369B0" w14:paraId="0BBC8B2E" w14:textId="60E8CE1B">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62</w:t>
            </w:r>
          </w:p>
          <w:p w:rsidRPr="003C684F" w:rsidR="00DB6371" w:rsidP="0021641A" w:rsidRDefault="007C037D" w14:paraId="16526326" w14:textId="5E37DE1D">
            <w:pPr>
              <w:jc w:val="left"/>
              <w:rPr>
                <w:rFonts w:ascii="宋体" w:hAnsi="宋体" w:cs="宋体"/>
              </w:rPr>
            </w:pPr>
            <w:r w:rsidRPr="003C684F">
              <w:rPr>
                <w:rFonts w:hint="eastAsia" w:ascii="宋体" w:hAnsi="宋体" w:cs="宋体"/>
              </w:rPr>
              <w:t>264</w:t>
            </w:r>
          </w:p>
          <w:p w:rsidRPr="003C684F" w:rsidR="00F61D28" w:rsidP="0021641A" w:rsidRDefault="007369B0" w14:paraId="5B34208D" w14:textId="17CC3621">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6</w:t>
            </w:r>
            <w:r w:rsidR="00CA34D1">
              <w:rPr>
                <w:rFonts w:hint="eastAsia" w:ascii="宋体" w:hAnsi="宋体" w:cs="宋体"/>
              </w:rPr>
              <w:t>6</w:t>
            </w:r>
          </w:p>
          <w:p w:rsidRPr="003C684F" w:rsidR="00F61D28" w:rsidP="0021641A" w:rsidRDefault="007369B0" w14:paraId="79D1ADF1" w14:textId="16428282">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68</w:t>
            </w:r>
          </w:p>
          <w:p w:rsidRPr="003C684F" w:rsidR="007369B0" w:rsidP="007C037D" w:rsidRDefault="007369B0" w14:paraId="73A2771E" w14:textId="4BEC6FB1">
            <w:pPr>
              <w:spacing w:line="360" w:lineRule="auto"/>
              <w:jc w:val="left"/>
              <w:rPr>
                <w:rFonts w:ascii="宋体" w:hAnsi="宋体" w:cs="宋体"/>
              </w:rPr>
            </w:pPr>
          </w:p>
          <w:p w:rsidRPr="003C684F" w:rsidR="007369B0" w:rsidP="007C037D" w:rsidRDefault="007369B0" w14:paraId="6C3F2357" w14:textId="77777777">
            <w:pPr>
              <w:jc w:val="left"/>
              <w:rPr>
                <w:rFonts w:ascii="宋体" w:hAnsi="宋体" w:cs="宋体"/>
              </w:rPr>
            </w:pPr>
            <w:r w:rsidRPr="003C684F">
              <w:rPr>
                <w:rFonts w:hint="eastAsia" w:ascii="宋体" w:hAnsi="宋体" w:cs="宋体"/>
              </w:rPr>
              <w:t>2</w:t>
            </w:r>
            <w:r w:rsidRPr="003C684F" w:rsidR="007C037D">
              <w:rPr>
                <w:rFonts w:hint="eastAsia" w:ascii="宋体" w:hAnsi="宋体" w:cs="宋体"/>
              </w:rPr>
              <w:t>7</w:t>
            </w:r>
            <w:r w:rsidRPr="003C684F">
              <w:rPr>
                <w:rFonts w:hint="eastAsia" w:ascii="宋体" w:hAnsi="宋体" w:cs="宋体"/>
              </w:rPr>
              <w:t>0</w:t>
            </w:r>
          </w:p>
          <w:p w:rsidRPr="003C684F" w:rsidR="007C037D" w:rsidP="007C037D" w:rsidRDefault="007C037D" w14:paraId="4D3BC2D5" w14:textId="4EAF8194">
            <w:pPr>
              <w:jc w:val="left"/>
              <w:rPr>
                <w:rFonts w:ascii="宋体" w:hAnsi="宋体" w:cs="宋体"/>
              </w:rPr>
            </w:pPr>
            <w:r w:rsidRPr="003C684F">
              <w:rPr>
                <w:rFonts w:hint="eastAsia" w:ascii="宋体" w:hAnsi="宋体" w:cs="宋体"/>
              </w:rPr>
              <w:t>27</w:t>
            </w:r>
            <w:r w:rsidR="00CA34D1">
              <w:rPr>
                <w:rFonts w:hint="eastAsia" w:ascii="宋体" w:hAnsi="宋体" w:cs="宋体"/>
              </w:rPr>
              <w:t>2</w:t>
            </w:r>
            <w:bookmarkStart w:name="_GoBack" w:id="0"/>
            <w:bookmarkEnd w:id="0"/>
          </w:p>
          <w:p w:rsidRPr="003C684F" w:rsidR="007C037D" w:rsidP="002A7C3C" w:rsidRDefault="007C037D" w14:paraId="4982775D" w14:textId="5EC2238C">
            <w:pPr>
              <w:jc w:val="left"/>
              <w:rPr>
                <w:rFonts w:ascii="宋体" w:hAnsi="宋体" w:cs="宋体"/>
              </w:rPr>
            </w:pPr>
            <w:r w:rsidRPr="003C684F">
              <w:rPr>
                <w:rFonts w:hint="eastAsia" w:ascii="宋体" w:hAnsi="宋体" w:cs="宋体"/>
              </w:rPr>
              <w:t>27</w:t>
            </w:r>
            <w:r w:rsidR="002A7C3C">
              <w:rPr>
                <w:rFonts w:hint="eastAsia" w:ascii="宋体" w:hAnsi="宋体" w:cs="宋体"/>
              </w:rPr>
              <w:t>5</w:t>
            </w:r>
          </w:p>
        </w:tc>
      </w:tr>
    </w:tbl>
    <w:p w:rsidRPr="003C684F" w:rsidR="009730C1" w:rsidRDefault="009730C1" w14:paraId="42F15DEA" w14:textId="08AE3362">
      <w:pPr>
        <w:spacing w:line="360" w:lineRule="auto"/>
        <w:jc w:val="center"/>
        <w:rPr>
          <w:rFonts w:ascii="宋体" w:hAnsi="宋体" w:cs="宋体"/>
          <w:b/>
          <w:bCs/>
          <w:sz w:val="44"/>
          <w:szCs w:val="44"/>
        </w:rPr>
        <w:sectPr w:rsidRPr="003C684F" w:rsidR="009730C1">
          <w:footerReference w:type="default" r:id="rId9"/>
          <w:pgSz w:w="11906" w:h="16838"/>
          <w:pgMar w:top="1440" w:right="1800" w:bottom="1440" w:left="1800" w:header="851" w:footer="992" w:gutter="0"/>
          <w:pgNumType w:start="1"/>
          <w:cols w:space="425"/>
          <w:docGrid w:type="lines" w:linePitch="312"/>
        </w:sectPr>
      </w:pPr>
    </w:p>
    <w:p w:rsidRPr="003C684F" w:rsidR="009730C1" w:rsidRDefault="00A315B9" w14:paraId="40ACADDA" w14:textId="77777777">
      <w:pPr>
        <w:spacing w:line="360" w:lineRule="auto"/>
        <w:jc w:val="center"/>
        <w:rPr>
          <w:rFonts w:ascii="宋体" w:cs="Times New Roman"/>
          <w:b/>
          <w:bCs/>
          <w:sz w:val="44"/>
          <w:szCs w:val="44"/>
        </w:rPr>
      </w:pPr>
      <w:r w:rsidRPr="003C684F">
        <w:rPr>
          <w:rFonts w:hint="eastAsia" w:ascii="宋体" w:hAnsi="宋体" w:cs="宋体"/>
          <w:b/>
          <w:bCs/>
          <w:sz w:val="44"/>
          <w:szCs w:val="44"/>
        </w:rPr>
        <w:lastRenderedPageBreak/>
        <w:t>第一部分　新型抗肿瘤药物临床应用</w:t>
      </w:r>
    </w:p>
    <w:p w:rsidRPr="003C684F" w:rsidR="009730C1" w:rsidRDefault="00A315B9" w14:paraId="3B9667DA" w14:textId="77777777">
      <w:pPr>
        <w:tabs>
          <w:tab w:val="center" w:pos="4153"/>
          <w:tab w:val="right" w:pos="8306"/>
        </w:tabs>
        <w:spacing w:line="360" w:lineRule="auto"/>
        <w:jc w:val="left"/>
        <w:rPr>
          <w:rFonts w:ascii="宋体" w:cs="Times New Roman"/>
          <w:b/>
          <w:bCs/>
          <w:sz w:val="44"/>
          <w:szCs w:val="44"/>
        </w:rPr>
      </w:pPr>
      <w:r w:rsidRPr="003C684F">
        <w:rPr>
          <w:rFonts w:ascii="宋体" w:hAnsi="宋体" w:cs="宋体"/>
          <w:b/>
          <w:bCs/>
          <w:sz w:val="44"/>
          <w:szCs w:val="44"/>
        </w:rPr>
        <w:tab/>
      </w:r>
      <w:r w:rsidRPr="003C684F">
        <w:rPr>
          <w:rFonts w:hint="eastAsia" w:ascii="宋体" w:hAnsi="宋体" w:cs="宋体"/>
          <w:b/>
          <w:bCs/>
          <w:sz w:val="44"/>
          <w:szCs w:val="44"/>
        </w:rPr>
        <w:t>基本原则</w:t>
      </w:r>
      <w:r w:rsidRPr="003C684F">
        <w:rPr>
          <w:rFonts w:ascii="宋体" w:hAnsi="宋体" w:cs="宋体"/>
          <w:b/>
          <w:bCs/>
          <w:sz w:val="44"/>
          <w:szCs w:val="44"/>
        </w:rPr>
        <w:tab/>
      </w:r>
    </w:p>
    <w:p w:rsidRPr="003C684F" w:rsidR="009730C1" w:rsidRDefault="009730C1" w14:paraId="141AE001" w14:textId="77777777">
      <w:pPr>
        <w:spacing w:line="360" w:lineRule="auto"/>
        <w:ind w:firstLine="420" w:firstLineChars="200"/>
        <w:rPr>
          <w:rFonts w:ascii="宋体" w:cs="Times New Roman"/>
        </w:rPr>
      </w:pPr>
    </w:p>
    <w:p w:rsidRPr="003C684F" w:rsidR="009730C1" w:rsidRDefault="00A315B9" w14:paraId="6610369D"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为规范新型抗肿瘤药物临床应用，提高肿瘤治疗的合理用药水平，保障医疗质量和医疗安全，维护肿瘤患者健康权益，特制定新型抗肿瘤药物临床应用指导原则。本指导原则涉及的新型抗肿瘤药物是指小分子靶向药物和大分子单克隆抗体类药物。</w:t>
      </w:r>
    </w:p>
    <w:p w:rsidRPr="003C684F" w:rsidR="009730C1" w:rsidRDefault="00A315B9" w14:paraId="170C2457" w14:textId="2DCB2A06">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抗肿瘤药物的应用涉及临床多个学科，合理应用抗肿瘤药物是提高疗效、降低不良反应发生率以及合理利用卫生资源的关键。抗肿瘤药物临床应用需考虑药物可及性、患者治疗意愿</w:t>
      </w:r>
      <w:r w:rsidRPr="003C684F" w:rsidR="00ED6CC8">
        <w:rPr>
          <w:rFonts w:hint="eastAsia" w:ascii="仿宋" w:hAnsi="仿宋" w:eastAsia="仿宋" w:cs="仿宋"/>
          <w:sz w:val="32"/>
          <w:szCs w:val="32"/>
        </w:rPr>
        <w:t>、</w:t>
      </w:r>
      <w:r w:rsidRPr="003C684F">
        <w:rPr>
          <w:rFonts w:hint="eastAsia" w:ascii="仿宋" w:hAnsi="仿宋" w:eastAsia="仿宋" w:cs="仿宋"/>
          <w:sz w:val="32"/>
          <w:szCs w:val="32"/>
        </w:rPr>
        <w:t>疾病预后</w:t>
      </w:r>
      <w:r w:rsidRPr="003C684F" w:rsidR="00ED6CC8">
        <w:rPr>
          <w:rFonts w:hint="eastAsia" w:ascii="仿宋" w:hAnsi="仿宋" w:eastAsia="仿宋" w:cs="仿宋"/>
          <w:sz w:val="32"/>
          <w:szCs w:val="32"/>
        </w:rPr>
        <w:t>和用药安全性</w:t>
      </w:r>
      <w:r w:rsidRPr="003C684F">
        <w:rPr>
          <w:rFonts w:hint="eastAsia" w:ascii="仿宋" w:hAnsi="仿宋" w:eastAsia="仿宋" w:cs="仿宋"/>
          <w:sz w:val="32"/>
          <w:szCs w:val="32"/>
        </w:rPr>
        <w:t>等</w:t>
      </w:r>
      <w:r w:rsidRPr="003C684F" w:rsidR="00ED6CC8">
        <w:rPr>
          <w:rFonts w:hint="eastAsia" w:ascii="仿宋" w:hAnsi="仿宋" w:eastAsia="仿宋" w:cs="仿宋"/>
          <w:sz w:val="32"/>
          <w:szCs w:val="32"/>
        </w:rPr>
        <w:t>四</w:t>
      </w:r>
      <w:r w:rsidRPr="003C684F">
        <w:rPr>
          <w:rFonts w:hint="eastAsia" w:ascii="仿宋" w:hAnsi="仿宋" w:eastAsia="仿宋" w:cs="仿宋"/>
          <w:sz w:val="32"/>
          <w:szCs w:val="32"/>
        </w:rPr>
        <w:t>大要素。抗肿瘤药物临床应用是否合理，</w:t>
      </w:r>
      <w:r w:rsidRPr="003C684F" w:rsidR="009907CE">
        <w:rPr>
          <w:rFonts w:hint="eastAsia" w:ascii="仿宋" w:hAnsi="仿宋" w:eastAsia="仿宋" w:cs="仿宋"/>
          <w:sz w:val="32"/>
          <w:szCs w:val="32"/>
        </w:rPr>
        <w:t>基于以下两方面：有无抗肿瘤药物应用指征；安全性、有效性、经济性及适当性的综合考量。</w:t>
      </w:r>
    </w:p>
    <w:p w:rsidRPr="003C684F" w:rsidR="009730C1" w:rsidP="0037660B" w:rsidRDefault="00A315B9" w14:paraId="47DAE862"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一、病理组织学确诊后方可使用</w:t>
      </w:r>
    </w:p>
    <w:p w:rsidRPr="003C684F" w:rsidR="009730C1" w:rsidRDefault="00A315B9" w14:paraId="3411DC15" w14:textId="6889F11C">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只有经组织或细胞学病理确诊、或特殊分子病理诊断成立的恶性肿瘤，才有指征使用抗肿瘤药物。单纯依据患者的临床症状、体征和影像学结果得出临床诊断的肿瘤患者，没有抗肿瘤药物治疗的指征，经多学科会诊不适宜手术或活检的病例除外。但对于某些难以获取病理诊断的肿瘤，如妊娠滋养细胞肿瘤等，其确诊可参照国家相关指南或规范执行。</w:t>
      </w:r>
    </w:p>
    <w:p w:rsidRPr="003C684F" w:rsidR="009730C1" w:rsidP="0037660B" w:rsidRDefault="00A315B9" w14:paraId="2C34DB5C" w14:textId="5AE012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二、</w:t>
      </w:r>
      <w:r w:rsidRPr="003C684F" w:rsidR="0090378B">
        <w:rPr>
          <w:rFonts w:hint="eastAsia" w:ascii="黑体" w:hAnsi="黑体" w:eastAsia="黑体" w:cs="黑体"/>
          <w:sz w:val="32"/>
          <w:szCs w:val="32"/>
        </w:rPr>
        <w:t>部分需</w:t>
      </w:r>
      <w:r w:rsidRPr="003C684F">
        <w:rPr>
          <w:rFonts w:hint="eastAsia" w:ascii="黑体" w:hAnsi="黑体" w:eastAsia="黑体" w:cs="黑体"/>
          <w:sz w:val="32"/>
          <w:szCs w:val="32"/>
        </w:rPr>
        <w:t>靶点检测后方可使用</w:t>
      </w:r>
    </w:p>
    <w:p w:rsidRPr="003C684F" w:rsidR="009730C1" w:rsidRDefault="00A315B9" w14:paraId="02D02813" w14:textId="7C38E31D">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lastRenderedPageBreak/>
        <w:t>现代抗肿瘤药物的一个显著特征，是出现一批针对分子异常特征的药物</w:t>
      </w:r>
      <w:r w:rsidRPr="003C684F">
        <w:rPr>
          <w:rFonts w:ascii="仿宋" w:hAnsi="仿宋" w:eastAsia="仿宋" w:cs="仿宋"/>
          <w:sz w:val="32"/>
          <w:szCs w:val="32"/>
        </w:rPr>
        <w:t>——</w:t>
      </w:r>
      <w:r w:rsidRPr="003C684F">
        <w:rPr>
          <w:rFonts w:hint="eastAsia" w:ascii="仿宋" w:hAnsi="仿宋" w:eastAsia="仿宋" w:cs="仿宋"/>
          <w:sz w:val="32"/>
          <w:szCs w:val="32"/>
        </w:rPr>
        <w:t>即</w:t>
      </w:r>
      <w:r w:rsidRPr="003C684F" w:rsidR="000E6B04">
        <w:rPr>
          <w:rFonts w:hint="eastAsia" w:ascii="仿宋" w:hAnsi="仿宋" w:eastAsia="仿宋" w:cs="仿宋"/>
          <w:sz w:val="32"/>
          <w:szCs w:val="32"/>
        </w:rPr>
        <w:t>分子</w:t>
      </w:r>
      <w:r w:rsidRPr="003C684F">
        <w:rPr>
          <w:rFonts w:hint="eastAsia" w:ascii="仿宋" w:hAnsi="仿宋" w:eastAsia="仿宋" w:cs="仿宋"/>
          <w:sz w:val="32"/>
          <w:szCs w:val="32"/>
        </w:rPr>
        <w:t>靶向药物。最具代表性的药物是针对表皮生长因子信号通路异常的酪氨酸激酶抑制剂。目前，根据是否需要做</w:t>
      </w:r>
      <w:r w:rsidRPr="003C684F" w:rsidR="000E6B04">
        <w:rPr>
          <w:rFonts w:hint="eastAsia" w:ascii="仿宋" w:hAnsi="仿宋" w:eastAsia="仿宋" w:cs="仿宋"/>
          <w:sz w:val="32"/>
          <w:szCs w:val="32"/>
        </w:rPr>
        <w:t>分子</w:t>
      </w:r>
      <w:r w:rsidRPr="003C684F">
        <w:rPr>
          <w:rFonts w:hint="eastAsia" w:ascii="仿宋" w:hAnsi="仿宋" w:eastAsia="仿宋" w:cs="仿宋"/>
          <w:sz w:val="32"/>
          <w:szCs w:val="32"/>
        </w:rPr>
        <w:t>靶点检测，可以将常用的小分子靶向药物和大分子单克隆抗体类药物分为</w:t>
      </w:r>
      <w:r w:rsidRPr="003C684F" w:rsidR="0004135C">
        <w:rPr>
          <w:rFonts w:hint="eastAsia" w:ascii="仿宋" w:hAnsi="仿宋" w:eastAsia="仿宋" w:cs="仿宋"/>
          <w:sz w:val="32"/>
          <w:szCs w:val="32"/>
        </w:rPr>
        <w:t>需要检测和</w:t>
      </w:r>
      <w:r w:rsidRPr="003C684F" w:rsidR="00BD154E">
        <w:rPr>
          <w:rFonts w:hint="eastAsia" w:ascii="仿宋" w:hAnsi="仿宋" w:eastAsia="仿宋" w:cs="仿宋"/>
          <w:sz w:val="32"/>
          <w:szCs w:val="32"/>
        </w:rPr>
        <w:t>无需</w:t>
      </w:r>
      <w:r w:rsidRPr="003C684F" w:rsidR="0004135C">
        <w:rPr>
          <w:rFonts w:hint="eastAsia" w:ascii="仿宋" w:hAnsi="仿宋" w:eastAsia="仿宋" w:cs="仿宋"/>
          <w:sz w:val="32"/>
          <w:szCs w:val="32"/>
        </w:rPr>
        <w:t>检测</w:t>
      </w:r>
      <w:r w:rsidRPr="003C684F" w:rsidR="000E6B04">
        <w:rPr>
          <w:rFonts w:hint="eastAsia" w:ascii="仿宋" w:hAnsi="仿宋" w:eastAsia="仿宋" w:cs="仿宋"/>
          <w:sz w:val="32"/>
          <w:szCs w:val="32"/>
        </w:rPr>
        <w:t>分子</w:t>
      </w:r>
      <w:r w:rsidRPr="003C684F" w:rsidR="0004135C">
        <w:rPr>
          <w:rFonts w:hint="eastAsia" w:ascii="仿宋" w:hAnsi="仿宋" w:eastAsia="仿宋" w:cs="仿宋"/>
          <w:sz w:val="32"/>
          <w:szCs w:val="32"/>
        </w:rPr>
        <w:t>靶点</w:t>
      </w:r>
      <w:r w:rsidRPr="003C684F">
        <w:rPr>
          <w:rFonts w:hint="eastAsia" w:ascii="仿宋" w:hAnsi="仿宋" w:eastAsia="仿宋" w:cs="仿宋"/>
          <w:sz w:val="32"/>
          <w:szCs w:val="32"/>
        </w:rPr>
        <w:t>两大类（表</w:t>
      </w:r>
      <w:r w:rsidRPr="003C684F">
        <w:rPr>
          <w:rFonts w:ascii="仿宋" w:hAnsi="仿宋" w:eastAsia="仿宋" w:cs="仿宋"/>
          <w:sz w:val="32"/>
          <w:szCs w:val="32"/>
        </w:rPr>
        <w:t>1</w:t>
      </w:r>
      <w:r w:rsidRPr="003C684F">
        <w:rPr>
          <w:rFonts w:hint="eastAsia" w:ascii="仿宋" w:hAnsi="仿宋" w:eastAsia="仿宋" w:cs="仿宋"/>
          <w:sz w:val="32"/>
          <w:szCs w:val="32"/>
        </w:rPr>
        <w:t>）。具体的检测靶点详见各章节。</w:t>
      </w:r>
    </w:p>
    <w:p w:rsidRPr="003C684F" w:rsidR="009730C1" w:rsidP="00822518" w:rsidRDefault="00A315B9" w14:paraId="069E179B" w14:textId="77777777">
      <w:pPr>
        <w:spacing w:line="360" w:lineRule="auto"/>
        <w:ind w:firstLine="422" w:firstLineChars="200"/>
        <w:jc w:val="center"/>
        <w:rPr>
          <w:rFonts w:ascii="仿宋" w:hAnsi="仿宋" w:eastAsia="仿宋"/>
          <w:b/>
          <w:color w:val="000000"/>
        </w:rPr>
      </w:pPr>
      <w:r w:rsidRPr="003C684F">
        <w:rPr>
          <w:rFonts w:hint="eastAsia" w:ascii="仿宋" w:hAnsi="仿宋" w:eastAsia="仿宋"/>
          <w:b/>
          <w:color w:val="000000"/>
        </w:rPr>
        <w:t>表1　常用的小分子靶向药物和大分子单克隆抗体类药物</w:t>
      </w: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19"/>
        <w:gridCol w:w="2693"/>
        <w:gridCol w:w="2693"/>
      </w:tblGrid>
      <w:tr w:rsidRPr="003C684F" w:rsidR="009730C1" w14:paraId="43E420DF" w14:textId="77777777">
        <w:tc>
          <w:tcPr>
            <w:tcW w:w="3119" w:type="dxa"/>
          </w:tcPr>
          <w:p w:rsidRPr="003C684F" w:rsidR="009730C1" w:rsidP="0091415E" w:rsidRDefault="00A315B9" w14:paraId="79FC3959" w14:textId="77777777">
            <w:pPr>
              <w:spacing w:line="360" w:lineRule="auto"/>
              <w:jc w:val="left"/>
              <w:rPr>
                <w:rFonts w:ascii="仿宋" w:hAnsi="仿宋" w:eastAsia="仿宋"/>
                <w:b/>
                <w:color w:val="000000"/>
              </w:rPr>
            </w:pPr>
            <w:r w:rsidRPr="003C684F">
              <w:rPr>
                <w:rFonts w:hint="eastAsia" w:ascii="仿宋" w:hAnsi="仿宋" w:eastAsia="仿宋"/>
                <w:b/>
                <w:color w:val="000000"/>
              </w:rPr>
              <w:t>病种</w:t>
            </w:r>
          </w:p>
        </w:tc>
        <w:tc>
          <w:tcPr>
            <w:tcW w:w="2693" w:type="dxa"/>
          </w:tcPr>
          <w:p w:rsidRPr="003C684F" w:rsidR="009730C1" w:rsidP="0091415E" w:rsidRDefault="00A315B9" w14:paraId="5C310A53" w14:textId="77777777">
            <w:pPr>
              <w:spacing w:line="360" w:lineRule="auto"/>
              <w:jc w:val="left"/>
              <w:rPr>
                <w:rFonts w:ascii="仿宋" w:hAnsi="仿宋" w:eastAsia="仿宋"/>
                <w:b/>
                <w:color w:val="000000"/>
              </w:rPr>
            </w:pPr>
            <w:r w:rsidRPr="003C684F">
              <w:rPr>
                <w:rFonts w:hint="eastAsia" w:ascii="仿宋" w:hAnsi="仿宋" w:eastAsia="仿宋"/>
                <w:b/>
                <w:color w:val="000000"/>
              </w:rPr>
              <w:t>需要检测靶点的药物</w:t>
            </w:r>
          </w:p>
        </w:tc>
        <w:tc>
          <w:tcPr>
            <w:tcW w:w="2693" w:type="dxa"/>
          </w:tcPr>
          <w:p w:rsidRPr="003C684F" w:rsidR="009730C1" w:rsidP="0091415E" w:rsidRDefault="00BD154E" w14:paraId="6065FE92" w14:textId="61BB023B">
            <w:pPr>
              <w:spacing w:line="360" w:lineRule="auto"/>
              <w:jc w:val="left"/>
              <w:rPr>
                <w:rFonts w:ascii="仿宋" w:hAnsi="仿宋" w:eastAsia="仿宋"/>
                <w:b/>
                <w:color w:val="000000"/>
              </w:rPr>
            </w:pPr>
            <w:r w:rsidRPr="003C684F">
              <w:rPr>
                <w:rFonts w:hint="eastAsia" w:ascii="仿宋" w:hAnsi="仿宋" w:eastAsia="仿宋"/>
                <w:b/>
                <w:color w:val="000000"/>
              </w:rPr>
              <w:t>无需</w:t>
            </w:r>
            <w:r w:rsidRPr="003C684F" w:rsidR="00A315B9">
              <w:rPr>
                <w:rFonts w:hint="eastAsia" w:ascii="仿宋" w:hAnsi="仿宋" w:eastAsia="仿宋"/>
                <w:b/>
                <w:color w:val="000000"/>
              </w:rPr>
              <w:t>检测靶点的药物</w:t>
            </w:r>
          </w:p>
        </w:tc>
      </w:tr>
      <w:tr w:rsidRPr="003C684F" w:rsidR="009730C1" w:rsidTr="004D487C" w14:paraId="5AA66B36" w14:textId="77777777">
        <w:trPr>
          <w:trHeight w:val="416"/>
        </w:trPr>
        <w:tc>
          <w:tcPr>
            <w:tcW w:w="3119" w:type="dxa"/>
          </w:tcPr>
          <w:p w:rsidRPr="003C684F" w:rsidR="009730C1" w:rsidP="00822518" w:rsidRDefault="00A315B9" w14:paraId="21CDF231" w14:textId="77777777">
            <w:pPr>
              <w:spacing w:line="360" w:lineRule="auto"/>
              <w:rPr>
                <w:rFonts w:ascii="仿宋" w:hAnsi="仿宋" w:eastAsia="仿宋"/>
                <w:color w:val="000000"/>
              </w:rPr>
            </w:pPr>
            <w:r w:rsidRPr="003C684F">
              <w:rPr>
                <w:rFonts w:hint="eastAsia" w:ascii="仿宋" w:hAnsi="仿宋" w:eastAsia="仿宋"/>
                <w:color w:val="000000"/>
              </w:rPr>
              <w:t>肺癌</w:t>
            </w:r>
          </w:p>
        </w:tc>
        <w:tc>
          <w:tcPr>
            <w:tcW w:w="2693" w:type="dxa"/>
          </w:tcPr>
          <w:p w:rsidRPr="003C684F" w:rsidR="009730C1" w:rsidP="00822518" w:rsidRDefault="00A315B9" w14:paraId="74D0F9D8" w14:textId="77777777">
            <w:pPr>
              <w:spacing w:line="360" w:lineRule="auto"/>
              <w:rPr>
                <w:rFonts w:ascii="仿宋" w:hAnsi="仿宋" w:eastAsia="仿宋"/>
                <w:color w:val="000000"/>
              </w:rPr>
            </w:pPr>
            <w:r w:rsidRPr="003C684F">
              <w:rPr>
                <w:rFonts w:hint="eastAsia" w:ascii="仿宋" w:hAnsi="仿宋" w:eastAsia="仿宋"/>
                <w:color w:val="000000"/>
              </w:rPr>
              <w:t>吉非替尼</w:t>
            </w:r>
          </w:p>
          <w:p w:rsidRPr="003C684F" w:rsidR="009730C1" w:rsidP="00822518" w:rsidRDefault="00A315B9" w14:paraId="100DCE94" w14:textId="77777777">
            <w:pPr>
              <w:spacing w:line="360" w:lineRule="auto"/>
              <w:rPr>
                <w:rFonts w:ascii="仿宋" w:hAnsi="仿宋" w:eastAsia="仿宋"/>
                <w:color w:val="000000"/>
              </w:rPr>
            </w:pPr>
            <w:r w:rsidRPr="003C684F">
              <w:rPr>
                <w:rFonts w:ascii="仿宋" w:hAnsi="仿宋" w:eastAsia="仿宋"/>
                <w:color w:val="000000"/>
              </w:rPr>
              <w:t>厄洛替尼</w:t>
            </w:r>
          </w:p>
          <w:p w:rsidRPr="003C684F" w:rsidR="009730C1" w:rsidP="00822518" w:rsidRDefault="00A315B9" w14:paraId="7CBAC806" w14:textId="77777777">
            <w:pPr>
              <w:spacing w:line="360" w:lineRule="auto"/>
              <w:rPr>
                <w:rFonts w:ascii="仿宋" w:hAnsi="仿宋" w:eastAsia="仿宋"/>
                <w:color w:val="000000"/>
              </w:rPr>
            </w:pPr>
            <w:r w:rsidRPr="003C684F">
              <w:rPr>
                <w:rFonts w:ascii="仿宋" w:hAnsi="仿宋" w:eastAsia="仿宋"/>
                <w:color w:val="000000"/>
              </w:rPr>
              <w:t>埃克替尼</w:t>
            </w:r>
          </w:p>
          <w:p w:rsidRPr="003C684F" w:rsidR="009730C1" w:rsidP="00822518" w:rsidRDefault="00A315B9" w14:paraId="24987A3A" w14:textId="77777777">
            <w:pPr>
              <w:spacing w:line="360" w:lineRule="auto"/>
              <w:rPr>
                <w:rFonts w:ascii="仿宋" w:hAnsi="仿宋" w:eastAsia="仿宋"/>
                <w:color w:val="000000"/>
              </w:rPr>
            </w:pPr>
            <w:r w:rsidRPr="003C684F">
              <w:rPr>
                <w:rFonts w:hint="eastAsia" w:ascii="仿宋" w:hAnsi="仿宋" w:eastAsia="仿宋"/>
                <w:color w:val="000000"/>
              </w:rPr>
              <w:t>阿法替尼</w:t>
            </w:r>
          </w:p>
          <w:p w:rsidRPr="003C684F" w:rsidR="009730C1" w:rsidP="00822518" w:rsidRDefault="00A315B9" w14:paraId="0895DA37" w14:textId="77777777">
            <w:pPr>
              <w:spacing w:line="360" w:lineRule="auto"/>
              <w:rPr>
                <w:rFonts w:ascii="仿宋" w:hAnsi="仿宋" w:eastAsia="仿宋"/>
                <w:color w:val="000000"/>
              </w:rPr>
            </w:pPr>
            <w:r w:rsidRPr="003C684F">
              <w:rPr>
                <w:rFonts w:hint="eastAsia" w:ascii="仿宋" w:hAnsi="仿宋" w:eastAsia="仿宋"/>
                <w:color w:val="000000"/>
              </w:rPr>
              <w:t>达可替尼</w:t>
            </w:r>
          </w:p>
          <w:p w:rsidRPr="003C684F" w:rsidR="009730C1" w:rsidP="00822518" w:rsidRDefault="00A315B9" w14:paraId="77E12CF8" w14:textId="77777777">
            <w:pPr>
              <w:spacing w:line="360" w:lineRule="auto"/>
              <w:rPr>
                <w:rFonts w:ascii="仿宋" w:hAnsi="仿宋" w:eastAsia="仿宋"/>
                <w:color w:val="000000"/>
              </w:rPr>
            </w:pPr>
            <w:r w:rsidRPr="003C684F">
              <w:rPr>
                <w:rFonts w:ascii="仿宋" w:hAnsi="仿宋" w:eastAsia="仿宋"/>
                <w:color w:val="000000"/>
              </w:rPr>
              <w:t>奥希替尼</w:t>
            </w:r>
          </w:p>
          <w:p w:rsidRPr="003C684F" w:rsidR="009730C1" w:rsidP="00822518" w:rsidRDefault="00A315B9" w14:paraId="148720C1" w14:textId="77777777">
            <w:pPr>
              <w:spacing w:line="360" w:lineRule="auto"/>
              <w:rPr>
                <w:rFonts w:ascii="仿宋" w:hAnsi="仿宋" w:eastAsia="仿宋"/>
                <w:color w:val="000000"/>
              </w:rPr>
            </w:pPr>
            <w:r w:rsidRPr="003C684F">
              <w:rPr>
                <w:rFonts w:hint="eastAsia" w:ascii="仿宋" w:hAnsi="仿宋" w:eastAsia="仿宋"/>
                <w:color w:val="000000"/>
              </w:rPr>
              <w:t>阿美替尼</w:t>
            </w:r>
          </w:p>
          <w:p w:rsidRPr="003C684F" w:rsidR="009730C1" w:rsidP="00822518" w:rsidRDefault="00A315B9" w14:paraId="1F004CEE" w14:textId="77777777">
            <w:pPr>
              <w:spacing w:line="360" w:lineRule="auto"/>
              <w:rPr>
                <w:rFonts w:ascii="仿宋" w:hAnsi="仿宋" w:eastAsia="仿宋"/>
                <w:color w:val="000000"/>
              </w:rPr>
            </w:pPr>
            <w:r w:rsidRPr="003C684F">
              <w:rPr>
                <w:rFonts w:hint="eastAsia" w:ascii="仿宋" w:hAnsi="仿宋" w:eastAsia="仿宋"/>
                <w:color w:val="000000"/>
              </w:rPr>
              <w:t>伏美替尼</w:t>
            </w:r>
          </w:p>
          <w:p w:rsidRPr="003C684F" w:rsidR="009730C1" w:rsidP="00822518" w:rsidRDefault="00A315B9" w14:paraId="6993FE81" w14:textId="77777777">
            <w:pPr>
              <w:spacing w:line="360" w:lineRule="auto"/>
              <w:rPr>
                <w:rFonts w:ascii="仿宋" w:hAnsi="仿宋" w:eastAsia="仿宋"/>
                <w:color w:val="000000"/>
              </w:rPr>
            </w:pPr>
            <w:r w:rsidRPr="003C684F">
              <w:rPr>
                <w:rFonts w:ascii="仿宋" w:hAnsi="仿宋" w:eastAsia="仿宋"/>
                <w:color w:val="000000"/>
              </w:rPr>
              <w:t>克唑替尼</w:t>
            </w:r>
          </w:p>
          <w:p w:rsidRPr="003C684F" w:rsidR="009730C1" w:rsidP="00822518" w:rsidRDefault="00A315B9" w14:paraId="6D9795F8" w14:textId="77777777">
            <w:pPr>
              <w:spacing w:line="360" w:lineRule="auto"/>
              <w:rPr>
                <w:rFonts w:ascii="仿宋" w:hAnsi="仿宋" w:eastAsia="仿宋"/>
                <w:color w:val="000000"/>
              </w:rPr>
            </w:pPr>
            <w:r w:rsidRPr="003C684F">
              <w:rPr>
                <w:rFonts w:hint="eastAsia" w:ascii="仿宋" w:hAnsi="仿宋" w:eastAsia="仿宋"/>
                <w:color w:val="000000"/>
              </w:rPr>
              <w:t>阿来替尼</w:t>
            </w:r>
          </w:p>
          <w:p w:rsidRPr="003C684F" w:rsidR="009730C1" w:rsidP="00822518" w:rsidRDefault="00A315B9" w14:paraId="6B6135A4" w14:textId="77777777">
            <w:pPr>
              <w:spacing w:line="360" w:lineRule="auto"/>
              <w:rPr>
                <w:rFonts w:ascii="仿宋" w:hAnsi="仿宋" w:eastAsia="仿宋"/>
                <w:color w:val="000000"/>
              </w:rPr>
            </w:pPr>
            <w:r w:rsidRPr="003C684F">
              <w:rPr>
                <w:rFonts w:hint="eastAsia" w:ascii="仿宋" w:hAnsi="仿宋" w:eastAsia="仿宋"/>
                <w:color w:val="000000"/>
              </w:rPr>
              <w:t>布格替尼</w:t>
            </w:r>
          </w:p>
          <w:p w:rsidRPr="003C684F" w:rsidR="009730C1" w:rsidP="00822518" w:rsidRDefault="00A315B9" w14:paraId="0B53B9CF" w14:textId="77777777">
            <w:pPr>
              <w:spacing w:line="360" w:lineRule="auto"/>
              <w:rPr>
                <w:rFonts w:ascii="仿宋" w:hAnsi="仿宋" w:eastAsia="仿宋"/>
                <w:color w:val="000000"/>
              </w:rPr>
            </w:pPr>
            <w:r w:rsidRPr="003C684F">
              <w:rPr>
                <w:rFonts w:hint="eastAsia" w:ascii="仿宋" w:hAnsi="仿宋" w:eastAsia="仿宋"/>
                <w:color w:val="000000"/>
              </w:rPr>
              <w:t>洛拉替尼</w:t>
            </w:r>
          </w:p>
          <w:p w:rsidRPr="003C684F" w:rsidR="009730C1" w:rsidP="00822518" w:rsidRDefault="00A315B9" w14:paraId="260BFCF6" w14:textId="77777777">
            <w:pPr>
              <w:spacing w:line="360" w:lineRule="auto"/>
              <w:rPr>
                <w:rFonts w:ascii="仿宋" w:hAnsi="仿宋" w:eastAsia="仿宋"/>
                <w:color w:val="000000"/>
              </w:rPr>
            </w:pPr>
            <w:r w:rsidRPr="003C684F">
              <w:rPr>
                <w:rFonts w:hint="eastAsia" w:ascii="仿宋" w:hAnsi="仿宋" w:eastAsia="仿宋"/>
                <w:color w:val="000000"/>
              </w:rPr>
              <w:t>塞瑞替尼</w:t>
            </w:r>
          </w:p>
          <w:p w:rsidRPr="003C684F" w:rsidR="009730C1" w:rsidP="00822518" w:rsidRDefault="00A315B9" w14:paraId="34F43D23" w14:textId="77777777">
            <w:pPr>
              <w:spacing w:line="360" w:lineRule="auto"/>
              <w:rPr>
                <w:rFonts w:ascii="仿宋" w:hAnsi="仿宋" w:eastAsia="仿宋"/>
                <w:color w:val="000000"/>
              </w:rPr>
            </w:pPr>
            <w:r w:rsidRPr="003C684F">
              <w:rPr>
                <w:rFonts w:hint="eastAsia" w:ascii="仿宋" w:hAnsi="仿宋" w:eastAsia="仿宋"/>
                <w:color w:val="000000"/>
              </w:rPr>
              <w:t>恩沙替尼</w:t>
            </w:r>
          </w:p>
          <w:p w:rsidRPr="003C684F" w:rsidR="009730C1" w:rsidP="00822518" w:rsidRDefault="00A315B9" w14:paraId="18DA4467" w14:textId="77777777">
            <w:pPr>
              <w:spacing w:line="360" w:lineRule="auto"/>
              <w:rPr>
                <w:rFonts w:ascii="仿宋" w:hAnsi="仿宋" w:eastAsia="仿宋"/>
                <w:color w:val="000000"/>
              </w:rPr>
            </w:pPr>
            <w:r w:rsidRPr="003C684F">
              <w:rPr>
                <w:rFonts w:hint="eastAsia" w:ascii="仿宋" w:hAnsi="仿宋" w:eastAsia="仿宋"/>
                <w:color w:val="000000"/>
              </w:rPr>
              <w:t>普拉替尼</w:t>
            </w:r>
          </w:p>
          <w:p w:rsidRPr="003C684F" w:rsidR="009730C1" w:rsidP="00822518" w:rsidRDefault="00A315B9" w14:paraId="087EF159" w14:textId="77777777">
            <w:pPr>
              <w:spacing w:line="360" w:lineRule="auto"/>
              <w:rPr>
                <w:rFonts w:ascii="仿宋" w:hAnsi="仿宋" w:eastAsia="仿宋"/>
                <w:color w:val="000000"/>
              </w:rPr>
            </w:pPr>
            <w:r w:rsidRPr="003C684F">
              <w:rPr>
                <w:rFonts w:hint="eastAsia" w:ascii="仿宋" w:hAnsi="仿宋" w:eastAsia="仿宋"/>
                <w:color w:val="000000"/>
              </w:rPr>
              <w:t>赛沃替尼</w:t>
            </w:r>
          </w:p>
          <w:p w:rsidRPr="003C684F" w:rsidR="009730C1" w:rsidP="00822518" w:rsidRDefault="00A315B9" w14:paraId="08FD9337" w14:textId="77777777">
            <w:pPr>
              <w:spacing w:line="360" w:lineRule="auto"/>
              <w:rPr>
                <w:rFonts w:ascii="仿宋" w:hAnsi="仿宋" w:eastAsia="仿宋"/>
                <w:color w:val="000000"/>
              </w:rPr>
            </w:pPr>
            <w:r w:rsidRPr="003C684F">
              <w:rPr>
                <w:rFonts w:hint="eastAsia" w:ascii="仿宋" w:hAnsi="仿宋" w:eastAsia="仿宋"/>
                <w:color w:val="000000"/>
              </w:rPr>
              <w:t>达拉非尼</w:t>
            </w:r>
          </w:p>
          <w:p w:rsidRPr="003C684F" w:rsidR="009730C1" w:rsidP="00822518" w:rsidRDefault="00A315B9" w14:paraId="03055B15" w14:textId="77777777">
            <w:pPr>
              <w:spacing w:line="360" w:lineRule="auto"/>
              <w:rPr>
                <w:rFonts w:ascii="仿宋" w:hAnsi="仿宋" w:eastAsia="仿宋"/>
                <w:color w:val="000000"/>
              </w:rPr>
            </w:pPr>
            <w:r w:rsidRPr="003C684F">
              <w:rPr>
                <w:rFonts w:hint="eastAsia" w:ascii="仿宋" w:hAnsi="仿宋" w:eastAsia="仿宋"/>
                <w:color w:val="000000"/>
              </w:rPr>
              <w:t>曲美替尼</w:t>
            </w:r>
          </w:p>
          <w:p w:rsidRPr="003C684F" w:rsidR="009730C1" w:rsidP="00822518" w:rsidRDefault="00A315B9" w14:paraId="7F83EDA5" w14:textId="77777777">
            <w:pPr>
              <w:spacing w:line="360" w:lineRule="auto"/>
              <w:rPr>
                <w:rFonts w:ascii="仿宋" w:hAnsi="仿宋" w:eastAsia="仿宋"/>
                <w:color w:val="000000"/>
              </w:rPr>
            </w:pPr>
            <w:r w:rsidRPr="003C684F">
              <w:rPr>
                <w:rFonts w:hint="eastAsia" w:ascii="仿宋" w:hAnsi="仿宋" w:eastAsia="仿宋"/>
                <w:color w:val="000000"/>
              </w:rPr>
              <w:t>恩曲替尼</w:t>
            </w:r>
          </w:p>
        </w:tc>
        <w:tc>
          <w:tcPr>
            <w:tcW w:w="2693" w:type="dxa"/>
          </w:tcPr>
          <w:p w:rsidRPr="003C684F" w:rsidR="009730C1" w:rsidP="00822518" w:rsidRDefault="00A315B9" w14:paraId="0340DBEB" w14:textId="77777777">
            <w:pPr>
              <w:spacing w:line="360" w:lineRule="auto"/>
              <w:rPr>
                <w:rFonts w:ascii="仿宋" w:hAnsi="仿宋" w:eastAsia="仿宋"/>
                <w:color w:val="000000"/>
              </w:rPr>
            </w:pPr>
            <w:r w:rsidRPr="003C684F">
              <w:rPr>
                <w:rFonts w:hint="eastAsia" w:ascii="仿宋" w:hAnsi="仿宋" w:eastAsia="仿宋"/>
                <w:color w:val="000000"/>
              </w:rPr>
              <w:t>贝伐珠单抗</w:t>
            </w:r>
          </w:p>
          <w:p w:rsidRPr="003C684F" w:rsidR="009730C1" w:rsidP="00822518" w:rsidRDefault="00A315B9" w14:paraId="6A416C0F" w14:textId="77777777">
            <w:pPr>
              <w:spacing w:line="360" w:lineRule="auto"/>
              <w:rPr>
                <w:rFonts w:ascii="仿宋" w:hAnsi="仿宋" w:eastAsia="仿宋"/>
                <w:color w:val="000000"/>
              </w:rPr>
            </w:pPr>
            <w:r w:rsidRPr="003C684F">
              <w:rPr>
                <w:rFonts w:ascii="仿宋" w:hAnsi="仿宋" w:eastAsia="仿宋"/>
                <w:color w:val="000000"/>
              </w:rPr>
              <w:t>重组人血管内皮抑制素</w:t>
            </w:r>
          </w:p>
          <w:p w:rsidRPr="003C684F" w:rsidR="009730C1" w:rsidP="00822518" w:rsidRDefault="00A315B9" w14:paraId="6ADB634D" w14:textId="77777777">
            <w:pPr>
              <w:spacing w:line="360" w:lineRule="auto"/>
              <w:rPr>
                <w:rFonts w:ascii="仿宋" w:hAnsi="仿宋" w:eastAsia="仿宋"/>
                <w:color w:val="000000"/>
              </w:rPr>
            </w:pPr>
            <w:r w:rsidRPr="003C684F">
              <w:rPr>
                <w:rFonts w:hint="eastAsia" w:ascii="仿宋" w:hAnsi="仿宋" w:eastAsia="仿宋"/>
                <w:color w:val="000000"/>
              </w:rPr>
              <w:t>安罗替尼</w:t>
            </w:r>
          </w:p>
          <w:p w:rsidRPr="003C684F" w:rsidR="009730C1" w:rsidP="00822518" w:rsidRDefault="00A315B9" w14:paraId="7D7D685F" w14:textId="77777777">
            <w:pPr>
              <w:spacing w:line="360" w:lineRule="auto"/>
              <w:rPr>
                <w:rFonts w:ascii="仿宋" w:hAnsi="仿宋" w:eastAsia="仿宋"/>
                <w:color w:val="000000"/>
              </w:rPr>
            </w:pPr>
            <w:r w:rsidRPr="003C684F">
              <w:rPr>
                <w:rFonts w:hint="eastAsia" w:ascii="仿宋" w:hAnsi="仿宋" w:eastAsia="仿宋"/>
                <w:color w:val="000000"/>
              </w:rPr>
              <w:t>依维莫司</w:t>
            </w:r>
          </w:p>
          <w:p w:rsidRPr="003C684F" w:rsidR="009730C1" w:rsidP="00822518" w:rsidRDefault="00A315B9" w14:paraId="4F19F7D3" w14:textId="77777777">
            <w:pPr>
              <w:spacing w:line="360" w:lineRule="auto"/>
              <w:rPr>
                <w:rFonts w:ascii="仿宋" w:hAnsi="仿宋" w:eastAsia="仿宋"/>
                <w:color w:val="000000"/>
                <w:sz w:val="28"/>
                <w:szCs w:val="28"/>
                <w:vertAlign w:val="superscript"/>
              </w:rPr>
            </w:pPr>
            <w:r w:rsidRPr="003C684F">
              <w:rPr>
                <w:rFonts w:hint="eastAsia" w:ascii="仿宋" w:hAnsi="仿宋" w:eastAsia="仿宋"/>
                <w:color w:val="000000"/>
              </w:rPr>
              <w:t>纳武利尤单抗</w:t>
            </w:r>
            <w:r w:rsidRPr="003C684F">
              <w:rPr>
                <w:rFonts w:ascii="仿宋" w:hAnsi="仿宋" w:eastAsia="仿宋"/>
                <w:color w:val="000000"/>
                <w:sz w:val="28"/>
                <w:szCs w:val="28"/>
                <w:vertAlign w:val="superscript"/>
              </w:rPr>
              <w:t>*</w:t>
            </w:r>
          </w:p>
          <w:p w:rsidRPr="003C684F" w:rsidR="009730C1" w:rsidP="00822518" w:rsidRDefault="00A315B9" w14:paraId="32454879" w14:textId="77777777">
            <w:pPr>
              <w:spacing w:line="360" w:lineRule="auto"/>
              <w:rPr>
                <w:rFonts w:ascii="仿宋" w:hAnsi="仿宋" w:eastAsia="仿宋"/>
                <w:color w:val="000000"/>
              </w:rPr>
            </w:pPr>
            <w:r w:rsidRPr="003C684F">
              <w:rPr>
                <w:rFonts w:hint="eastAsia" w:ascii="仿宋" w:hAnsi="仿宋" w:eastAsia="仿宋"/>
                <w:color w:val="000000"/>
              </w:rPr>
              <w:t>帕博利珠单抗</w:t>
            </w:r>
            <w:r w:rsidRPr="003C684F">
              <w:rPr>
                <w:rFonts w:ascii="仿宋" w:hAnsi="仿宋" w:eastAsia="仿宋"/>
                <w:color w:val="000000"/>
                <w:sz w:val="28"/>
                <w:szCs w:val="28"/>
                <w:vertAlign w:val="superscript"/>
              </w:rPr>
              <w:t>*</w:t>
            </w:r>
            <w:r w:rsidRPr="003C684F">
              <w:rPr>
                <w:rFonts w:hint="eastAsia" w:ascii="仿宋" w:hAnsi="仿宋" w:eastAsia="仿宋"/>
                <w:color w:val="000000"/>
                <w:sz w:val="28"/>
                <w:szCs w:val="28"/>
                <w:vertAlign w:val="superscript"/>
              </w:rPr>
              <w:t>#</w:t>
            </w:r>
          </w:p>
          <w:p w:rsidRPr="003C684F" w:rsidR="009730C1" w:rsidP="00822518" w:rsidRDefault="00A315B9" w14:paraId="26FA163C" w14:textId="77777777">
            <w:pPr>
              <w:spacing w:line="360" w:lineRule="auto"/>
              <w:rPr>
                <w:rFonts w:ascii="仿宋" w:hAnsi="仿宋" w:eastAsia="仿宋"/>
                <w:color w:val="000000"/>
              </w:rPr>
            </w:pPr>
            <w:r w:rsidRPr="003C684F">
              <w:rPr>
                <w:rFonts w:hint="eastAsia" w:ascii="仿宋" w:hAnsi="仿宋" w:eastAsia="仿宋"/>
                <w:color w:val="000000"/>
              </w:rPr>
              <w:t>度伐利尤单抗</w:t>
            </w:r>
          </w:p>
          <w:p w:rsidRPr="003C684F" w:rsidR="009730C1" w:rsidP="00822518" w:rsidRDefault="00A315B9" w14:paraId="6333D230" w14:textId="77777777">
            <w:pPr>
              <w:spacing w:line="360" w:lineRule="auto"/>
              <w:rPr>
                <w:rFonts w:ascii="仿宋" w:hAnsi="仿宋" w:eastAsia="仿宋"/>
                <w:color w:val="000000"/>
              </w:rPr>
            </w:pPr>
            <w:r w:rsidRPr="003C684F">
              <w:rPr>
                <w:rFonts w:hint="eastAsia" w:ascii="仿宋" w:hAnsi="仿宋" w:eastAsia="仿宋"/>
                <w:color w:val="000000"/>
              </w:rPr>
              <w:t>阿替利珠单抗</w:t>
            </w:r>
            <w:r w:rsidRPr="003C684F">
              <w:rPr>
                <w:rFonts w:hint="eastAsia" w:ascii="仿宋" w:hAnsi="仿宋" w:eastAsia="仿宋"/>
                <w:color w:val="000000"/>
                <w:sz w:val="28"/>
                <w:szCs w:val="28"/>
                <w:vertAlign w:val="superscript"/>
              </w:rPr>
              <w:t>*#</w:t>
            </w:r>
          </w:p>
          <w:p w:rsidRPr="003C684F" w:rsidR="009730C1" w:rsidP="00822518" w:rsidRDefault="00A315B9" w14:paraId="561365D6" w14:textId="77777777">
            <w:pPr>
              <w:spacing w:line="360" w:lineRule="auto"/>
              <w:rPr>
                <w:rFonts w:ascii="仿宋" w:hAnsi="仿宋" w:eastAsia="仿宋"/>
                <w:color w:val="000000"/>
              </w:rPr>
            </w:pPr>
            <w:r w:rsidRPr="003C684F">
              <w:rPr>
                <w:rFonts w:hint="eastAsia" w:ascii="仿宋" w:hAnsi="仿宋" w:eastAsia="仿宋"/>
                <w:color w:val="000000"/>
              </w:rPr>
              <w:t>卡瑞利珠单抗</w:t>
            </w:r>
            <w:r w:rsidRPr="003C684F">
              <w:rPr>
                <w:rFonts w:ascii="仿宋" w:hAnsi="仿宋" w:eastAsia="仿宋"/>
                <w:color w:val="000000"/>
                <w:sz w:val="28"/>
                <w:szCs w:val="28"/>
                <w:vertAlign w:val="superscript"/>
              </w:rPr>
              <w:t>*</w:t>
            </w:r>
          </w:p>
          <w:p w:rsidRPr="003C684F" w:rsidR="009730C1" w:rsidP="00822518" w:rsidRDefault="00A315B9" w14:paraId="413699E2" w14:textId="77777777">
            <w:pPr>
              <w:spacing w:line="360" w:lineRule="auto"/>
              <w:rPr>
                <w:rFonts w:ascii="仿宋" w:hAnsi="仿宋" w:eastAsia="仿宋"/>
                <w:color w:val="000000"/>
              </w:rPr>
            </w:pPr>
            <w:r w:rsidRPr="003C684F">
              <w:rPr>
                <w:rFonts w:hint="eastAsia" w:ascii="仿宋" w:hAnsi="仿宋" w:eastAsia="仿宋"/>
                <w:color w:val="000000"/>
              </w:rPr>
              <w:t>替雷利珠单抗</w:t>
            </w:r>
            <w:r w:rsidRPr="003C684F">
              <w:rPr>
                <w:rFonts w:hint="eastAsia" w:ascii="仿宋" w:hAnsi="仿宋" w:eastAsia="仿宋"/>
                <w:color w:val="000000"/>
                <w:sz w:val="28"/>
                <w:szCs w:val="28"/>
                <w:vertAlign w:val="superscript"/>
              </w:rPr>
              <w:t>*</w:t>
            </w:r>
          </w:p>
          <w:p w:rsidRPr="003C684F" w:rsidR="009730C1" w:rsidP="00822518" w:rsidRDefault="00A315B9" w14:paraId="66BA5674" w14:textId="77777777">
            <w:pPr>
              <w:spacing w:line="360" w:lineRule="auto"/>
              <w:rPr>
                <w:rFonts w:ascii="仿宋" w:hAnsi="仿宋" w:eastAsia="仿宋"/>
                <w:color w:val="000000"/>
                <w:sz w:val="28"/>
                <w:szCs w:val="28"/>
                <w:vertAlign w:val="superscript"/>
              </w:rPr>
            </w:pPr>
            <w:r w:rsidRPr="003C684F">
              <w:rPr>
                <w:rFonts w:hint="eastAsia" w:ascii="仿宋" w:hAnsi="仿宋" w:eastAsia="仿宋"/>
                <w:color w:val="000000"/>
              </w:rPr>
              <w:t>信迪利单抗</w:t>
            </w:r>
            <w:r w:rsidRPr="003C684F">
              <w:rPr>
                <w:rFonts w:hint="eastAsia" w:ascii="仿宋" w:hAnsi="仿宋" w:eastAsia="仿宋"/>
                <w:color w:val="000000"/>
                <w:sz w:val="28"/>
                <w:szCs w:val="28"/>
                <w:vertAlign w:val="superscript"/>
              </w:rPr>
              <w:t xml:space="preserve">* </w:t>
            </w:r>
          </w:p>
          <w:p w:rsidRPr="003C684F" w:rsidR="009730C1" w:rsidP="00822518" w:rsidRDefault="00A315B9" w14:paraId="15939ACD" w14:textId="77777777">
            <w:pPr>
              <w:spacing w:line="360" w:lineRule="auto"/>
              <w:rPr>
                <w:rFonts w:ascii="仿宋" w:hAnsi="仿宋" w:eastAsia="仿宋"/>
                <w:color w:val="000000"/>
                <w:sz w:val="32"/>
                <w:szCs w:val="32"/>
              </w:rPr>
            </w:pPr>
            <w:r w:rsidRPr="003C684F">
              <w:rPr>
                <w:rFonts w:hint="eastAsia" w:ascii="仿宋" w:hAnsi="仿宋" w:eastAsia="仿宋"/>
                <w:color w:val="000000"/>
              </w:rPr>
              <w:t>舒格利单抗</w:t>
            </w:r>
            <w:r w:rsidRPr="003C684F">
              <w:rPr>
                <w:rFonts w:hint="eastAsia" w:ascii="仿宋" w:hAnsi="仿宋" w:eastAsia="仿宋"/>
                <w:color w:val="000000"/>
                <w:sz w:val="28"/>
                <w:szCs w:val="28"/>
                <w:vertAlign w:val="superscript"/>
              </w:rPr>
              <w:t>*</w:t>
            </w:r>
          </w:p>
        </w:tc>
      </w:tr>
      <w:tr w:rsidRPr="003C684F" w:rsidR="009730C1" w14:paraId="13408549" w14:textId="77777777">
        <w:trPr>
          <w:trHeight w:val="443"/>
        </w:trPr>
        <w:tc>
          <w:tcPr>
            <w:tcW w:w="3119" w:type="dxa"/>
          </w:tcPr>
          <w:p w:rsidRPr="003C684F" w:rsidR="009730C1" w:rsidP="00822518" w:rsidRDefault="00A315B9" w14:paraId="3D6BCE0F" w14:textId="77777777">
            <w:pPr>
              <w:spacing w:line="360" w:lineRule="auto"/>
              <w:rPr>
                <w:rFonts w:ascii="仿宋" w:hAnsi="仿宋" w:eastAsia="仿宋"/>
                <w:color w:val="000000"/>
              </w:rPr>
            </w:pPr>
            <w:r w:rsidRPr="003C684F">
              <w:rPr>
                <w:rFonts w:hint="eastAsia" w:ascii="仿宋" w:hAnsi="仿宋" w:eastAsia="仿宋"/>
                <w:color w:val="000000"/>
              </w:rPr>
              <w:lastRenderedPageBreak/>
              <w:t>胸膜间皮瘤</w:t>
            </w:r>
          </w:p>
        </w:tc>
        <w:tc>
          <w:tcPr>
            <w:tcW w:w="2693" w:type="dxa"/>
          </w:tcPr>
          <w:p w:rsidRPr="003C684F" w:rsidR="009730C1" w:rsidP="00822518" w:rsidRDefault="009730C1" w14:paraId="6BCCEE50" w14:textId="77777777">
            <w:pPr>
              <w:spacing w:line="360" w:lineRule="auto"/>
              <w:rPr>
                <w:rFonts w:ascii="仿宋" w:hAnsi="仿宋" w:eastAsia="仿宋"/>
                <w:color w:val="000000"/>
              </w:rPr>
            </w:pPr>
          </w:p>
        </w:tc>
        <w:tc>
          <w:tcPr>
            <w:tcW w:w="2693" w:type="dxa"/>
          </w:tcPr>
          <w:p w:rsidRPr="003C684F" w:rsidR="009730C1" w:rsidP="00822518" w:rsidRDefault="00A315B9" w14:paraId="2FDF5D3D" w14:textId="77777777">
            <w:pPr>
              <w:spacing w:line="360" w:lineRule="auto"/>
              <w:rPr>
                <w:rFonts w:ascii="仿宋" w:hAnsi="仿宋" w:eastAsia="仿宋"/>
                <w:color w:val="000000"/>
                <w:sz w:val="28"/>
                <w:szCs w:val="28"/>
                <w:vertAlign w:val="superscript"/>
              </w:rPr>
            </w:pPr>
            <w:r w:rsidRPr="003C684F">
              <w:rPr>
                <w:rFonts w:hint="eastAsia" w:ascii="仿宋" w:hAnsi="仿宋" w:eastAsia="仿宋"/>
                <w:color w:val="000000"/>
              </w:rPr>
              <w:t>纳武利尤单抗</w:t>
            </w:r>
          </w:p>
          <w:p w:rsidRPr="003C684F" w:rsidR="009730C1" w:rsidP="00822518" w:rsidRDefault="00A315B9" w14:paraId="2708AF79" w14:textId="77777777">
            <w:pPr>
              <w:spacing w:line="360" w:lineRule="auto"/>
              <w:rPr>
                <w:rFonts w:ascii="仿宋" w:hAnsi="仿宋" w:eastAsia="仿宋"/>
                <w:color w:val="000000"/>
              </w:rPr>
            </w:pPr>
            <w:r w:rsidRPr="003C684F">
              <w:rPr>
                <w:rFonts w:hint="eastAsia" w:ascii="仿宋" w:hAnsi="仿宋" w:eastAsia="仿宋"/>
                <w:color w:val="000000"/>
              </w:rPr>
              <w:t>伊匹木单抗</w:t>
            </w:r>
          </w:p>
        </w:tc>
      </w:tr>
      <w:tr w:rsidRPr="003C684F" w:rsidR="009730C1" w14:paraId="2B7F6152" w14:textId="77777777">
        <w:trPr>
          <w:trHeight w:val="634"/>
        </w:trPr>
        <w:tc>
          <w:tcPr>
            <w:tcW w:w="3119" w:type="dxa"/>
          </w:tcPr>
          <w:p w:rsidRPr="003C684F" w:rsidR="009730C1" w:rsidP="00822518" w:rsidRDefault="00A315B9" w14:paraId="2D45EA35" w14:textId="77777777">
            <w:pPr>
              <w:spacing w:line="360" w:lineRule="auto"/>
              <w:rPr>
                <w:rFonts w:ascii="仿宋" w:hAnsi="仿宋" w:eastAsia="仿宋"/>
                <w:color w:val="000000"/>
              </w:rPr>
            </w:pPr>
            <w:r w:rsidRPr="003C684F">
              <w:rPr>
                <w:rFonts w:hint="eastAsia" w:ascii="仿宋" w:hAnsi="仿宋" w:eastAsia="仿宋"/>
                <w:color w:val="000000"/>
              </w:rPr>
              <w:t>肝癌</w:t>
            </w:r>
          </w:p>
        </w:tc>
        <w:tc>
          <w:tcPr>
            <w:tcW w:w="2693" w:type="dxa"/>
          </w:tcPr>
          <w:p w:rsidRPr="003C684F" w:rsidR="009730C1" w:rsidP="00822518" w:rsidRDefault="009730C1" w14:paraId="6E36BEEE" w14:textId="77777777">
            <w:pPr>
              <w:spacing w:line="360" w:lineRule="auto"/>
              <w:rPr>
                <w:rFonts w:ascii="仿宋" w:hAnsi="仿宋" w:eastAsia="仿宋"/>
                <w:color w:val="000000"/>
              </w:rPr>
            </w:pPr>
          </w:p>
        </w:tc>
        <w:tc>
          <w:tcPr>
            <w:tcW w:w="2693" w:type="dxa"/>
          </w:tcPr>
          <w:p w:rsidRPr="003C684F" w:rsidR="009730C1" w:rsidP="00822518" w:rsidRDefault="00A315B9" w14:paraId="45479BD5" w14:textId="77777777">
            <w:pPr>
              <w:spacing w:line="360" w:lineRule="auto"/>
              <w:rPr>
                <w:rFonts w:ascii="仿宋" w:hAnsi="仿宋" w:eastAsia="仿宋"/>
                <w:color w:val="000000"/>
              </w:rPr>
            </w:pPr>
            <w:r w:rsidRPr="003C684F">
              <w:rPr>
                <w:rFonts w:ascii="仿宋" w:hAnsi="仿宋" w:eastAsia="仿宋"/>
                <w:color w:val="000000"/>
              </w:rPr>
              <w:t>索拉非尼</w:t>
            </w:r>
          </w:p>
          <w:p w:rsidRPr="003C684F" w:rsidR="009730C1" w:rsidP="00822518" w:rsidRDefault="00A315B9" w14:paraId="67321F75" w14:textId="77777777">
            <w:pPr>
              <w:spacing w:line="360" w:lineRule="auto"/>
              <w:rPr>
                <w:rFonts w:ascii="仿宋" w:hAnsi="仿宋" w:eastAsia="仿宋"/>
                <w:color w:val="000000"/>
              </w:rPr>
            </w:pPr>
            <w:r w:rsidRPr="003C684F">
              <w:rPr>
                <w:rFonts w:ascii="仿宋" w:hAnsi="仿宋" w:eastAsia="仿宋"/>
                <w:color w:val="000000"/>
              </w:rPr>
              <w:t>瑞戈非尼</w:t>
            </w:r>
          </w:p>
          <w:p w:rsidRPr="003C684F" w:rsidR="009730C1" w:rsidP="00822518" w:rsidRDefault="00A315B9" w14:paraId="08EDA69F" w14:textId="77777777">
            <w:pPr>
              <w:spacing w:line="360" w:lineRule="auto"/>
              <w:rPr>
                <w:rFonts w:ascii="仿宋" w:hAnsi="仿宋" w:eastAsia="仿宋"/>
                <w:color w:val="000000"/>
              </w:rPr>
            </w:pPr>
            <w:r w:rsidRPr="003C684F">
              <w:rPr>
                <w:rFonts w:hint="eastAsia" w:ascii="仿宋" w:hAnsi="仿宋" w:eastAsia="仿宋"/>
                <w:color w:val="000000"/>
              </w:rPr>
              <w:t>仑伐替尼</w:t>
            </w:r>
          </w:p>
          <w:p w:rsidRPr="003C684F" w:rsidR="009730C1" w:rsidP="00822518" w:rsidRDefault="00A315B9" w14:paraId="201DD072" w14:textId="77777777">
            <w:pPr>
              <w:spacing w:line="360" w:lineRule="auto"/>
              <w:rPr>
                <w:rFonts w:ascii="仿宋" w:hAnsi="仿宋" w:eastAsia="仿宋"/>
                <w:color w:val="000000"/>
              </w:rPr>
            </w:pPr>
            <w:r w:rsidRPr="003C684F">
              <w:rPr>
                <w:rFonts w:hint="eastAsia" w:ascii="仿宋" w:hAnsi="仿宋" w:eastAsia="仿宋"/>
                <w:color w:val="000000"/>
              </w:rPr>
              <w:t>多纳非尼</w:t>
            </w:r>
          </w:p>
          <w:p w:rsidRPr="003C684F" w:rsidR="009730C1" w:rsidP="00822518" w:rsidRDefault="00A315B9" w14:paraId="32D25F1C" w14:textId="77777777">
            <w:pPr>
              <w:spacing w:line="360" w:lineRule="auto"/>
              <w:rPr>
                <w:rFonts w:ascii="仿宋" w:hAnsi="仿宋" w:eastAsia="仿宋"/>
              </w:rPr>
            </w:pPr>
            <w:r w:rsidRPr="003C684F">
              <w:rPr>
                <w:rFonts w:hint="eastAsia" w:ascii="仿宋" w:hAnsi="仿宋" w:eastAsia="仿宋"/>
              </w:rPr>
              <w:t>阿替利珠单抗</w:t>
            </w:r>
          </w:p>
          <w:p w:rsidRPr="003C684F" w:rsidR="009730C1" w:rsidP="00822518" w:rsidRDefault="00A315B9" w14:paraId="4B9789C4" w14:textId="77777777">
            <w:pPr>
              <w:spacing w:line="360" w:lineRule="auto"/>
              <w:rPr>
                <w:rFonts w:ascii="仿宋" w:hAnsi="仿宋" w:eastAsia="仿宋"/>
              </w:rPr>
            </w:pPr>
            <w:r w:rsidRPr="003C684F">
              <w:rPr>
                <w:rFonts w:hint="eastAsia" w:ascii="仿宋" w:hAnsi="仿宋" w:eastAsia="仿宋"/>
              </w:rPr>
              <w:t>信迪利单抗</w:t>
            </w:r>
          </w:p>
          <w:p w:rsidRPr="003C684F" w:rsidR="009730C1" w:rsidP="00822518" w:rsidRDefault="00A315B9" w14:paraId="0F8D00D1" w14:textId="77777777">
            <w:pPr>
              <w:spacing w:line="360" w:lineRule="auto"/>
              <w:rPr>
                <w:rFonts w:ascii="仿宋" w:hAnsi="仿宋" w:eastAsia="仿宋"/>
                <w:color w:val="000000"/>
              </w:rPr>
            </w:pPr>
            <w:r w:rsidRPr="003C684F">
              <w:rPr>
                <w:rFonts w:hint="eastAsia" w:ascii="仿宋" w:hAnsi="仿宋" w:eastAsia="仿宋"/>
                <w:color w:val="000000"/>
              </w:rPr>
              <w:t>卡瑞利珠单抗</w:t>
            </w:r>
          </w:p>
          <w:p w:rsidRPr="003C684F" w:rsidR="009730C1" w:rsidP="00822518" w:rsidRDefault="00A315B9" w14:paraId="2F6518E2" w14:textId="77777777">
            <w:pPr>
              <w:spacing w:line="360" w:lineRule="auto"/>
              <w:rPr>
                <w:rFonts w:ascii="仿宋" w:hAnsi="仿宋" w:eastAsia="仿宋"/>
              </w:rPr>
            </w:pPr>
            <w:r w:rsidRPr="003C684F">
              <w:rPr>
                <w:rFonts w:hint="eastAsia" w:ascii="仿宋" w:hAnsi="仿宋" w:eastAsia="仿宋"/>
              </w:rPr>
              <w:t>替雷利珠单抗</w:t>
            </w:r>
          </w:p>
          <w:p w:rsidRPr="003C684F" w:rsidR="009730C1" w:rsidP="00822518" w:rsidRDefault="00A315B9" w14:paraId="5E325FB1" w14:textId="77777777">
            <w:pPr>
              <w:spacing w:line="360" w:lineRule="auto"/>
              <w:rPr>
                <w:rFonts w:ascii="仿宋" w:hAnsi="仿宋" w:eastAsia="仿宋"/>
              </w:rPr>
            </w:pPr>
            <w:r w:rsidRPr="003C684F">
              <w:rPr>
                <w:rFonts w:hint="eastAsia" w:ascii="仿宋" w:hAnsi="仿宋" w:eastAsia="仿宋"/>
              </w:rPr>
              <w:t>贝伐珠单抗</w:t>
            </w:r>
          </w:p>
          <w:p w:rsidRPr="003C684F" w:rsidR="00B45504" w:rsidP="00822518" w:rsidRDefault="00B45504" w14:paraId="54787077" w14:textId="75544E1F">
            <w:pPr>
              <w:spacing w:line="360" w:lineRule="auto"/>
              <w:rPr>
                <w:rFonts w:ascii="仿宋" w:hAnsi="仿宋" w:eastAsia="仿宋"/>
                <w:color w:val="000000"/>
              </w:rPr>
            </w:pPr>
            <w:r w:rsidRPr="003C684F">
              <w:rPr>
                <w:rFonts w:hint="eastAsia" w:ascii="仿宋" w:hAnsi="仿宋" w:eastAsia="仿宋"/>
                <w:color w:val="000000"/>
              </w:rPr>
              <w:t>阿帕替尼</w:t>
            </w:r>
          </w:p>
        </w:tc>
      </w:tr>
      <w:tr w:rsidRPr="003C684F" w:rsidR="009730C1" w14:paraId="5781ACAE" w14:textId="77777777">
        <w:trPr>
          <w:trHeight w:val="476"/>
        </w:trPr>
        <w:tc>
          <w:tcPr>
            <w:tcW w:w="3119" w:type="dxa"/>
          </w:tcPr>
          <w:p w:rsidRPr="003C684F" w:rsidR="009730C1" w:rsidP="00822518" w:rsidRDefault="00A315B9" w14:paraId="50C54355" w14:textId="77777777">
            <w:pPr>
              <w:spacing w:line="360" w:lineRule="auto"/>
              <w:rPr>
                <w:rFonts w:ascii="仿宋" w:hAnsi="仿宋" w:eastAsia="仿宋"/>
                <w:color w:val="000000"/>
              </w:rPr>
            </w:pPr>
            <w:r w:rsidRPr="003C684F">
              <w:rPr>
                <w:rFonts w:hint="eastAsia" w:ascii="仿宋" w:hAnsi="仿宋" w:eastAsia="仿宋"/>
                <w:color w:val="000000"/>
              </w:rPr>
              <w:t>食管癌</w:t>
            </w:r>
          </w:p>
        </w:tc>
        <w:tc>
          <w:tcPr>
            <w:tcW w:w="2693" w:type="dxa"/>
          </w:tcPr>
          <w:p w:rsidRPr="003C684F" w:rsidR="009730C1" w:rsidP="00822518" w:rsidRDefault="009730C1" w14:paraId="3AB4E4BA" w14:textId="6D9535F4">
            <w:pPr>
              <w:spacing w:line="360" w:lineRule="auto"/>
              <w:rPr>
                <w:rFonts w:ascii="仿宋" w:hAnsi="仿宋" w:eastAsia="仿宋"/>
                <w:color w:val="000000"/>
              </w:rPr>
            </w:pPr>
          </w:p>
        </w:tc>
        <w:tc>
          <w:tcPr>
            <w:tcW w:w="2693" w:type="dxa"/>
          </w:tcPr>
          <w:p w:rsidRPr="003C684F" w:rsidR="009730C1" w:rsidP="00822518" w:rsidRDefault="00A315B9" w14:paraId="48B78D09" w14:textId="77777777">
            <w:pPr>
              <w:spacing w:line="360" w:lineRule="auto"/>
              <w:rPr>
                <w:rFonts w:ascii="仿宋" w:hAnsi="仿宋" w:eastAsia="仿宋"/>
                <w:color w:val="000000"/>
              </w:rPr>
            </w:pPr>
            <w:r w:rsidRPr="003C684F">
              <w:rPr>
                <w:rFonts w:hint="eastAsia" w:ascii="仿宋" w:hAnsi="仿宋" w:eastAsia="仿宋"/>
                <w:color w:val="000000"/>
              </w:rPr>
              <w:t>卡瑞利珠单抗</w:t>
            </w:r>
          </w:p>
          <w:p w:rsidRPr="003C684F" w:rsidR="009730C1" w:rsidP="00822518" w:rsidRDefault="00A315B9" w14:paraId="44AA6777" w14:textId="77777777">
            <w:pPr>
              <w:spacing w:line="360" w:lineRule="auto"/>
              <w:rPr>
                <w:rFonts w:ascii="仿宋" w:hAnsi="仿宋" w:eastAsia="仿宋"/>
                <w:color w:val="000000"/>
              </w:rPr>
            </w:pPr>
            <w:r w:rsidRPr="003C684F">
              <w:rPr>
                <w:rFonts w:hint="eastAsia" w:ascii="仿宋" w:hAnsi="仿宋" w:eastAsia="仿宋"/>
                <w:color w:val="000000"/>
              </w:rPr>
              <w:t>替雷利珠单抗</w:t>
            </w:r>
          </w:p>
          <w:p w:rsidRPr="003C684F" w:rsidR="009730C1" w:rsidP="00822518" w:rsidRDefault="00A315B9" w14:paraId="585007DC" w14:textId="77777777">
            <w:pPr>
              <w:spacing w:line="360" w:lineRule="auto"/>
              <w:rPr>
                <w:rFonts w:ascii="仿宋" w:hAnsi="仿宋" w:eastAsia="仿宋"/>
                <w:color w:val="000000"/>
              </w:rPr>
            </w:pPr>
            <w:r w:rsidRPr="003C684F">
              <w:rPr>
                <w:rFonts w:hint="eastAsia" w:ascii="仿宋" w:hAnsi="仿宋" w:eastAsia="仿宋"/>
                <w:color w:val="000000"/>
              </w:rPr>
              <w:t>特瑞普利单抗</w:t>
            </w:r>
          </w:p>
          <w:p w:rsidRPr="003C684F" w:rsidR="009730C1" w:rsidP="00822518" w:rsidRDefault="00A315B9" w14:paraId="114A75A4" w14:textId="77777777">
            <w:pPr>
              <w:spacing w:line="360" w:lineRule="auto"/>
              <w:rPr>
                <w:rFonts w:ascii="仿宋" w:hAnsi="仿宋" w:eastAsia="仿宋"/>
                <w:color w:val="000000"/>
              </w:rPr>
            </w:pPr>
            <w:r w:rsidRPr="003C684F">
              <w:rPr>
                <w:rFonts w:hint="eastAsia" w:ascii="仿宋" w:hAnsi="仿宋" w:eastAsia="仿宋"/>
                <w:color w:val="000000"/>
              </w:rPr>
              <w:t>信迪利单抗</w:t>
            </w:r>
          </w:p>
          <w:p w:rsidRPr="003C684F" w:rsidR="009730C1" w:rsidP="00822518" w:rsidRDefault="00A315B9" w14:paraId="1043B06E" w14:textId="77777777">
            <w:pPr>
              <w:spacing w:line="360" w:lineRule="auto"/>
              <w:rPr>
                <w:rFonts w:ascii="仿宋" w:hAnsi="仿宋" w:eastAsia="仿宋"/>
                <w:color w:val="000000"/>
              </w:rPr>
            </w:pPr>
            <w:r w:rsidRPr="003C684F">
              <w:rPr>
                <w:rFonts w:hint="eastAsia" w:ascii="仿宋" w:hAnsi="仿宋" w:eastAsia="仿宋"/>
                <w:color w:val="000000"/>
              </w:rPr>
              <w:t>纳武利尤单抗</w:t>
            </w:r>
          </w:p>
          <w:p w:rsidRPr="003C684F" w:rsidR="00306CA3" w:rsidP="00822518" w:rsidRDefault="00306CA3" w14:paraId="708FCB93" w14:textId="570F505C">
            <w:pPr>
              <w:spacing w:line="360" w:lineRule="auto"/>
              <w:rPr>
                <w:rFonts w:ascii="仿宋" w:hAnsi="仿宋" w:eastAsia="仿宋"/>
                <w:color w:val="000000"/>
              </w:rPr>
            </w:pPr>
            <w:r w:rsidRPr="003C684F">
              <w:rPr>
                <w:rFonts w:hint="eastAsia" w:ascii="仿宋" w:hAnsi="仿宋" w:eastAsia="仿宋"/>
                <w:color w:val="000000"/>
              </w:rPr>
              <w:t>帕博利珠单抗</w:t>
            </w:r>
          </w:p>
        </w:tc>
      </w:tr>
      <w:tr w:rsidRPr="003C684F" w:rsidR="009730C1" w14:paraId="12E5F4AC" w14:textId="77777777">
        <w:tc>
          <w:tcPr>
            <w:tcW w:w="3119" w:type="dxa"/>
          </w:tcPr>
          <w:p w:rsidRPr="003C684F" w:rsidR="009730C1" w:rsidP="00822518" w:rsidRDefault="00A315B9" w14:paraId="24CA66CE" w14:textId="77777777">
            <w:pPr>
              <w:spacing w:line="360" w:lineRule="auto"/>
              <w:rPr>
                <w:rFonts w:ascii="仿宋" w:hAnsi="仿宋" w:eastAsia="仿宋"/>
                <w:color w:val="000000"/>
              </w:rPr>
            </w:pPr>
            <w:r w:rsidRPr="003C684F">
              <w:rPr>
                <w:rFonts w:hint="eastAsia" w:ascii="仿宋" w:hAnsi="仿宋" w:eastAsia="仿宋"/>
                <w:color w:val="000000"/>
              </w:rPr>
              <w:t>胃癌</w:t>
            </w:r>
          </w:p>
        </w:tc>
        <w:tc>
          <w:tcPr>
            <w:tcW w:w="2693" w:type="dxa"/>
          </w:tcPr>
          <w:p w:rsidRPr="003C684F" w:rsidR="009730C1" w:rsidP="00822518" w:rsidRDefault="00A315B9" w14:paraId="03D6AD47" w14:textId="77777777">
            <w:pPr>
              <w:spacing w:line="360" w:lineRule="auto"/>
              <w:rPr>
                <w:rFonts w:ascii="仿宋" w:hAnsi="仿宋" w:eastAsia="仿宋"/>
                <w:color w:val="000000"/>
              </w:rPr>
            </w:pPr>
            <w:r w:rsidRPr="003C684F">
              <w:rPr>
                <w:rFonts w:ascii="仿宋" w:hAnsi="仿宋" w:eastAsia="仿宋"/>
                <w:color w:val="000000"/>
              </w:rPr>
              <w:t>曲妥珠单抗</w:t>
            </w:r>
          </w:p>
          <w:p w:rsidRPr="003C684F" w:rsidR="009730C1" w:rsidP="00822518" w:rsidRDefault="00A315B9" w14:paraId="5DC2385C" w14:textId="77777777">
            <w:pPr>
              <w:spacing w:line="360" w:lineRule="auto"/>
              <w:rPr>
                <w:rFonts w:ascii="仿宋" w:hAnsi="仿宋" w:eastAsia="仿宋"/>
              </w:rPr>
            </w:pPr>
            <w:r w:rsidRPr="003C684F">
              <w:rPr>
                <w:rFonts w:hint="eastAsia" w:ascii="仿宋" w:hAnsi="仿宋" w:eastAsia="仿宋"/>
              </w:rPr>
              <w:t>维迪西妥单抗</w:t>
            </w:r>
          </w:p>
        </w:tc>
        <w:tc>
          <w:tcPr>
            <w:tcW w:w="2693" w:type="dxa"/>
          </w:tcPr>
          <w:p w:rsidRPr="003C684F" w:rsidR="009730C1" w:rsidP="00822518" w:rsidRDefault="00A315B9" w14:paraId="7EF90AC4" w14:textId="77777777">
            <w:pPr>
              <w:spacing w:line="360" w:lineRule="auto"/>
              <w:rPr>
                <w:rFonts w:ascii="仿宋" w:hAnsi="仿宋" w:eastAsia="仿宋"/>
                <w:color w:val="000000"/>
              </w:rPr>
            </w:pPr>
            <w:r w:rsidRPr="003C684F">
              <w:rPr>
                <w:rFonts w:ascii="仿宋" w:hAnsi="仿宋" w:eastAsia="仿宋"/>
                <w:color w:val="000000"/>
              </w:rPr>
              <w:t>阿帕替尼</w:t>
            </w:r>
          </w:p>
          <w:p w:rsidRPr="003C684F" w:rsidR="009730C1" w:rsidP="00822518" w:rsidRDefault="00A315B9" w14:paraId="331F103E" w14:textId="77777777">
            <w:pPr>
              <w:spacing w:line="360" w:lineRule="auto"/>
              <w:rPr>
                <w:rFonts w:ascii="仿宋" w:hAnsi="仿宋" w:eastAsia="仿宋"/>
                <w:color w:val="000000"/>
              </w:rPr>
            </w:pPr>
            <w:r w:rsidRPr="003C684F">
              <w:rPr>
                <w:rFonts w:hint="eastAsia" w:ascii="仿宋" w:hAnsi="仿宋" w:eastAsia="仿宋"/>
                <w:color w:val="000000"/>
              </w:rPr>
              <w:t>纳武利尤单抗</w:t>
            </w:r>
          </w:p>
          <w:p w:rsidRPr="003C684F" w:rsidR="009730C1" w:rsidP="00822518" w:rsidRDefault="00A315B9" w14:paraId="49BEEAEC" w14:textId="77777777">
            <w:pPr>
              <w:spacing w:line="360" w:lineRule="auto"/>
              <w:rPr>
                <w:rFonts w:ascii="仿宋" w:hAnsi="仿宋" w:eastAsia="仿宋"/>
                <w:color w:val="000000"/>
              </w:rPr>
            </w:pPr>
            <w:r w:rsidRPr="003C684F">
              <w:rPr>
                <w:rFonts w:hint="eastAsia" w:ascii="仿宋" w:hAnsi="仿宋" w:eastAsia="仿宋"/>
                <w:color w:val="000000"/>
              </w:rPr>
              <w:t>信迪利单抗</w:t>
            </w:r>
          </w:p>
          <w:p w:rsidRPr="003C684F" w:rsidR="009730C1" w:rsidP="00822518" w:rsidRDefault="00A315B9" w14:paraId="3C4735C1" w14:textId="77777777">
            <w:pPr>
              <w:spacing w:line="360" w:lineRule="auto"/>
              <w:rPr>
                <w:rFonts w:ascii="仿宋" w:hAnsi="仿宋" w:eastAsia="仿宋"/>
                <w:color w:val="000000"/>
              </w:rPr>
            </w:pPr>
            <w:r w:rsidRPr="003C684F">
              <w:rPr>
                <w:rFonts w:hint="eastAsia" w:ascii="仿宋" w:hAnsi="仿宋" w:eastAsia="仿宋"/>
                <w:color w:val="000000"/>
              </w:rPr>
              <w:t>雷莫西尤单抗</w:t>
            </w:r>
          </w:p>
        </w:tc>
      </w:tr>
      <w:tr w:rsidRPr="003C684F" w:rsidR="009730C1" w14:paraId="5449BB27" w14:textId="77777777">
        <w:trPr>
          <w:trHeight w:val="634"/>
        </w:trPr>
        <w:tc>
          <w:tcPr>
            <w:tcW w:w="3119" w:type="dxa"/>
          </w:tcPr>
          <w:p w:rsidRPr="003C684F" w:rsidR="009730C1" w:rsidP="00822518" w:rsidRDefault="00A315B9" w14:paraId="1AE82FDF" w14:textId="77777777">
            <w:pPr>
              <w:spacing w:line="360" w:lineRule="auto"/>
              <w:rPr>
                <w:rFonts w:ascii="仿宋" w:hAnsi="仿宋" w:eastAsia="仿宋"/>
                <w:color w:val="000000"/>
              </w:rPr>
            </w:pPr>
            <w:r w:rsidRPr="003C684F">
              <w:rPr>
                <w:rFonts w:hint="eastAsia" w:ascii="仿宋" w:hAnsi="仿宋" w:eastAsia="仿宋"/>
                <w:color w:val="000000"/>
              </w:rPr>
              <w:t>胃肠间质瘤</w:t>
            </w:r>
          </w:p>
        </w:tc>
        <w:tc>
          <w:tcPr>
            <w:tcW w:w="2693" w:type="dxa"/>
          </w:tcPr>
          <w:p w:rsidRPr="003C684F" w:rsidR="009730C1" w:rsidP="00822518" w:rsidRDefault="00A315B9" w14:paraId="58813921" w14:textId="77777777">
            <w:pPr>
              <w:spacing w:line="360" w:lineRule="auto"/>
              <w:rPr>
                <w:rFonts w:ascii="仿宋" w:hAnsi="仿宋" w:eastAsia="仿宋"/>
                <w:color w:val="000000"/>
              </w:rPr>
            </w:pPr>
            <w:r w:rsidRPr="003C684F">
              <w:rPr>
                <w:rFonts w:ascii="仿宋" w:hAnsi="仿宋" w:eastAsia="仿宋"/>
                <w:color w:val="000000"/>
              </w:rPr>
              <w:t>伊马替尼</w:t>
            </w:r>
          </w:p>
          <w:p w:rsidRPr="003C684F" w:rsidR="009730C1" w:rsidP="00822518" w:rsidRDefault="00A315B9" w14:paraId="70798CE3" w14:textId="77777777">
            <w:pPr>
              <w:spacing w:line="360" w:lineRule="auto"/>
              <w:rPr>
                <w:rFonts w:ascii="仿宋" w:hAnsi="仿宋" w:eastAsia="仿宋"/>
              </w:rPr>
            </w:pPr>
            <w:r w:rsidRPr="003C684F">
              <w:rPr>
                <w:rFonts w:hint="eastAsia" w:ascii="仿宋" w:hAnsi="仿宋" w:eastAsia="仿宋"/>
              </w:rPr>
              <w:t>阿伐替尼</w:t>
            </w:r>
          </w:p>
        </w:tc>
        <w:tc>
          <w:tcPr>
            <w:tcW w:w="2693" w:type="dxa"/>
          </w:tcPr>
          <w:p w:rsidRPr="003C684F" w:rsidR="009730C1" w:rsidP="00822518" w:rsidRDefault="00A315B9" w14:paraId="021EE1DF" w14:textId="77777777">
            <w:pPr>
              <w:spacing w:line="360" w:lineRule="auto"/>
              <w:rPr>
                <w:rFonts w:ascii="仿宋" w:hAnsi="仿宋" w:eastAsia="仿宋"/>
                <w:color w:val="000000"/>
              </w:rPr>
            </w:pPr>
            <w:r w:rsidRPr="003C684F">
              <w:rPr>
                <w:rFonts w:ascii="仿宋" w:hAnsi="仿宋" w:eastAsia="仿宋"/>
                <w:color w:val="000000"/>
              </w:rPr>
              <w:t>瑞戈非尼</w:t>
            </w:r>
          </w:p>
          <w:p w:rsidRPr="003C684F" w:rsidR="009730C1" w:rsidP="00822518" w:rsidRDefault="00A315B9" w14:paraId="75CBCFCC" w14:textId="77777777">
            <w:pPr>
              <w:spacing w:line="360" w:lineRule="auto"/>
              <w:rPr>
                <w:rFonts w:ascii="仿宋" w:hAnsi="仿宋" w:eastAsia="仿宋"/>
                <w:color w:val="000000"/>
              </w:rPr>
            </w:pPr>
            <w:r w:rsidRPr="003C684F">
              <w:rPr>
                <w:rFonts w:ascii="仿宋" w:hAnsi="仿宋" w:eastAsia="仿宋"/>
                <w:color w:val="000000"/>
              </w:rPr>
              <w:t>舒尼替尼</w:t>
            </w:r>
          </w:p>
          <w:p w:rsidRPr="003C684F" w:rsidR="009730C1" w:rsidP="00822518" w:rsidRDefault="00A315B9" w14:paraId="26EFB043" w14:textId="77777777">
            <w:pPr>
              <w:spacing w:line="360" w:lineRule="auto"/>
              <w:rPr>
                <w:rFonts w:ascii="仿宋" w:hAnsi="仿宋" w:eastAsia="仿宋"/>
              </w:rPr>
            </w:pPr>
            <w:r w:rsidRPr="003C684F">
              <w:rPr>
                <w:rFonts w:hint="eastAsia" w:ascii="仿宋" w:hAnsi="仿宋" w:eastAsia="仿宋"/>
              </w:rPr>
              <w:t>瑞派替尼</w:t>
            </w:r>
          </w:p>
        </w:tc>
      </w:tr>
      <w:tr w:rsidRPr="003C684F" w:rsidR="009730C1" w14:paraId="32416D26" w14:textId="77777777">
        <w:trPr>
          <w:trHeight w:val="634"/>
        </w:trPr>
        <w:tc>
          <w:tcPr>
            <w:tcW w:w="3119" w:type="dxa"/>
          </w:tcPr>
          <w:p w:rsidRPr="003C684F" w:rsidR="009730C1" w:rsidP="00822518" w:rsidRDefault="00A315B9" w14:paraId="2B9DA594" w14:textId="77777777">
            <w:pPr>
              <w:spacing w:line="360" w:lineRule="auto"/>
              <w:rPr>
                <w:rFonts w:ascii="仿宋" w:hAnsi="仿宋" w:eastAsia="仿宋"/>
                <w:color w:val="000000"/>
              </w:rPr>
            </w:pPr>
            <w:r w:rsidRPr="003C684F">
              <w:rPr>
                <w:rFonts w:hint="eastAsia" w:ascii="仿宋" w:hAnsi="仿宋" w:eastAsia="仿宋"/>
                <w:color w:val="000000"/>
              </w:rPr>
              <w:t>神经内分泌瘤</w:t>
            </w:r>
          </w:p>
        </w:tc>
        <w:tc>
          <w:tcPr>
            <w:tcW w:w="2693" w:type="dxa"/>
          </w:tcPr>
          <w:p w:rsidRPr="003C684F" w:rsidR="009730C1" w:rsidP="00822518" w:rsidRDefault="009730C1" w14:paraId="59E5F382" w14:textId="77777777">
            <w:pPr>
              <w:spacing w:line="360" w:lineRule="auto"/>
              <w:rPr>
                <w:rFonts w:ascii="仿宋" w:hAnsi="仿宋" w:eastAsia="仿宋"/>
                <w:color w:val="000000"/>
              </w:rPr>
            </w:pPr>
          </w:p>
        </w:tc>
        <w:tc>
          <w:tcPr>
            <w:tcW w:w="2693" w:type="dxa"/>
          </w:tcPr>
          <w:p w:rsidRPr="003C684F" w:rsidR="009730C1" w:rsidP="00822518" w:rsidRDefault="00A315B9" w14:paraId="65BBACC6" w14:textId="77777777">
            <w:pPr>
              <w:spacing w:line="360" w:lineRule="auto"/>
              <w:rPr>
                <w:rFonts w:ascii="仿宋" w:hAnsi="仿宋" w:eastAsia="仿宋"/>
                <w:color w:val="000000"/>
              </w:rPr>
            </w:pPr>
            <w:r w:rsidRPr="003C684F">
              <w:rPr>
                <w:rFonts w:ascii="仿宋" w:hAnsi="仿宋" w:eastAsia="仿宋"/>
                <w:color w:val="000000"/>
              </w:rPr>
              <w:t>舒尼替尼</w:t>
            </w:r>
          </w:p>
          <w:p w:rsidRPr="003C684F" w:rsidR="009730C1" w:rsidP="00822518" w:rsidRDefault="00A315B9" w14:paraId="6BE00D01" w14:textId="77777777">
            <w:pPr>
              <w:spacing w:line="360" w:lineRule="auto"/>
              <w:rPr>
                <w:rFonts w:ascii="仿宋" w:hAnsi="仿宋" w:eastAsia="仿宋"/>
                <w:color w:val="000000"/>
              </w:rPr>
            </w:pPr>
            <w:r w:rsidRPr="003C684F">
              <w:rPr>
                <w:rFonts w:ascii="仿宋" w:hAnsi="仿宋" w:eastAsia="仿宋"/>
                <w:color w:val="000000"/>
              </w:rPr>
              <w:t>依维莫司</w:t>
            </w:r>
          </w:p>
          <w:p w:rsidRPr="003C684F" w:rsidR="009730C1" w:rsidP="00822518" w:rsidRDefault="00A315B9" w14:paraId="0D5FE0D8" w14:textId="77777777">
            <w:pPr>
              <w:spacing w:line="360" w:lineRule="auto"/>
              <w:rPr>
                <w:rFonts w:ascii="仿宋" w:hAnsi="仿宋" w:eastAsia="仿宋"/>
              </w:rPr>
            </w:pPr>
            <w:r w:rsidRPr="003C684F">
              <w:rPr>
                <w:rFonts w:hint="eastAsia" w:ascii="仿宋" w:hAnsi="仿宋" w:eastAsia="仿宋"/>
              </w:rPr>
              <w:t>索凡替尼</w:t>
            </w:r>
          </w:p>
        </w:tc>
      </w:tr>
      <w:tr w:rsidRPr="003C684F" w:rsidR="009730C1" w14:paraId="59AD896A" w14:textId="77777777">
        <w:trPr>
          <w:trHeight w:val="634"/>
        </w:trPr>
        <w:tc>
          <w:tcPr>
            <w:tcW w:w="3119" w:type="dxa"/>
          </w:tcPr>
          <w:p w:rsidRPr="003C684F" w:rsidR="009730C1" w:rsidP="00822518" w:rsidRDefault="00A315B9" w14:paraId="13052ADE" w14:textId="77777777">
            <w:pPr>
              <w:spacing w:line="360" w:lineRule="auto"/>
              <w:rPr>
                <w:rFonts w:ascii="仿宋" w:hAnsi="仿宋" w:eastAsia="仿宋"/>
                <w:color w:val="000000"/>
              </w:rPr>
            </w:pPr>
            <w:r w:rsidRPr="003C684F">
              <w:rPr>
                <w:rFonts w:hint="eastAsia" w:ascii="仿宋" w:hAnsi="仿宋" w:eastAsia="仿宋"/>
                <w:color w:val="000000"/>
              </w:rPr>
              <w:t>结直肠癌</w:t>
            </w:r>
          </w:p>
        </w:tc>
        <w:tc>
          <w:tcPr>
            <w:tcW w:w="2693" w:type="dxa"/>
          </w:tcPr>
          <w:p w:rsidRPr="003C684F" w:rsidR="009730C1" w:rsidP="00822518" w:rsidRDefault="00A315B9" w14:paraId="484A34E1" w14:textId="77777777">
            <w:pPr>
              <w:spacing w:line="360" w:lineRule="auto"/>
              <w:rPr>
                <w:rFonts w:ascii="仿宋" w:hAnsi="仿宋" w:eastAsia="仿宋"/>
                <w:color w:val="000000"/>
              </w:rPr>
            </w:pPr>
            <w:r w:rsidRPr="003C684F">
              <w:rPr>
                <w:rFonts w:ascii="仿宋" w:hAnsi="仿宋" w:eastAsia="仿宋"/>
                <w:color w:val="000000"/>
              </w:rPr>
              <w:t>西妥昔单抗</w:t>
            </w:r>
          </w:p>
          <w:p w:rsidRPr="003C684F" w:rsidR="009730C1" w:rsidP="00822518" w:rsidRDefault="00A315B9" w14:paraId="61DB7859" w14:textId="77777777">
            <w:pPr>
              <w:spacing w:line="360" w:lineRule="auto"/>
              <w:rPr>
                <w:rFonts w:ascii="仿宋" w:hAnsi="仿宋" w:eastAsia="仿宋"/>
              </w:rPr>
            </w:pPr>
            <w:r w:rsidRPr="003C684F">
              <w:rPr>
                <w:rFonts w:hint="eastAsia" w:ascii="仿宋" w:hAnsi="仿宋" w:eastAsia="仿宋"/>
              </w:rPr>
              <w:lastRenderedPageBreak/>
              <w:t>帕博利珠单抗</w:t>
            </w:r>
          </w:p>
          <w:p w:rsidRPr="003C684F" w:rsidR="009730C1" w:rsidP="00822518" w:rsidRDefault="00A315B9" w14:paraId="3BA4DBA7" w14:textId="77777777">
            <w:pPr>
              <w:spacing w:line="360" w:lineRule="auto"/>
              <w:rPr>
                <w:rFonts w:ascii="仿宋" w:hAnsi="仿宋" w:eastAsia="仿宋"/>
              </w:rPr>
            </w:pPr>
            <w:r w:rsidRPr="003C684F">
              <w:rPr>
                <w:rFonts w:hint="eastAsia" w:ascii="仿宋" w:hAnsi="仿宋" w:eastAsia="仿宋"/>
              </w:rPr>
              <w:t>替雷利珠单抗</w:t>
            </w:r>
          </w:p>
          <w:p w:rsidRPr="003C684F" w:rsidR="009730C1" w:rsidP="00822518" w:rsidRDefault="00A315B9" w14:paraId="3E8B7008" w14:textId="77777777">
            <w:pPr>
              <w:spacing w:line="360" w:lineRule="auto"/>
              <w:rPr>
                <w:rFonts w:ascii="仿宋" w:hAnsi="仿宋" w:eastAsia="仿宋"/>
              </w:rPr>
            </w:pPr>
            <w:r w:rsidRPr="003C684F">
              <w:rPr>
                <w:rFonts w:hint="eastAsia" w:ascii="仿宋" w:hAnsi="仿宋" w:eastAsia="仿宋"/>
              </w:rPr>
              <w:t>恩沃利单抗</w:t>
            </w:r>
          </w:p>
        </w:tc>
        <w:tc>
          <w:tcPr>
            <w:tcW w:w="2693" w:type="dxa"/>
          </w:tcPr>
          <w:p w:rsidRPr="003C684F" w:rsidR="009730C1" w:rsidP="00822518" w:rsidRDefault="00A315B9" w14:paraId="0655BEFF" w14:textId="77777777">
            <w:pPr>
              <w:spacing w:line="360" w:lineRule="auto"/>
              <w:rPr>
                <w:rFonts w:ascii="仿宋" w:hAnsi="仿宋" w:eastAsia="仿宋"/>
                <w:color w:val="000000"/>
              </w:rPr>
            </w:pPr>
            <w:r w:rsidRPr="003C684F">
              <w:rPr>
                <w:rFonts w:ascii="仿宋" w:hAnsi="仿宋" w:eastAsia="仿宋"/>
                <w:color w:val="000000"/>
              </w:rPr>
              <w:lastRenderedPageBreak/>
              <w:t>贝伐珠单抗</w:t>
            </w:r>
          </w:p>
          <w:p w:rsidRPr="003C684F" w:rsidR="009730C1" w:rsidP="00822518" w:rsidRDefault="00A315B9" w14:paraId="228CF92E" w14:textId="77777777">
            <w:pPr>
              <w:spacing w:line="360" w:lineRule="auto"/>
              <w:rPr>
                <w:rFonts w:ascii="仿宋" w:hAnsi="仿宋" w:eastAsia="仿宋"/>
                <w:color w:val="000000"/>
              </w:rPr>
            </w:pPr>
            <w:r w:rsidRPr="003C684F">
              <w:rPr>
                <w:rFonts w:ascii="仿宋" w:hAnsi="仿宋" w:eastAsia="仿宋"/>
                <w:color w:val="000000"/>
              </w:rPr>
              <w:lastRenderedPageBreak/>
              <w:t>瑞戈非尼</w:t>
            </w:r>
          </w:p>
          <w:p w:rsidRPr="003C684F" w:rsidR="009730C1" w:rsidP="00822518" w:rsidRDefault="00A315B9" w14:paraId="15402A90" w14:textId="77777777">
            <w:pPr>
              <w:spacing w:line="360" w:lineRule="auto"/>
              <w:rPr>
                <w:rFonts w:ascii="仿宋" w:hAnsi="仿宋" w:eastAsia="仿宋"/>
                <w:color w:val="000000"/>
              </w:rPr>
            </w:pPr>
            <w:r w:rsidRPr="003C684F">
              <w:rPr>
                <w:rFonts w:hint="eastAsia" w:ascii="仿宋" w:hAnsi="仿宋" w:eastAsia="仿宋"/>
                <w:color w:val="000000"/>
              </w:rPr>
              <w:t>呋喹替尼</w:t>
            </w:r>
          </w:p>
        </w:tc>
      </w:tr>
      <w:tr w:rsidRPr="003C684F" w:rsidR="009730C1" w:rsidTr="00DA3E08" w14:paraId="0DAFC091" w14:textId="77777777">
        <w:trPr>
          <w:trHeight w:val="634"/>
        </w:trPr>
        <w:tc>
          <w:tcPr>
            <w:tcW w:w="3119" w:type="dxa"/>
            <w:shd w:val="clear" w:color="auto" w:fill="auto"/>
          </w:tcPr>
          <w:p w:rsidRPr="003C684F" w:rsidR="009730C1" w:rsidP="00822518" w:rsidRDefault="00A315B9" w14:paraId="717D7CB3" w14:textId="77777777">
            <w:pPr>
              <w:spacing w:line="360" w:lineRule="auto"/>
              <w:rPr>
                <w:rFonts w:ascii="仿宋" w:hAnsi="仿宋" w:eastAsia="仿宋"/>
                <w:color w:val="000000"/>
              </w:rPr>
            </w:pPr>
            <w:r w:rsidRPr="003C684F">
              <w:rPr>
                <w:rFonts w:hint="eastAsia" w:ascii="仿宋" w:hAnsi="仿宋" w:eastAsia="仿宋"/>
                <w:color w:val="000000"/>
              </w:rPr>
              <w:lastRenderedPageBreak/>
              <w:t>高度微卫星不稳定型实体瘤</w:t>
            </w:r>
          </w:p>
          <w:p w:rsidRPr="003C684F" w:rsidR="009730C1" w:rsidP="00822518" w:rsidRDefault="009730C1" w14:paraId="7625CD05" w14:textId="77777777">
            <w:pPr>
              <w:spacing w:line="360" w:lineRule="auto"/>
              <w:rPr>
                <w:rFonts w:ascii="仿宋" w:hAnsi="仿宋" w:eastAsia="仿宋"/>
                <w:color w:val="000000"/>
              </w:rPr>
            </w:pPr>
          </w:p>
        </w:tc>
        <w:tc>
          <w:tcPr>
            <w:tcW w:w="2693" w:type="dxa"/>
          </w:tcPr>
          <w:p w:rsidRPr="003C684F" w:rsidR="009730C1" w:rsidP="00822518" w:rsidRDefault="00A315B9" w14:paraId="23372B89" w14:textId="77777777">
            <w:pPr>
              <w:spacing w:line="360" w:lineRule="auto"/>
              <w:rPr>
                <w:rFonts w:ascii="仿宋" w:hAnsi="仿宋" w:eastAsia="仿宋"/>
              </w:rPr>
            </w:pPr>
            <w:r w:rsidRPr="003C684F">
              <w:rPr>
                <w:rFonts w:hint="eastAsia" w:ascii="仿宋" w:hAnsi="仿宋" w:eastAsia="仿宋"/>
              </w:rPr>
              <w:t>替雷利珠单抗</w:t>
            </w:r>
          </w:p>
          <w:p w:rsidRPr="003C684F" w:rsidR="009730C1" w:rsidP="00822518" w:rsidRDefault="00A315B9" w14:paraId="168DDDD8" w14:textId="77777777">
            <w:pPr>
              <w:spacing w:line="360" w:lineRule="auto"/>
              <w:rPr>
                <w:rFonts w:ascii="仿宋" w:hAnsi="仿宋" w:eastAsia="仿宋"/>
              </w:rPr>
            </w:pPr>
            <w:r w:rsidRPr="003C684F">
              <w:rPr>
                <w:rFonts w:hint="eastAsia" w:ascii="仿宋" w:hAnsi="仿宋" w:eastAsia="仿宋"/>
              </w:rPr>
              <w:t>恩沃利单抗</w:t>
            </w:r>
          </w:p>
          <w:p w:rsidRPr="003C684F" w:rsidR="009730C1" w:rsidP="00822518" w:rsidRDefault="00A315B9" w14:paraId="5B846E59" w14:textId="77777777">
            <w:pPr>
              <w:spacing w:line="360" w:lineRule="auto"/>
              <w:rPr>
                <w:rFonts w:ascii="仿宋" w:hAnsi="仿宋" w:eastAsia="仿宋"/>
                <w:color w:val="000000"/>
              </w:rPr>
            </w:pPr>
            <w:r w:rsidRPr="003C684F">
              <w:rPr>
                <w:rFonts w:hint="eastAsia" w:ascii="仿宋" w:hAnsi="仿宋" w:eastAsia="仿宋"/>
                <w:color w:val="000000"/>
              </w:rPr>
              <w:t>斯鲁利单抗</w:t>
            </w:r>
          </w:p>
        </w:tc>
        <w:tc>
          <w:tcPr>
            <w:tcW w:w="2693" w:type="dxa"/>
          </w:tcPr>
          <w:p w:rsidRPr="003C684F" w:rsidR="009730C1" w:rsidP="00822518" w:rsidRDefault="009730C1" w14:paraId="028A4618" w14:textId="77777777">
            <w:pPr>
              <w:spacing w:line="360" w:lineRule="auto"/>
              <w:rPr>
                <w:rFonts w:ascii="仿宋" w:hAnsi="仿宋" w:eastAsia="仿宋"/>
                <w:color w:val="000000"/>
              </w:rPr>
            </w:pPr>
          </w:p>
        </w:tc>
      </w:tr>
      <w:tr w:rsidRPr="003C684F" w:rsidR="009730C1" w:rsidTr="00AB4C69" w14:paraId="01CDEE52" w14:textId="77777777">
        <w:trPr>
          <w:trHeight w:val="476"/>
        </w:trPr>
        <w:tc>
          <w:tcPr>
            <w:tcW w:w="3119" w:type="dxa"/>
          </w:tcPr>
          <w:p w:rsidRPr="003C684F" w:rsidR="009730C1" w:rsidP="00822518" w:rsidRDefault="00A315B9" w14:paraId="2A7B36D9" w14:textId="77777777">
            <w:pPr>
              <w:spacing w:line="360" w:lineRule="auto"/>
              <w:rPr>
                <w:rFonts w:ascii="仿宋" w:hAnsi="仿宋" w:eastAsia="仿宋"/>
                <w:color w:val="000000"/>
              </w:rPr>
            </w:pPr>
            <w:r w:rsidRPr="003C684F">
              <w:rPr>
                <w:rFonts w:hint="eastAsia" w:ascii="仿宋" w:hAnsi="仿宋" w:eastAsia="仿宋"/>
                <w:color w:val="000000"/>
              </w:rPr>
              <w:t>NTRK融合实体瘤</w:t>
            </w:r>
          </w:p>
        </w:tc>
        <w:tc>
          <w:tcPr>
            <w:tcW w:w="2693" w:type="dxa"/>
          </w:tcPr>
          <w:p w:rsidRPr="003C684F" w:rsidR="009730C1" w:rsidP="00822518" w:rsidRDefault="00A315B9" w14:paraId="53F3E7D7" w14:textId="77777777">
            <w:pPr>
              <w:spacing w:line="360" w:lineRule="auto"/>
              <w:rPr>
                <w:rFonts w:ascii="仿宋" w:hAnsi="仿宋" w:eastAsia="仿宋"/>
              </w:rPr>
            </w:pPr>
            <w:r w:rsidRPr="003C684F">
              <w:rPr>
                <w:rFonts w:hint="eastAsia" w:ascii="仿宋" w:hAnsi="仿宋" w:eastAsia="仿宋"/>
              </w:rPr>
              <w:t>拉罗替尼</w:t>
            </w:r>
          </w:p>
        </w:tc>
        <w:tc>
          <w:tcPr>
            <w:tcW w:w="2693" w:type="dxa"/>
          </w:tcPr>
          <w:p w:rsidRPr="003C684F" w:rsidR="009730C1" w:rsidP="00822518" w:rsidRDefault="009730C1" w14:paraId="4F12081C" w14:textId="77777777">
            <w:pPr>
              <w:spacing w:line="360" w:lineRule="auto"/>
              <w:rPr>
                <w:rFonts w:ascii="仿宋" w:hAnsi="仿宋" w:eastAsia="仿宋"/>
                <w:color w:val="000000"/>
              </w:rPr>
            </w:pPr>
          </w:p>
        </w:tc>
      </w:tr>
      <w:tr w:rsidRPr="003C684F" w:rsidR="009730C1" w:rsidTr="00AB4C69" w14:paraId="4C384266" w14:textId="77777777">
        <w:trPr>
          <w:trHeight w:val="399"/>
        </w:trPr>
        <w:tc>
          <w:tcPr>
            <w:tcW w:w="3119" w:type="dxa"/>
          </w:tcPr>
          <w:p w:rsidRPr="003C684F" w:rsidR="009730C1" w:rsidP="00822518" w:rsidRDefault="00A315B9" w14:paraId="543C7297" w14:textId="77777777">
            <w:pPr>
              <w:spacing w:line="360" w:lineRule="auto"/>
              <w:rPr>
                <w:rFonts w:ascii="仿宋" w:hAnsi="仿宋" w:eastAsia="仿宋"/>
                <w:color w:val="000000"/>
              </w:rPr>
            </w:pPr>
            <w:r w:rsidRPr="003C684F">
              <w:rPr>
                <w:rFonts w:hint="eastAsia" w:ascii="仿宋" w:hAnsi="仿宋" w:eastAsia="仿宋"/>
                <w:color w:val="000000"/>
              </w:rPr>
              <w:t>胆管癌</w:t>
            </w:r>
          </w:p>
        </w:tc>
        <w:tc>
          <w:tcPr>
            <w:tcW w:w="2693" w:type="dxa"/>
          </w:tcPr>
          <w:p w:rsidRPr="003C684F" w:rsidR="009730C1" w:rsidP="00822518" w:rsidRDefault="00A315B9" w14:paraId="2E04EA8B" w14:textId="77777777">
            <w:pPr>
              <w:spacing w:line="360" w:lineRule="auto"/>
              <w:rPr>
                <w:rFonts w:ascii="仿宋" w:hAnsi="仿宋" w:eastAsia="仿宋"/>
                <w:color w:val="000000"/>
              </w:rPr>
            </w:pPr>
            <w:r w:rsidRPr="003C684F">
              <w:rPr>
                <w:rFonts w:hint="eastAsia" w:ascii="仿宋" w:hAnsi="仿宋" w:eastAsia="仿宋"/>
                <w:color w:val="000000"/>
              </w:rPr>
              <w:t>佩米替尼</w:t>
            </w:r>
          </w:p>
        </w:tc>
        <w:tc>
          <w:tcPr>
            <w:tcW w:w="2693" w:type="dxa"/>
          </w:tcPr>
          <w:p w:rsidRPr="003C684F" w:rsidR="009730C1" w:rsidP="00822518" w:rsidRDefault="009730C1" w14:paraId="0DA69F41" w14:textId="77777777">
            <w:pPr>
              <w:spacing w:line="360" w:lineRule="auto"/>
              <w:rPr>
                <w:rFonts w:ascii="仿宋" w:hAnsi="仿宋" w:eastAsia="仿宋"/>
                <w:color w:val="000000"/>
              </w:rPr>
            </w:pPr>
          </w:p>
        </w:tc>
      </w:tr>
      <w:tr w:rsidRPr="003C684F" w:rsidR="009730C1" w14:paraId="4A5C1D79" w14:textId="77777777">
        <w:tc>
          <w:tcPr>
            <w:tcW w:w="3119" w:type="dxa"/>
          </w:tcPr>
          <w:p w:rsidRPr="003C684F" w:rsidR="009730C1" w:rsidP="00822518" w:rsidRDefault="00A315B9" w14:paraId="25582F54" w14:textId="77777777">
            <w:pPr>
              <w:spacing w:line="360" w:lineRule="auto"/>
              <w:rPr>
                <w:rFonts w:ascii="仿宋" w:hAnsi="仿宋" w:eastAsia="仿宋"/>
                <w:color w:val="000000"/>
              </w:rPr>
            </w:pPr>
            <w:r w:rsidRPr="003C684F">
              <w:rPr>
                <w:rFonts w:ascii="仿宋" w:hAnsi="仿宋" w:eastAsia="仿宋"/>
                <w:color w:val="000000"/>
              </w:rPr>
              <w:t>白血病</w:t>
            </w:r>
          </w:p>
        </w:tc>
        <w:tc>
          <w:tcPr>
            <w:tcW w:w="2693" w:type="dxa"/>
          </w:tcPr>
          <w:p w:rsidRPr="003C684F" w:rsidR="009730C1" w:rsidP="00822518" w:rsidRDefault="00A315B9" w14:paraId="431C6F0D" w14:textId="77777777">
            <w:pPr>
              <w:spacing w:line="360" w:lineRule="auto"/>
              <w:rPr>
                <w:rFonts w:ascii="仿宋" w:hAnsi="仿宋" w:eastAsia="仿宋"/>
                <w:color w:val="000000"/>
              </w:rPr>
            </w:pPr>
            <w:r w:rsidRPr="003C684F">
              <w:rPr>
                <w:rFonts w:hint="eastAsia" w:ascii="仿宋" w:hAnsi="仿宋" w:eastAsia="仿宋"/>
                <w:color w:val="000000"/>
              </w:rPr>
              <w:t>伊马替尼</w:t>
            </w:r>
          </w:p>
          <w:p w:rsidRPr="003C684F" w:rsidR="009730C1" w:rsidP="00822518" w:rsidRDefault="00A315B9" w14:paraId="34DD0EC7" w14:textId="77777777">
            <w:pPr>
              <w:spacing w:line="360" w:lineRule="auto"/>
              <w:rPr>
                <w:rFonts w:ascii="仿宋" w:hAnsi="仿宋" w:eastAsia="仿宋"/>
                <w:color w:val="000000"/>
              </w:rPr>
            </w:pPr>
            <w:r w:rsidRPr="003C684F">
              <w:rPr>
                <w:rFonts w:hint="eastAsia" w:ascii="仿宋" w:hAnsi="仿宋" w:eastAsia="仿宋"/>
                <w:color w:val="000000"/>
              </w:rPr>
              <w:t>达沙替尼</w:t>
            </w:r>
          </w:p>
          <w:p w:rsidRPr="003C684F" w:rsidR="009730C1" w:rsidP="00822518" w:rsidRDefault="00A315B9" w14:paraId="1F8CC5F5" w14:textId="77777777">
            <w:pPr>
              <w:spacing w:line="360" w:lineRule="auto"/>
              <w:rPr>
                <w:rFonts w:ascii="仿宋" w:hAnsi="仿宋" w:eastAsia="仿宋"/>
                <w:color w:val="000000"/>
              </w:rPr>
            </w:pPr>
            <w:r w:rsidRPr="003C684F">
              <w:rPr>
                <w:rFonts w:hint="eastAsia" w:ascii="仿宋" w:hAnsi="仿宋" w:eastAsia="仿宋"/>
                <w:color w:val="000000"/>
              </w:rPr>
              <w:t>尼洛替尼</w:t>
            </w:r>
          </w:p>
          <w:p w:rsidRPr="003C684F" w:rsidR="009730C1" w:rsidP="00822518" w:rsidRDefault="00A315B9" w14:paraId="7692FD6D" w14:textId="77777777">
            <w:pPr>
              <w:spacing w:line="360" w:lineRule="auto"/>
              <w:rPr>
                <w:rFonts w:ascii="仿宋" w:hAnsi="仿宋" w:eastAsia="仿宋"/>
                <w:color w:val="000000"/>
              </w:rPr>
            </w:pPr>
            <w:r w:rsidRPr="003C684F">
              <w:rPr>
                <w:rFonts w:hint="eastAsia" w:ascii="仿宋" w:hAnsi="仿宋" w:eastAsia="仿宋"/>
                <w:color w:val="000000"/>
              </w:rPr>
              <w:t>奥雷巴替尼</w:t>
            </w:r>
          </w:p>
          <w:p w:rsidRPr="003C684F" w:rsidR="009730C1" w:rsidP="00822518" w:rsidRDefault="00A315B9" w14:paraId="00112BFF" w14:textId="77777777">
            <w:pPr>
              <w:spacing w:line="360" w:lineRule="auto"/>
              <w:rPr>
                <w:rFonts w:ascii="仿宋" w:hAnsi="仿宋" w:eastAsia="仿宋"/>
                <w:color w:val="000000"/>
              </w:rPr>
            </w:pPr>
            <w:r w:rsidRPr="003C684F">
              <w:rPr>
                <w:rFonts w:hint="eastAsia" w:ascii="仿宋" w:hAnsi="仿宋" w:eastAsia="仿宋"/>
                <w:color w:val="000000"/>
              </w:rPr>
              <w:t>氟马替尼</w:t>
            </w:r>
          </w:p>
          <w:p w:rsidRPr="003C684F" w:rsidR="009730C1" w:rsidP="00822518" w:rsidRDefault="00A315B9" w14:paraId="2DD1909B" w14:textId="77777777">
            <w:pPr>
              <w:spacing w:line="360" w:lineRule="auto"/>
              <w:rPr>
                <w:rFonts w:ascii="仿宋" w:hAnsi="仿宋" w:eastAsia="仿宋"/>
                <w:color w:val="000000"/>
              </w:rPr>
            </w:pPr>
            <w:r w:rsidRPr="003C684F">
              <w:rPr>
                <w:rFonts w:hint="eastAsia" w:ascii="仿宋" w:hAnsi="仿宋" w:eastAsia="仿宋"/>
                <w:color w:val="000000"/>
              </w:rPr>
              <w:t>吉瑞替尼</w:t>
            </w:r>
          </w:p>
          <w:p w:rsidRPr="003C684F" w:rsidR="00A315B9" w:rsidP="00822518" w:rsidRDefault="00A315B9" w14:paraId="5BA56246" w14:textId="77777777">
            <w:pPr>
              <w:spacing w:line="360" w:lineRule="auto"/>
              <w:rPr>
                <w:rFonts w:ascii="仿宋" w:hAnsi="仿宋" w:eastAsia="仿宋"/>
                <w:color w:val="000000"/>
              </w:rPr>
            </w:pPr>
            <w:r w:rsidRPr="003C684F">
              <w:rPr>
                <w:rFonts w:hint="eastAsia" w:ascii="仿宋" w:hAnsi="仿宋" w:eastAsia="仿宋"/>
                <w:color w:val="000000"/>
              </w:rPr>
              <w:t>利妥昔单抗</w:t>
            </w:r>
          </w:p>
        </w:tc>
        <w:tc>
          <w:tcPr>
            <w:tcW w:w="2693" w:type="dxa"/>
          </w:tcPr>
          <w:p w:rsidRPr="003C684F" w:rsidR="009730C1" w:rsidP="00822518" w:rsidRDefault="00A315B9" w14:paraId="72B80858" w14:textId="77777777">
            <w:pPr>
              <w:spacing w:line="360" w:lineRule="auto"/>
              <w:rPr>
                <w:rFonts w:ascii="仿宋" w:hAnsi="仿宋" w:eastAsia="仿宋"/>
              </w:rPr>
            </w:pPr>
            <w:r w:rsidRPr="003C684F">
              <w:rPr>
                <w:rFonts w:hint="eastAsia" w:ascii="仿宋" w:hAnsi="仿宋" w:eastAsia="仿宋"/>
              </w:rPr>
              <w:t>伊布替尼</w:t>
            </w:r>
          </w:p>
          <w:p w:rsidRPr="003C684F" w:rsidR="00BE1843" w:rsidP="00822518" w:rsidRDefault="00BE1843" w14:paraId="19250DE9" w14:textId="77777777">
            <w:pPr>
              <w:spacing w:line="360" w:lineRule="auto"/>
              <w:rPr>
                <w:rFonts w:ascii="仿宋" w:hAnsi="仿宋" w:eastAsia="仿宋"/>
              </w:rPr>
            </w:pPr>
            <w:r w:rsidRPr="003C684F">
              <w:rPr>
                <w:rFonts w:hint="eastAsia" w:ascii="仿宋" w:hAnsi="仿宋" w:eastAsia="仿宋"/>
              </w:rPr>
              <w:t>奥布替尼</w:t>
            </w:r>
          </w:p>
          <w:p w:rsidRPr="003C684F" w:rsidR="009730C1" w:rsidP="00822518" w:rsidRDefault="00A315B9" w14:paraId="3D935386" w14:textId="77777777">
            <w:pPr>
              <w:spacing w:line="360" w:lineRule="auto"/>
              <w:rPr>
                <w:rFonts w:ascii="仿宋" w:hAnsi="仿宋" w:eastAsia="仿宋"/>
                <w:color w:val="000000"/>
              </w:rPr>
            </w:pPr>
            <w:r w:rsidRPr="003C684F">
              <w:rPr>
                <w:rFonts w:hint="eastAsia" w:ascii="仿宋" w:hAnsi="仿宋" w:eastAsia="仿宋"/>
                <w:color w:val="000000"/>
              </w:rPr>
              <w:t>贝林妥欧单抗</w:t>
            </w:r>
          </w:p>
          <w:p w:rsidRPr="003C684F" w:rsidR="009730C1" w:rsidP="00822518" w:rsidRDefault="00A315B9" w14:paraId="57F81824" w14:textId="77777777">
            <w:pPr>
              <w:spacing w:line="360" w:lineRule="auto"/>
              <w:rPr>
                <w:rFonts w:ascii="仿宋" w:hAnsi="仿宋" w:eastAsia="仿宋"/>
                <w:color w:val="000000"/>
              </w:rPr>
            </w:pPr>
            <w:r w:rsidRPr="003C684F">
              <w:rPr>
                <w:rFonts w:hint="eastAsia" w:ascii="仿宋" w:hAnsi="仿宋" w:eastAsia="仿宋"/>
                <w:color w:val="000000"/>
              </w:rPr>
              <w:t>维奈克拉</w:t>
            </w:r>
          </w:p>
          <w:p w:rsidRPr="003C684F" w:rsidR="009730C1" w:rsidP="00822518" w:rsidRDefault="00A315B9" w14:paraId="63C2FC76" w14:textId="77777777">
            <w:pPr>
              <w:spacing w:line="360" w:lineRule="auto"/>
              <w:rPr>
                <w:rFonts w:ascii="仿宋" w:hAnsi="仿宋" w:eastAsia="仿宋"/>
                <w:color w:val="000000"/>
              </w:rPr>
            </w:pPr>
            <w:r w:rsidRPr="003C684F">
              <w:rPr>
                <w:rFonts w:hint="eastAsia" w:ascii="仿宋" w:hAnsi="仿宋" w:eastAsia="仿宋"/>
                <w:color w:val="000000"/>
              </w:rPr>
              <w:t>艾伏尼布</w:t>
            </w:r>
          </w:p>
        </w:tc>
      </w:tr>
      <w:tr w:rsidRPr="003C684F" w:rsidR="009730C1" w14:paraId="15665FF6" w14:textId="77777777">
        <w:tc>
          <w:tcPr>
            <w:tcW w:w="3119" w:type="dxa"/>
          </w:tcPr>
          <w:p w:rsidRPr="003C684F" w:rsidR="009730C1" w:rsidP="00822518" w:rsidRDefault="00A315B9" w14:paraId="4AE3864B" w14:textId="77777777">
            <w:pPr>
              <w:spacing w:line="360" w:lineRule="auto"/>
              <w:rPr>
                <w:rFonts w:ascii="仿宋" w:hAnsi="仿宋" w:eastAsia="仿宋"/>
                <w:color w:val="000000"/>
              </w:rPr>
            </w:pPr>
            <w:r w:rsidRPr="003C684F">
              <w:rPr>
                <w:rFonts w:hint="eastAsia" w:ascii="仿宋" w:hAnsi="仿宋" w:eastAsia="仿宋"/>
                <w:color w:val="000000"/>
              </w:rPr>
              <w:t>淋巴瘤</w:t>
            </w:r>
          </w:p>
        </w:tc>
        <w:tc>
          <w:tcPr>
            <w:tcW w:w="2693" w:type="dxa"/>
          </w:tcPr>
          <w:p w:rsidRPr="003C684F" w:rsidR="009730C1" w:rsidP="00822518" w:rsidRDefault="00A315B9" w14:paraId="15A3D533" w14:textId="77777777">
            <w:pPr>
              <w:spacing w:line="360" w:lineRule="auto"/>
              <w:rPr>
                <w:rFonts w:ascii="仿宋" w:hAnsi="仿宋" w:eastAsia="仿宋"/>
                <w:color w:val="000000"/>
              </w:rPr>
            </w:pPr>
            <w:r w:rsidRPr="003C684F">
              <w:rPr>
                <w:rFonts w:ascii="仿宋" w:hAnsi="仿宋" w:eastAsia="仿宋"/>
                <w:color w:val="000000"/>
              </w:rPr>
              <w:t>利妥昔单抗</w:t>
            </w:r>
          </w:p>
          <w:p w:rsidRPr="003C684F" w:rsidR="009730C1" w:rsidP="00822518" w:rsidRDefault="00A315B9" w14:paraId="4936B2DC" w14:textId="77777777">
            <w:pPr>
              <w:spacing w:line="360" w:lineRule="auto"/>
              <w:rPr>
                <w:rFonts w:ascii="仿宋" w:hAnsi="仿宋" w:eastAsia="仿宋"/>
                <w:color w:val="000000"/>
              </w:rPr>
            </w:pPr>
            <w:r w:rsidRPr="003C684F">
              <w:rPr>
                <w:rFonts w:hint="eastAsia" w:ascii="仿宋" w:hAnsi="仿宋" w:eastAsia="仿宋"/>
                <w:color w:val="000000"/>
              </w:rPr>
              <w:t>维布妥昔单抗</w:t>
            </w:r>
          </w:p>
          <w:p w:rsidRPr="003C684F" w:rsidR="009730C1" w:rsidP="00822518" w:rsidRDefault="00A315B9" w14:paraId="527877A4" w14:textId="77777777">
            <w:pPr>
              <w:spacing w:line="360" w:lineRule="auto"/>
              <w:rPr>
                <w:rFonts w:ascii="仿宋" w:hAnsi="仿宋" w:eastAsia="仿宋"/>
                <w:color w:val="000000"/>
              </w:rPr>
            </w:pPr>
            <w:r w:rsidRPr="003C684F">
              <w:rPr>
                <w:rFonts w:hint="eastAsia" w:ascii="仿宋" w:hAnsi="仿宋" w:eastAsia="仿宋"/>
                <w:color w:val="000000"/>
              </w:rPr>
              <w:t>奥妥珠单抗</w:t>
            </w:r>
          </w:p>
        </w:tc>
        <w:tc>
          <w:tcPr>
            <w:tcW w:w="2693" w:type="dxa"/>
          </w:tcPr>
          <w:p w:rsidRPr="003C684F" w:rsidR="009730C1" w:rsidP="00822518" w:rsidRDefault="00A315B9" w14:paraId="7292A09F" w14:textId="77777777">
            <w:pPr>
              <w:spacing w:line="360" w:lineRule="auto"/>
              <w:rPr>
                <w:rFonts w:ascii="仿宋" w:hAnsi="仿宋" w:eastAsia="仿宋"/>
                <w:color w:val="000000"/>
              </w:rPr>
            </w:pPr>
            <w:r w:rsidRPr="003C684F">
              <w:rPr>
                <w:rFonts w:ascii="仿宋" w:hAnsi="仿宋" w:eastAsia="仿宋"/>
                <w:color w:val="000000"/>
              </w:rPr>
              <w:t>西达本胺</w:t>
            </w:r>
          </w:p>
          <w:p w:rsidRPr="003C684F" w:rsidR="009730C1" w:rsidP="00822518" w:rsidRDefault="00A315B9" w14:paraId="7E28EFFD" w14:textId="77777777">
            <w:pPr>
              <w:spacing w:line="360" w:lineRule="auto"/>
              <w:rPr>
                <w:rFonts w:ascii="仿宋" w:hAnsi="仿宋" w:eastAsia="仿宋"/>
                <w:color w:val="000000"/>
              </w:rPr>
            </w:pPr>
            <w:r w:rsidRPr="003C684F">
              <w:rPr>
                <w:rFonts w:hint="eastAsia" w:ascii="仿宋" w:hAnsi="仿宋" w:eastAsia="仿宋"/>
                <w:color w:val="000000"/>
              </w:rPr>
              <w:t>伊布替尼</w:t>
            </w:r>
          </w:p>
          <w:p w:rsidRPr="003C684F" w:rsidR="009730C1" w:rsidP="00822518" w:rsidRDefault="00A315B9" w14:paraId="038BC369" w14:textId="77777777">
            <w:pPr>
              <w:spacing w:line="360" w:lineRule="auto"/>
              <w:rPr>
                <w:rFonts w:ascii="仿宋" w:hAnsi="仿宋" w:eastAsia="仿宋"/>
                <w:color w:val="000000"/>
              </w:rPr>
            </w:pPr>
            <w:r w:rsidRPr="003C684F">
              <w:rPr>
                <w:rFonts w:hint="eastAsia" w:ascii="仿宋" w:hAnsi="仿宋" w:eastAsia="仿宋" w:cs="Times New Roman"/>
                <w:color w:val="000000"/>
              </w:rPr>
              <w:t>泽布替尼</w:t>
            </w:r>
          </w:p>
          <w:p w:rsidRPr="003C684F" w:rsidR="009730C1" w:rsidP="00822518" w:rsidRDefault="00A315B9" w14:paraId="23D4486C" w14:textId="77777777">
            <w:pPr>
              <w:spacing w:line="360" w:lineRule="auto"/>
              <w:rPr>
                <w:rFonts w:ascii="仿宋" w:hAnsi="仿宋" w:eastAsia="仿宋"/>
                <w:color w:val="000000"/>
              </w:rPr>
            </w:pPr>
            <w:r w:rsidRPr="003C684F">
              <w:rPr>
                <w:rFonts w:hint="eastAsia" w:ascii="仿宋" w:hAnsi="仿宋" w:eastAsia="仿宋"/>
                <w:color w:val="000000"/>
              </w:rPr>
              <w:t>奥布替尼</w:t>
            </w:r>
          </w:p>
          <w:p w:rsidRPr="003C684F" w:rsidR="009730C1" w:rsidP="00822518" w:rsidRDefault="00A315B9" w14:paraId="21EB1055" w14:textId="77777777">
            <w:pPr>
              <w:spacing w:line="360" w:lineRule="auto"/>
              <w:rPr>
                <w:rFonts w:ascii="仿宋" w:hAnsi="仿宋" w:eastAsia="仿宋"/>
                <w:color w:val="000000"/>
              </w:rPr>
            </w:pPr>
            <w:r w:rsidRPr="003C684F">
              <w:rPr>
                <w:rFonts w:ascii="仿宋" w:hAnsi="仿宋" w:eastAsia="仿宋"/>
                <w:color w:val="000000"/>
              </w:rPr>
              <w:t>硼替佐米</w:t>
            </w:r>
          </w:p>
          <w:p w:rsidRPr="003C684F" w:rsidR="009730C1" w:rsidP="00822518" w:rsidRDefault="00A315B9" w14:paraId="51DE5017" w14:textId="77777777">
            <w:pPr>
              <w:spacing w:line="360" w:lineRule="auto"/>
              <w:rPr>
                <w:rFonts w:ascii="仿宋" w:hAnsi="仿宋" w:eastAsia="仿宋"/>
                <w:color w:val="000000"/>
              </w:rPr>
            </w:pPr>
            <w:r w:rsidRPr="003C684F">
              <w:rPr>
                <w:rFonts w:hint="eastAsia" w:ascii="仿宋" w:hAnsi="仿宋" w:eastAsia="仿宋"/>
                <w:color w:val="000000"/>
              </w:rPr>
              <w:t>信迪利单抗</w:t>
            </w:r>
          </w:p>
          <w:p w:rsidRPr="003C684F" w:rsidR="009730C1" w:rsidP="00822518" w:rsidRDefault="00A315B9" w14:paraId="58B35992" w14:textId="77777777">
            <w:pPr>
              <w:spacing w:line="360" w:lineRule="auto"/>
              <w:rPr>
                <w:rFonts w:ascii="仿宋" w:hAnsi="仿宋" w:eastAsia="仿宋" w:cs="Times New Roman"/>
                <w:color w:val="000000"/>
              </w:rPr>
            </w:pPr>
            <w:r w:rsidRPr="003C684F">
              <w:rPr>
                <w:rFonts w:hint="eastAsia" w:ascii="仿宋" w:hAnsi="仿宋" w:eastAsia="仿宋" w:cs="Times New Roman"/>
                <w:color w:val="000000"/>
              </w:rPr>
              <w:t>卡瑞利珠单抗</w:t>
            </w:r>
          </w:p>
          <w:p w:rsidRPr="003C684F" w:rsidR="009730C1" w:rsidP="00822518" w:rsidRDefault="00A315B9" w14:paraId="6909832B" w14:textId="77777777">
            <w:pPr>
              <w:spacing w:line="360" w:lineRule="auto"/>
              <w:rPr>
                <w:rFonts w:ascii="仿宋" w:hAnsi="仿宋" w:eastAsia="仿宋" w:cs="Times New Roman"/>
                <w:color w:val="000000"/>
              </w:rPr>
            </w:pPr>
            <w:r w:rsidRPr="003C684F">
              <w:rPr>
                <w:rFonts w:hint="eastAsia" w:ascii="仿宋" w:hAnsi="仿宋" w:eastAsia="仿宋" w:cs="Times New Roman"/>
                <w:color w:val="000000"/>
              </w:rPr>
              <w:t>替雷利珠单抗</w:t>
            </w:r>
          </w:p>
          <w:p w:rsidRPr="003C684F" w:rsidR="00250451" w:rsidP="00822518" w:rsidRDefault="00250451" w14:paraId="7380205C" w14:textId="1FFBF055">
            <w:pPr>
              <w:spacing w:line="360" w:lineRule="auto"/>
              <w:rPr>
                <w:rFonts w:ascii="仿宋" w:hAnsi="仿宋" w:eastAsia="仿宋"/>
                <w:color w:val="FF0000"/>
              </w:rPr>
            </w:pPr>
            <w:r w:rsidRPr="00D13D70">
              <w:rPr>
                <w:rFonts w:hint="eastAsia" w:ascii="仿宋" w:hAnsi="仿宋" w:eastAsia="仿宋"/>
              </w:rPr>
              <w:t>派安普利单抗</w:t>
            </w:r>
          </w:p>
        </w:tc>
      </w:tr>
      <w:tr w:rsidRPr="003C684F" w:rsidR="009730C1" w:rsidTr="00822518" w14:paraId="74A62704" w14:textId="77777777">
        <w:trPr>
          <w:trHeight w:val="1124"/>
        </w:trPr>
        <w:tc>
          <w:tcPr>
            <w:tcW w:w="3119" w:type="dxa"/>
          </w:tcPr>
          <w:p w:rsidRPr="003C684F" w:rsidR="009730C1" w:rsidP="00822518" w:rsidRDefault="00A315B9" w14:paraId="137C21A2" w14:textId="77777777">
            <w:pPr>
              <w:spacing w:line="360" w:lineRule="auto"/>
              <w:rPr>
                <w:rFonts w:ascii="仿宋" w:hAnsi="仿宋" w:eastAsia="仿宋"/>
                <w:color w:val="000000"/>
              </w:rPr>
            </w:pPr>
            <w:r w:rsidRPr="003C684F">
              <w:rPr>
                <w:rFonts w:ascii="仿宋" w:hAnsi="仿宋" w:eastAsia="仿宋"/>
                <w:color w:val="000000"/>
              </w:rPr>
              <w:t>多发性骨髓瘤</w:t>
            </w:r>
          </w:p>
        </w:tc>
        <w:tc>
          <w:tcPr>
            <w:tcW w:w="2693" w:type="dxa"/>
          </w:tcPr>
          <w:p w:rsidRPr="003C684F" w:rsidR="009730C1" w:rsidP="00822518" w:rsidRDefault="009730C1" w14:paraId="1C22FF59" w14:textId="77777777">
            <w:pPr>
              <w:spacing w:line="360" w:lineRule="auto"/>
              <w:rPr>
                <w:rFonts w:ascii="仿宋" w:hAnsi="仿宋" w:eastAsia="仿宋"/>
                <w:color w:val="000000"/>
              </w:rPr>
            </w:pPr>
          </w:p>
        </w:tc>
        <w:tc>
          <w:tcPr>
            <w:tcW w:w="2693" w:type="dxa"/>
          </w:tcPr>
          <w:p w:rsidRPr="003C684F" w:rsidR="009730C1" w:rsidP="00822518" w:rsidRDefault="00A315B9" w14:paraId="05AAB55A" w14:textId="77777777">
            <w:pPr>
              <w:spacing w:line="360" w:lineRule="auto"/>
              <w:rPr>
                <w:rFonts w:ascii="仿宋" w:hAnsi="仿宋" w:eastAsia="仿宋"/>
                <w:color w:val="000000"/>
              </w:rPr>
            </w:pPr>
            <w:r w:rsidRPr="003C684F">
              <w:rPr>
                <w:rFonts w:hint="eastAsia" w:ascii="仿宋" w:hAnsi="仿宋" w:eastAsia="仿宋"/>
                <w:color w:val="000000"/>
              </w:rPr>
              <w:t>硼替佐米</w:t>
            </w:r>
          </w:p>
          <w:p w:rsidRPr="003C684F" w:rsidR="009730C1" w:rsidP="00822518" w:rsidRDefault="00A315B9" w14:paraId="00FC0422" w14:textId="77777777">
            <w:pPr>
              <w:spacing w:line="360" w:lineRule="auto"/>
              <w:rPr>
                <w:rFonts w:ascii="仿宋" w:hAnsi="仿宋" w:eastAsia="仿宋"/>
                <w:color w:val="000000"/>
              </w:rPr>
            </w:pPr>
            <w:r w:rsidRPr="003C684F">
              <w:rPr>
                <w:rFonts w:hint="eastAsia" w:ascii="仿宋" w:hAnsi="仿宋" w:eastAsia="仿宋"/>
                <w:color w:val="000000"/>
              </w:rPr>
              <w:t>伊沙佐米</w:t>
            </w:r>
          </w:p>
          <w:p w:rsidRPr="003C684F" w:rsidR="009730C1" w:rsidP="00822518" w:rsidRDefault="00A315B9" w14:paraId="5F3735EF" w14:textId="77777777">
            <w:pPr>
              <w:spacing w:line="360" w:lineRule="auto"/>
              <w:rPr>
                <w:rFonts w:ascii="仿宋" w:hAnsi="仿宋" w:eastAsia="仿宋"/>
                <w:color w:val="000000"/>
              </w:rPr>
            </w:pPr>
            <w:r w:rsidRPr="003C684F">
              <w:rPr>
                <w:rFonts w:hint="eastAsia" w:ascii="仿宋" w:hAnsi="仿宋" w:eastAsia="仿宋"/>
                <w:color w:val="000000"/>
              </w:rPr>
              <w:t>卡非佐米</w:t>
            </w:r>
          </w:p>
          <w:p w:rsidRPr="003C684F" w:rsidR="009730C1" w:rsidP="00822518" w:rsidRDefault="00A315B9" w14:paraId="641D0AC2" w14:textId="77777777">
            <w:pPr>
              <w:spacing w:line="360" w:lineRule="auto"/>
              <w:rPr>
                <w:rFonts w:ascii="仿宋" w:hAnsi="仿宋" w:eastAsia="仿宋"/>
                <w:color w:val="000000"/>
              </w:rPr>
            </w:pPr>
            <w:r w:rsidRPr="003C684F">
              <w:rPr>
                <w:rFonts w:hint="eastAsia" w:ascii="仿宋" w:hAnsi="仿宋" w:eastAsia="仿宋"/>
                <w:color w:val="000000"/>
              </w:rPr>
              <w:t>来那度胺</w:t>
            </w:r>
          </w:p>
          <w:p w:rsidRPr="003C684F" w:rsidR="009730C1" w:rsidP="00822518" w:rsidRDefault="00A315B9" w14:paraId="4932A039" w14:textId="77777777">
            <w:pPr>
              <w:spacing w:line="360" w:lineRule="auto"/>
              <w:rPr>
                <w:rFonts w:ascii="仿宋" w:hAnsi="仿宋" w:eastAsia="仿宋"/>
                <w:color w:val="000000"/>
              </w:rPr>
            </w:pPr>
            <w:r w:rsidRPr="003C684F">
              <w:rPr>
                <w:rFonts w:hint="eastAsia" w:ascii="仿宋" w:hAnsi="仿宋" w:eastAsia="仿宋"/>
                <w:color w:val="000000"/>
              </w:rPr>
              <w:t>泊马度胺</w:t>
            </w:r>
          </w:p>
          <w:p w:rsidRPr="003C684F" w:rsidR="009730C1" w:rsidP="00822518" w:rsidRDefault="00A315B9" w14:paraId="36398C31" w14:textId="77777777">
            <w:pPr>
              <w:spacing w:line="360" w:lineRule="auto"/>
              <w:rPr>
                <w:rFonts w:ascii="仿宋" w:hAnsi="仿宋" w:eastAsia="仿宋"/>
                <w:color w:val="000000"/>
              </w:rPr>
            </w:pPr>
            <w:r w:rsidRPr="003C684F">
              <w:rPr>
                <w:rFonts w:hint="eastAsia" w:ascii="仿宋" w:hAnsi="仿宋" w:eastAsia="仿宋"/>
                <w:color w:val="000000"/>
              </w:rPr>
              <w:lastRenderedPageBreak/>
              <w:t>沙利度胺</w:t>
            </w:r>
          </w:p>
          <w:p w:rsidRPr="003C684F" w:rsidR="009730C1" w:rsidP="00822518" w:rsidRDefault="00A315B9" w14:paraId="58C3F357" w14:textId="77777777">
            <w:pPr>
              <w:spacing w:line="360" w:lineRule="auto"/>
              <w:rPr>
                <w:rFonts w:ascii="仿宋" w:hAnsi="仿宋" w:eastAsia="仿宋"/>
                <w:color w:val="000000"/>
              </w:rPr>
            </w:pPr>
            <w:r w:rsidRPr="003C684F">
              <w:rPr>
                <w:rFonts w:hint="eastAsia" w:ascii="仿宋" w:hAnsi="仿宋" w:eastAsia="仿宋"/>
                <w:color w:val="000000"/>
              </w:rPr>
              <w:t>达雷妥尤单抗</w:t>
            </w:r>
          </w:p>
          <w:p w:rsidRPr="003C684F" w:rsidR="009730C1" w:rsidP="00822518" w:rsidRDefault="00A315B9" w14:paraId="705B2BA4" w14:textId="77777777">
            <w:pPr>
              <w:spacing w:line="360" w:lineRule="auto"/>
              <w:rPr>
                <w:rFonts w:ascii="仿宋" w:hAnsi="仿宋" w:eastAsia="仿宋"/>
                <w:color w:val="000000"/>
              </w:rPr>
            </w:pPr>
            <w:r w:rsidRPr="003C684F">
              <w:rPr>
                <w:rFonts w:hint="eastAsia" w:ascii="仿宋" w:hAnsi="仿宋" w:eastAsia="仿宋"/>
                <w:color w:val="000000"/>
              </w:rPr>
              <w:t>塞利尼索</w:t>
            </w:r>
          </w:p>
        </w:tc>
      </w:tr>
      <w:tr w:rsidRPr="003C684F" w:rsidR="009730C1" w:rsidTr="004D487C" w14:paraId="1BAD3158" w14:textId="77777777">
        <w:trPr>
          <w:trHeight w:val="421"/>
        </w:trPr>
        <w:tc>
          <w:tcPr>
            <w:tcW w:w="3119" w:type="dxa"/>
          </w:tcPr>
          <w:p w:rsidRPr="003C684F" w:rsidR="009730C1" w:rsidP="00822518" w:rsidRDefault="00A315B9" w14:paraId="2533A8C9" w14:textId="77777777">
            <w:pPr>
              <w:spacing w:line="360" w:lineRule="auto"/>
              <w:rPr>
                <w:rFonts w:ascii="仿宋" w:hAnsi="仿宋" w:eastAsia="仿宋"/>
                <w:color w:val="000000"/>
              </w:rPr>
            </w:pPr>
            <w:r w:rsidRPr="003C684F">
              <w:rPr>
                <w:rFonts w:hint="eastAsia" w:ascii="仿宋" w:hAnsi="仿宋" w:eastAsia="仿宋"/>
                <w:color w:val="000000"/>
              </w:rPr>
              <w:lastRenderedPageBreak/>
              <w:t>骨髓增殖性疾病</w:t>
            </w:r>
          </w:p>
        </w:tc>
        <w:tc>
          <w:tcPr>
            <w:tcW w:w="2693" w:type="dxa"/>
          </w:tcPr>
          <w:p w:rsidRPr="003C684F" w:rsidR="009730C1" w:rsidP="00822518" w:rsidRDefault="009730C1" w14:paraId="49DEE2E3" w14:textId="77777777">
            <w:pPr>
              <w:spacing w:line="360" w:lineRule="auto"/>
              <w:rPr>
                <w:rFonts w:ascii="仿宋" w:hAnsi="仿宋" w:eastAsia="仿宋"/>
                <w:color w:val="000000"/>
              </w:rPr>
            </w:pPr>
          </w:p>
        </w:tc>
        <w:tc>
          <w:tcPr>
            <w:tcW w:w="2693" w:type="dxa"/>
          </w:tcPr>
          <w:p w:rsidRPr="003C684F" w:rsidR="009730C1" w:rsidP="00822518" w:rsidRDefault="00A315B9" w14:paraId="06B2FD54" w14:textId="77777777">
            <w:pPr>
              <w:spacing w:line="360" w:lineRule="auto"/>
              <w:rPr>
                <w:rFonts w:ascii="仿宋" w:hAnsi="仿宋" w:eastAsia="仿宋"/>
                <w:color w:val="000000"/>
              </w:rPr>
            </w:pPr>
            <w:r w:rsidRPr="003C684F">
              <w:rPr>
                <w:rFonts w:ascii="仿宋" w:hAnsi="仿宋" w:eastAsia="仿宋"/>
                <w:color w:val="000000"/>
              </w:rPr>
              <w:t>芦可替尼</w:t>
            </w:r>
          </w:p>
        </w:tc>
      </w:tr>
      <w:tr w:rsidRPr="003C684F" w:rsidR="009730C1" w14:paraId="0149FE0F" w14:textId="77777777">
        <w:trPr>
          <w:trHeight w:val="1600"/>
        </w:trPr>
        <w:tc>
          <w:tcPr>
            <w:tcW w:w="3119" w:type="dxa"/>
          </w:tcPr>
          <w:p w:rsidRPr="003C684F" w:rsidR="009730C1" w:rsidP="00822518" w:rsidRDefault="00A315B9" w14:paraId="5E4ACECA" w14:textId="77777777">
            <w:pPr>
              <w:spacing w:line="360" w:lineRule="auto"/>
              <w:rPr>
                <w:rFonts w:ascii="仿宋" w:hAnsi="仿宋" w:eastAsia="仿宋"/>
                <w:color w:val="000000"/>
              </w:rPr>
            </w:pPr>
            <w:r w:rsidRPr="003C684F">
              <w:rPr>
                <w:rFonts w:ascii="仿宋" w:hAnsi="仿宋" w:eastAsia="仿宋"/>
                <w:color w:val="000000"/>
              </w:rPr>
              <w:t>肾癌</w:t>
            </w:r>
          </w:p>
        </w:tc>
        <w:tc>
          <w:tcPr>
            <w:tcW w:w="2693" w:type="dxa"/>
          </w:tcPr>
          <w:p w:rsidRPr="003C684F" w:rsidR="009730C1" w:rsidP="00822518" w:rsidRDefault="009730C1" w14:paraId="76EC02B5" w14:textId="77777777">
            <w:pPr>
              <w:spacing w:line="360" w:lineRule="auto"/>
              <w:rPr>
                <w:rFonts w:ascii="仿宋" w:hAnsi="仿宋" w:eastAsia="仿宋"/>
                <w:color w:val="000000"/>
              </w:rPr>
            </w:pPr>
          </w:p>
          <w:p w:rsidRPr="003C684F" w:rsidR="009730C1" w:rsidP="00822518" w:rsidRDefault="009730C1" w14:paraId="5730C619" w14:textId="77777777">
            <w:pPr>
              <w:spacing w:line="360" w:lineRule="auto"/>
              <w:rPr>
                <w:rFonts w:ascii="仿宋" w:hAnsi="仿宋" w:eastAsia="仿宋"/>
                <w:color w:val="000000"/>
              </w:rPr>
            </w:pPr>
          </w:p>
        </w:tc>
        <w:tc>
          <w:tcPr>
            <w:tcW w:w="2693" w:type="dxa"/>
          </w:tcPr>
          <w:p w:rsidRPr="003C684F" w:rsidR="009730C1" w:rsidP="00822518" w:rsidRDefault="00A315B9" w14:paraId="052CA01A" w14:textId="77777777">
            <w:pPr>
              <w:spacing w:line="360" w:lineRule="auto"/>
              <w:rPr>
                <w:rFonts w:ascii="仿宋" w:hAnsi="仿宋" w:eastAsia="仿宋"/>
                <w:color w:val="000000"/>
              </w:rPr>
            </w:pPr>
            <w:r w:rsidRPr="003C684F">
              <w:rPr>
                <w:rFonts w:ascii="仿宋" w:hAnsi="仿宋" w:eastAsia="仿宋"/>
                <w:color w:val="000000"/>
              </w:rPr>
              <w:t>依维莫司</w:t>
            </w:r>
          </w:p>
          <w:p w:rsidRPr="003C684F" w:rsidR="009730C1" w:rsidP="00822518" w:rsidRDefault="00A315B9" w14:paraId="1C06B1F5" w14:textId="77777777">
            <w:pPr>
              <w:spacing w:line="360" w:lineRule="auto"/>
              <w:rPr>
                <w:rFonts w:ascii="仿宋" w:hAnsi="仿宋" w:eastAsia="仿宋"/>
                <w:color w:val="000000"/>
              </w:rPr>
            </w:pPr>
            <w:r w:rsidRPr="003C684F">
              <w:rPr>
                <w:rFonts w:ascii="仿宋" w:hAnsi="仿宋" w:eastAsia="仿宋"/>
                <w:color w:val="000000"/>
              </w:rPr>
              <w:t>索拉非尼</w:t>
            </w:r>
          </w:p>
          <w:p w:rsidRPr="003C684F" w:rsidR="009730C1" w:rsidP="00822518" w:rsidRDefault="00A315B9" w14:paraId="47E5B36F" w14:textId="77777777">
            <w:pPr>
              <w:spacing w:line="360" w:lineRule="auto"/>
              <w:rPr>
                <w:rFonts w:ascii="仿宋" w:hAnsi="仿宋" w:eastAsia="仿宋"/>
                <w:color w:val="000000"/>
              </w:rPr>
            </w:pPr>
            <w:r w:rsidRPr="003C684F">
              <w:rPr>
                <w:rFonts w:ascii="仿宋" w:hAnsi="仿宋" w:eastAsia="仿宋"/>
                <w:color w:val="000000"/>
              </w:rPr>
              <w:t>舒尼替尼</w:t>
            </w:r>
          </w:p>
          <w:p w:rsidRPr="003C684F" w:rsidR="009730C1" w:rsidP="00822518" w:rsidRDefault="00A315B9" w14:paraId="52218257" w14:textId="77777777">
            <w:pPr>
              <w:spacing w:line="360" w:lineRule="auto"/>
              <w:rPr>
                <w:rFonts w:ascii="仿宋" w:hAnsi="仿宋" w:eastAsia="仿宋"/>
                <w:color w:val="000000"/>
              </w:rPr>
            </w:pPr>
            <w:r w:rsidRPr="003C684F">
              <w:rPr>
                <w:rFonts w:ascii="仿宋" w:hAnsi="仿宋" w:eastAsia="仿宋"/>
                <w:color w:val="000000"/>
              </w:rPr>
              <w:t>阿昔替尼</w:t>
            </w:r>
          </w:p>
          <w:p w:rsidRPr="003C684F" w:rsidR="009730C1" w:rsidP="00822518" w:rsidRDefault="00A315B9" w14:paraId="6BC52357" w14:textId="77777777">
            <w:pPr>
              <w:spacing w:line="360" w:lineRule="auto"/>
              <w:rPr>
                <w:rFonts w:ascii="仿宋" w:hAnsi="仿宋" w:eastAsia="仿宋"/>
                <w:color w:val="000000"/>
              </w:rPr>
            </w:pPr>
            <w:r w:rsidRPr="003C684F">
              <w:rPr>
                <w:rFonts w:ascii="仿宋" w:hAnsi="仿宋" w:eastAsia="仿宋"/>
                <w:color w:val="000000"/>
              </w:rPr>
              <w:t>培唑帕尼</w:t>
            </w:r>
          </w:p>
          <w:p w:rsidRPr="003C684F" w:rsidR="00E166DD" w:rsidP="00E166DD" w:rsidRDefault="00E166DD" w14:paraId="2E707CF9" w14:textId="77777777">
            <w:pPr>
              <w:spacing w:line="360" w:lineRule="auto"/>
              <w:rPr>
                <w:rFonts w:ascii="仿宋" w:hAnsi="仿宋" w:eastAsia="仿宋"/>
                <w:color w:val="000000"/>
              </w:rPr>
            </w:pPr>
            <w:r w:rsidRPr="003C684F">
              <w:rPr>
                <w:rFonts w:hint="eastAsia" w:ascii="仿宋" w:hAnsi="仿宋" w:eastAsia="仿宋"/>
                <w:color w:val="000000"/>
              </w:rPr>
              <w:t>仑伐替尼</w:t>
            </w:r>
          </w:p>
          <w:p w:rsidRPr="003C684F" w:rsidR="00E166DD" w:rsidP="00E166DD" w:rsidRDefault="00E166DD" w14:paraId="2C771F72" w14:textId="77777777">
            <w:pPr>
              <w:spacing w:line="360" w:lineRule="auto"/>
              <w:rPr>
                <w:rFonts w:ascii="仿宋" w:hAnsi="仿宋" w:eastAsia="仿宋"/>
                <w:color w:val="000000"/>
              </w:rPr>
            </w:pPr>
            <w:r w:rsidRPr="003C684F">
              <w:rPr>
                <w:rFonts w:hint="eastAsia" w:ascii="仿宋" w:hAnsi="仿宋" w:eastAsia="仿宋"/>
                <w:color w:val="000000"/>
              </w:rPr>
              <w:t>纳武利尤单抗</w:t>
            </w:r>
          </w:p>
          <w:p w:rsidRPr="003C684F" w:rsidR="00E166DD" w:rsidP="00E166DD" w:rsidRDefault="00E166DD" w14:paraId="6A92155A" w14:textId="70FE1AB9">
            <w:pPr>
              <w:spacing w:line="360" w:lineRule="auto"/>
              <w:rPr>
                <w:rFonts w:ascii="仿宋" w:hAnsi="仿宋" w:eastAsia="仿宋"/>
                <w:color w:val="000000"/>
              </w:rPr>
            </w:pPr>
            <w:r w:rsidRPr="003C684F">
              <w:rPr>
                <w:rFonts w:hint="eastAsia" w:ascii="仿宋" w:hAnsi="仿宋" w:eastAsia="仿宋"/>
                <w:color w:val="000000"/>
              </w:rPr>
              <w:t>帕博利珠单抗</w:t>
            </w:r>
          </w:p>
        </w:tc>
      </w:tr>
      <w:tr w:rsidRPr="003C684F" w:rsidR="009730C1" w14:paraId="22B765DA" w14:textId="77777777">
        <w:trPr>
          <w:trHeight w:val="495"/>
        </w:trPr>
        <w:tc>
          <w:tcPr>
            <w:tcW w:w="3119" w:type="dxa"/>
          </w:tcPr>
          <w:p w:rsidRPr="003C684F" w:rsidR="009730C1" w:rsidP="00822518" w:rsidRDefault="00A315B9" w14:paraId="0EA42931" w14:textId="77777777">
            <w:pPr>
              <w:spacing w:line="360" w:lineRule="auto"/>
              <w:rPr>
                <w:rFonts w:ascii="仿宋" w:hAnsi="仿宋" w:eastAsia="仿宋"/>
                <w:color w:val="000000"/>
              </w:rPr>
            </w:pPr>
            <w:r w:rsidRPr="003C684F">
              <w:rPr>
                <w:rFonts w:hint="eastAsia" w:ascii="仿宋" w:hAnsi="仿宋" w:eastAsia="仿宋"/>
                <w:color w:val="000000"/>
              </w:rPr>
              <w:t>尿路上皮癌</w:t>
            </w:r>
          </w:p>
        </w:tc>
        <w:tc>
          <w:tcPr>
            <w:tcW w:w="2693" w:type="dxa"/>
          </w:tcPr>
          <w:p w:rsidRPr="003C684F" w:rsidR="009730C1" w:rsidP="00822518" w:rsidRDefault="00A315B9" w14:paraId="4ACD08EE" w14:textId="77777777">
            <w:pPr>
              <w:spacing w:line="360" w:lineRule="auto"/>
              <w:rPr>
                <w:rFonts w:ascii="仿宋" w:hAnsi="仿宋" w:eastAsia="仿宋"/>
                <w:color w:val="000000"/>
              </w:rPr>
            </w:pPr>
            <w:r w:rsidRPr="003C684F">
              <w:rPr>
                <w:rFonts w:hint="eastAsia" w:ascii="仿宋" w:hAnsi="仿宋" w:eastAsia="仿宋"/>
                <w:color w:val="000000"/>
              </w:rPr>
              <w:t>替雷利珠单抗</w:t>
            </w:r>
          </w:p>
          <w:p w:rsidRPr="003C684F" w:rsidR="009730C1" w:rsidP="00822518" w:rsidRDefault="00A315B9" w14:paraId="36DC666B" w14:textId="77777777">
            <w:pPr>
              <w:spacing w:line="360" w:lineRule="auto"/>
              <w:rPr>
                <w:rFonts w:ascii="仿宋" w:hAnsi="仿宋" w:eastAsia="仿宋"/>
                <w:color w:val="000000"/>
              </w:rPr>
            </w:pPr>
            <w:r w:rsidRPr="003C684F">
              <w:rPr>
                <w:rFonts w:hint="eastAsia" w:ascii="仿宋" w:hAnsi="仿宋" w:eastAsia="仿宋"/>
                <w:color w:val="000000"/>
              </w:rPr>
              <w:t>维迪西妥单抗</w:t>
            </w:r>
          </w:p>
        </w:tc>
        <w:tc>
          <w:tcPr>
            <w:tcW w:w="2693" w:type="dxa"/>
          </w:tcPr>
          <w:p w:rsidRPr="003C684F" w:rsidR="009730C1" w:rsidP="00822518" w:rsidRDefault="00A315B9" w14:paraId="0E5F9F34" w14:textId="77777777">
            <w:pPr>
              <w:spacing w:line="360" w:lineRule="auto"/>
              <w:rPr>
                <w:rFonts w:ascii="仿宋" w:hAnsi="仿宋" w:eastAsia="仿宋"/>
                <w:color w:val="000000"/>
              </w:rPr>
            </w:pPr>
            <w:r w:rsidRPr="003C684F">
              <w:rPr>
                <w:rFonts w:hint="eastAsia" w:ascii="仿宋" w:hAnsi="仿宋" w:eastAsia="仿宋"/>
                <w:color w:val="000000"/>
              </w:rPr>
              <w:t>特瑞普利单抗</w:t>
            </w:r>
          </w:p>
          <w:p w:rsidRPr="003C684F" w:rsidR="00E166DD" w:rsidP="00822518" w:rsidRDefault="00E166DD" w14:paraId="4051F1D6" w14:textId="2FCD5B32">
            <w:pPr>
              <w:spacing w:line="360" w:lineRule="auto"/>
              <w:rPr>
                <w:rFonts w:ascii="仿宋" w:hAnsi="仿宋" w:eastAsia="仿宋"/>
                <w:color w:val="000000"/>
              </w:rPr>
            </w:pPr>
            <w:r w:rsidRPr="003C684F">
              <w:rPr>
                <w:rFonts w:hint="eastAsia" w:ascii="仿宋" w:hAnsi="仿宋" w:eastAsia="仿宋"/>
                <w:color w:val="000000"/>
              </w:rPr>
              <w:t>帕博利珠单抗</w:t>
            </w:r>
          </w:p>
        </w:tc>
      </w:tr>
      <w:tr w:rsidRPr="003C684F" w:rsidR="009730C1" w:rsidTr="00646473" w14:paraId="4C1EE5AA" w14:textId="77777777">
        <w:trPr>
          <w:trHeight w:val="2367"/>
        </w:trPr>
        <w:tc>
          <w:tcPr>
            <w:tcW w:w="3119" w:type="dxa"/>
          </w:tcPr>
          <w:p w:rsidRPr="003C684F" w:rsidR="009730C1" w:rsidP="00822518" w:rsidRDefault="00A315B9" w14:paraId="70CB1E21" w14:textId="77777777">
            <w:pPr>
              <w:spacing w:line="360" w:lineRule="auto"/>
              <w:rPr>
                <w:rFonts w:ascii="仿宋" w:hAnsi="仿宋" w:eastAsia="仿宋"/>
                <w:color w:val="000000"/>
              </w:rPr>
            </w:pPr>
            <w:r w:rsidRPr="003C684F">
              <w:rPr>
                <w:rFonts w:hint="eastAsia" w:ascii="仿宋" w:hAnsi="仿宋" w:eastAsia="仿宋"/>
                <w:color w:val="000000"/>
              </w:rPr>
              <w:t>前列腺癌</w:t>
            </w:r>
          </w:p>
        </w:tc>
        <w:tc>
          <w:tcPr>
            <w:tcW w:w="2693" w:type="dxa"/>
          </w:tcPr>
          <w:p w:rsidRPr="003C684F" w:rsidR="009730C1" w:rsidP="00822518" w:rsidRDefault="00A315B9" w14:paraId="3B4FD232" w14:textId="77777777">
            <w:pPr>
              <w:spacing w:line="360" w:lineRule="auto"/>
              <w:rPr>
                <w:rFonts w:ascii="仿宋" w:hAnsi="仿宋" w:eastAsia="仿宋"/>
                <w:color w:val="000000"/>
              </w:rPr>
            </w:pPr>
            <w:r w:rsidRPr="003C684F">
              <w:rPr>
                <w:rFonts w:hint="eastAsia" w:ascii="仿宋" w:hAnsi="仿宋" w:eastAsia="仿宋"/>
                <w:color w:val="000000"/>
              </w:rPr>
              <w:t>奥拉帕利</w:t>
            </w:r>
          </w:p>
        </w:tc>
        <w:tc>
          <w:tcPr>
            <w:tcW w:w="2693" w:type="dxa"/>
          </w:tcPr>
          <w:p w:rsidRPr="003C684F" w:rsidR="009730C1" w:rsidP="00822518" w:rsidRDefault="00A315B9" w14:paraId="003FABE6" w14:textId="77777777">
            <w:pPr>
              <w:spacing w:line="360" w:lineRule="auto"/>
              <w:rPr>
                <w:rFonts w:ascii="仿宋" w:hAnsi="仿宋" w:eastAsia="仿宋"/>
                <w:color w:val="000000"/>
              </w:rPr>
            </w:pPr>
            <w:r w:rsidRPr="003C684F">
              <w:rPr>
                <w:rFonts w:hint="eastAsia" w:ascii="仿宋" w:hAnsi="仿宋" w:eastAsia="仿宋"/>
                <w:color w:val="000000"/>
              </w:rPr>
              <w:t>阿比特龙</w:t>
            </w:r>
          </w:p>
          <w:p w:rsidRPr="003C684F" w:rsidR="009730C1" w:rsidP="00822518" w:rsidRDefault="00742AC3" w14:paraId="25B240F7" w14:textId="77777777">
            <w:pPr>
              <w:spacing w:line="360" w:lineRule="auto"/>
              <w:rPr>
                <w:rFonts w:ascii="仿宋" w:hAnsi="仿宋" w:eastAsia="仿宋"/>
                <w:color w:val="000000"/>
              </w:rPr>
            </w:pPr>
            <w:r w:rsidRPr="003C684F">
              <w:rPr>
                <w:rFonts w:hint="eastAsia" w:ascii="仿宋" w:hAnsi="仿宋" w:eastAsia="仿宋"/>
                <w:color w:val="000000"/>
              </w:rPr>
              <w:t>恩扎卢胺</w:t>
            </w:r>
          </w:p>
          <w:p w:rsidRPr="003C684F" w:rsidR="009730C1" w:rsidP="00822518" w:rsidRDefault="00A315B9" w14:paraId="4273163A" w14:textId="77777777">
            <w:pPr>
              <w:spacing w:line="360" w:lineRule="auto"/>
              <w:rPr>
                <w:rFonts w:ascii="仿宋" w:hAnsi="仿宋" w:eastAsia="仿宋"/>
                <w:color w:val="000000"/>
              </w:rPr>
            </w:pPr>
            <w:r w:rsidRPr="003C684F">
              <w:rPr>
                <w:rFonts w:hint="eastAsia" w:ascii="仿宋" w:hAnsi="仿宋" w:eastAsia="仿宋"/>
                <w:color w:val="000000"/>
              </w:rPr>
              <w:t>阿帕他胺</w:t>
            </w:r>
          </w:p>
          <w:p w:rsidRPr="003C684F" w:rsidR="009730C1" w:rsidP="00822518" w:rsidRDefault="00A315B9" w14:paraId="542896C5" w14:textId="77777777">
            <w:pPr>
              <w:spacing w:line="360" w:lineRule="auto"/>
              <w:rPr>
                <w:rFonts w:ascii="仿宋" w:hAnsi="仿宋" w:eastAsia="仿宋"/>
                <w:color w:val="000000"/>
              </w:rPr>
            </w:pPr>
            <w:r w:rsidRPr="003C684F">
              <w:rPr>
                <w:rFonts w:hint="eastAsia" w:ascii="仿宋" w:hAnsi="仿宋" w:eastAsia="仿宋"/>
                <w:color w:val="000000"/>
              </w:rPr>
              <w:t>达罗他胺</w:t>
            </w:r>
          </w:p>
          <w:p w:rsidRPr="003C684F" w:rsidR="009730C1" w:rsidP="00646473" w:rsidRDefault="00A315B9" w14:paraId="3A759697" w14:textId="38E5278D">
            <w:pPr>
              <w:spacing w:line="360" w:lineRule="auto"/>
              <w:rPr>
                <w:rFonts w:ascii="仿宋" w:hAnsi="仿宋" w:eastAsia="仿宋"/>
                <w:color w:val="000000"/>
              </w:rPr>
            </w:pPr>
            <w:r w:rsidRPr="003C684F">
              <w:rPr>
                <w:rFonts w:hint="eastAsia" w:ascii="仿宋" w:hAnsi="仿宋" w:eastAsia="仿宋"/>
                <w:color w:val="000000"/>
              </w:rPr>
              <w:t>瑞维鲁胺</w:t>
            </w:r>
          </w:p>
        </w:tc>
      </w:tr>
      <w:tr w:rsidRPr="003C684F" w:rsidR="009730C1" w14:paraId="0D231004" w14:textId="77777777">
        <w:trPr>
          <w:trHeight w:val="634"/>
        </w:trPr>
        <w:tc>
          <w:tcPr>
            <w:tcW w:w="3119" w:type="dxa"/>
          </w:tcPr>
          <w:p w:rsidRPr="003C684F" w:rsidR="009730C1" w:rsidP="00822518" w:rsidRDefault="00A315B9" w14:paraId="585D772F" w14:textId="77777777">
            <w:pPr>
              <w:spacing w:line="360" w:lineRule="auto"/>
              <w:rPr>
                <w:rFonts w:ascii="仿宋" w:hAnsi="仿宋" w:eastAsia="仿宋"/>
                <w:color w:val="000000"/>
              </w:rPr>
            </w:pPr>
            <w:r w:rsidRPr="003C684F">
              <w:rPr>
                <w:rFonts w:ascii="仿宋" w:hAnsi="仿宋" w:eastAsia="仿宋"/>
                <w:color w:val="000000"/>
              </w:rPr>
              <w:t>乳腺癌</w:t>
            </w:r>
          </w:p>
        </w:tc>
        <w:tc>
          <w:tcPr>
            <w:tcW w:w="2693" w:type="dxa"/>
          </w:tcPr>
          <w:p w:rsidRPr="003C684F" w:rsidR="009730C1" w:rsidP="00822518" w:rsidRDefault="00A315B9" w14:paraId="14B22A68" w14:textId="77777777">
            <w:pPr>
              <w:spacing w:line="360" w:lineRule="auto"/>
              <w:rPr>
                <w:rFonts w:ascii="仿宋" w:hAnsi="仿宋" w:eastAsia="仿宋"/>
                <w:color w:val="000000"/>
              </w:rPr>
            </w:pPr>
            <w:r w:rsidRPr="003C684F">
              <w:rPr>
                <w:rFonts w:ascii="仿宋" w:hAnsi="仿宋" w:eastAsia="仿宋"/>
                <w:color w:val="000000"/>
              </w:rPr>
              <w:t>曲妥珠单抗</w:t>
            </w:r>
          </w:p>
          <w:p w:rsidRPr="003C684F" w:rsidR="009730C1" w:rsidP="00822518" w:rsidRDefault="00A315B9" w14:paraId="12119394" w14:textId="77777777">
            <w:pPr>
              <w:spacing w:line="360" w:lineRule="auto"/>
              <w:rPr>
                <w:rFonts w:ascii="仿宋" w:hAnsi="仿宋" w:eastAsia="仿宋"/>
                <w:color w:val="FF0000"/>
              </w:rPr>
            </w:pPr>
            <w:r w:rsidRPr="003C684F">
              <w:rPr>
                <w:rFonts w:hint="eastAsia" w:ascii="仿宋" w:hAnsi="仿宋" w:eastAsia="仿宋"/>
                <w:color w:val="000000"/>
              </w:rPr>
              <w:t>恩美曲妥珠单抗</w:t>
            </w:r>
          </w:p>
          <w:p w:rsidRPr="003C684F" w:rsidR="009730C1" w:rsidP="00822518" w:rsidRDefault="00A315B9" w14:paraId="4757464B" w14:textId="77777777">
            <w:pPr>
              <w:spacing w:line="360" w:lineRule="auto"/>
              <w:rPr>
                <w:rFonts w:ascii="仿宋" w:hAnsi="仿宋" w:eastAsia="仿宋"/>
                <w:color w:val="000000"/>
              </w:rPr>
            </w:pPr>
            <w:r w:rsidRPr="003C684F">
              <w:rPr>
                <w:rFonts w:hint="eastAsia" w:ascii="仿宋" w:hAnsi="仿宋" w:eastAsia="仿宋"/>
                <w:color w:val="000000"/>
              </w:rPr>
              <w:t>帕妥珠单抗</w:t>
            </w:r>
          </w:p>
          <w:p w:rsidRPr="003C684F" w:rsidR="009730C1" w:rsidP="00822518" w:rsidRDefault="00A315B9" w14:paraId="7A30878E" w14:textId="77777777">
            <w:pPr>
              <w:spacing w:line="360" w:lineRule="auto"/>
              <w:rPr>
                <w:rFonts w:ascii="仿宋" w:hAnsi="仿宋" w:eastAsia="仿宋"/>
                <w:color w:val="000000"/>
              </w:rPr>
            </w:pPr>
            <w:r w:rsidRPr="003C684F">
              <w:rPr>
                <w:rFonts w:hint="eastAsia" w:ascii="仿宋" w:hAnsi="仿宋" w:eastAsia="仿宋"/>
                <w:color w:val="000000"/>
              </w:rPr>
              <w:t>伊尼妥单抗</w:t>
            </w:r>
          </w:p>
          <w:p w:rsidRPr="003C684F" w:rsidR="009730C1" w:rsidP="00822518" w:rsidRDefault="00A315B9" w14:paraId="32CD4A66" w14:textId="77777777">
            <w:pPr>
              <w:spacing w:line="360" w:lineRule="auto"/>
              <w:rPr>
                <w:rFonts w:ascii="仿宋" w:hAnsi="仿宋" w:eastAsia="仿宋"/>
                <w:color w:val="000000"/>
              </w:rPr>
            </w:pPr>
            <w:r w:rsidRPr="003C684F">
              <w:rPr>
                <w:rFonts w:ascii="仿宋" w:hAnsi="仿宋" w:eastAsia="仿宋"/>
                <w:color w:val="000000"/>
              </w:rPr>
              <w:t>拉帕替尼</w:t>
            </w:r>
          </w:p>
          <w:p w:rsidRPr="003C684F" w:rsidR="009730C1" w:rsidP="00822518" w:rsidRDefault="00A315B9" w14:paraId="08ABEF9E" w14:textId="77777777">
            <w:pPr>
              <w:spacing w:line="360" w:lineRule="auto"/>
              <w:rPr>
                <w:rFonts w:ascii="仿宋" w:hAnsi="仿宋" w:eastAsia="仿宋"/>
                <w:color w:val="000000"/>
              </w:rPr>
            </w:pPr>
            <w:r w:rsidRPr="003C684F">
              <w:rPr>
                <w:rFonts w:hint="eastAsia" w:ascii="仿宋" w:hAnsi="仿宋" w:eastAsia="仿宋"/>
                <w:color w:val="000000"/>
              </w:rPr>
              <w:t>吡咯替尼</w:t>
            </w:r>
          </w:p>
          <w:p w:rsidRPr="003C684F" w:rsidR="009730C1" w:rsidP="00822518" w:rsidRDefault="00A315B9" w14:paraId="47143B97" w14:textId="77777777">
            <w:pPr>
              <w:spacing w:line="360" w:lineRule="auto"/>
              <w:rPr>
                <w:rFonts w:ascii="仿宋" w:hAnsi="仿宋" w:eastAsia="仿宋"/>
                <w:color w:val="FF0000"/>
              </w:rPr>
            </w:pPr>
            <w:r w:rsidRPr="003C684F">
              <w:rPr>
                <w:rFonts w:hint="eastAsia" w:ascii="仿宋" w:hAnsi="仿宋" w:eastAsia="仿宋"/>
                <w:color w:val="000000"/>
              </w:rPr>
              <w:t>奈拉替尼</w:t>
            </w:r>
          </w:p>
        </w:tc>
        <w:tc>
          <w:tcPr>
            <w:tcW w:w="2693" w:type="dxa"/>
          </w:tcPr>
          <w:p w:rsidRPr="003C684F" w:rsidR="009730C1" w:rsidP="00822518" w:rsidRDefault="00A315B9" w14:paraId="6E3EFCB9" w14:textId="77777777">
            <w:pPr>
              <w:spacing w:line="360" w:lineRule="auto"/>
              <w:rPr>
                <w:rFonts w:ascii="仿宋" w:hAnsi="仿宋" w:eastAsia="仿宋"/>
                <w:color w:val="000000"/>
              </w:rPr>
            </w:pPr>
            <w:r w:rsidRPr="003C684F">
              <w:rPr>
                <w:rFonts w:hint="eastAsia" w:ascii="仿宋" w:hAnsi="仿宋" w:eastAsia="仿宋"/>
                <w:color w:val="000000"/>
              </w:rPr>
              <w:t>哌柏西利</w:t>
            </w:r>
          </w:p>
          <w:p w:rsidRPr="003C684F" w:rsidR="009730C1" w:rsidP="00822518" w:rsidRDefault="00A315B9" w14:paraId="0172427E" w14:textId="77777777">
            <w:pPr>
              <w:spacing w:line="360" w:lineRule="auto"/>
              <w:rPr>
                <w:rFonts w:ascii="仿宋" w:hAnsi="仿宋" w:eastAsia="仿宋"/>
              </w:rPr>
            </w:pPr>
            <w:r w:rsidRPr="003C684F">
              <w:rPr>
                <w:rFonts w:hint="eastAsia" w:ascii="仿宋" w:hAnsi="仿宋" w:eastAsia="仿宋"/>
              </w:rPr>
              <w:t>阿贝西利</w:t>
            </w:r>
          </w:p>
          <w:p w:rsidRPr="003C684F" w:rsidR="009730C1" w:rsidP="00822518" w:rsidRDefault="00A315B9" w14:paraId="176D83DD" w14:textId="77777777">
            <w:pPr>
              <w:spacing w:line="360" w:lineRule="auto"/>
              <w:rPr>
                <w:rFonts w:ascii="仿宋" w:hAnsi="仿宋" w:eastAsia="仿宋"/>
                <w:color w:val="000000"/>
              </w:rPr>
            </w:pPr>
            <w:r w:rsidRPr="003C684F">
              <w:rPr>
                <w:rFonts w:hint="eastAsia" w:ascii="仿宋" w:hAnsi="仿宋" w:eastAsia="仿宋"/>
                <w:color w:val="000000"/>
              </w:rPr>
              <w:t>西达本胺</w:t>
            </w:r>
          </w:p>
          <w:p w:rsidRPr="003C684F" w:rsidR="009730C1" w:rsidP="00822518" w:rsidRDefault="00A315B9" w14:paraId="5F686F94" w14:textId="77777777">
            <w:pPr>
              <w:spacing w:line="360" w:lineRule="auto"/>
              <w:rPr>
                <w:rFonts w:ascii="仿宋" w:hAnsi="仿宋" w:eastAsia="仿宋"/>
                <w:color w:val="000000"/>
              </w:rPr>
            </w:pPr>
            <w:r w:rsidRPr="003C684F">
              <w:rPr>
                <w:rFonts w:hint="eastAsia" w:ascii="仿宋" w:hAnsi="仿宋" w:eastAsia="仿宋"/>
                <w:color w:val="000000"/>
              </w:rPr>
              <w:t>达尔西利</w:t>
            </w:r>
          </w:p>
          <w:p w:rsidRPr="003C684F" w:rsidR="009730C1" w:rsidP="00822518" w:rsidRDefault="00A315B9" w14:paraId="448D723F" w14:textId="77777777">
            <w:pPr>
              <w:spacing w:line="360" w:lineRule="auto"/>
              <w:rPr>
                <w:rFonts w:ascii="仿宋" w:hAnsi="仿宋" w:eastAsia="仿宋"/>
                <w:color w:val="000000"/>
              </w:rPr>
            </w:pPr>
            <w:r w:rsidRPr="003C684F">
              <w:rPr>
                <w:rFonts w:hint="eastAsia" w:ascii="仿宋" w:hAnsi="仿宋" w:eastAsia="仿宋"/>
                <w:color w:val="000000"/>
              </w:rPr>
              <w:t>依维莫司</w:t>
            </w:r>
          </w:p>
          <w:p w:rsidRPr="003C684F" w:rsidR="009730C1" w:rsidP="00F83FDF" w:rsidRDefault="00A315B9" w14:paraId="0164A538" w14:textId="05C507B8">
            <w:pPr>
              <w:spacing w:line="360" w:lineRule="auto"/>
              <w:rPr>
                <w:rFonts w:ascii="仿宋" w:hAnsi="仿宋" w:eastAsia="仿宋"/>
                <w:color w:val="000000"/>
              </w:rPr>
            </w:pPr>
            <w:r w:rsidRPr="003C684F">
              <w:rPr>
                <w:rFonts w:hint="eastAsia" w:ascii="仿宋" w:hAnsi="仿宋" w:eastAsia="仿宋"/>
                <w:color w:val="000000"/>
              </w:rPr>
              <w:t>戈沙妥</w:t>
            </w:r>
            <w:r w:rsidRPr="003C684F" w:rsidR="00F83FDF">
              <w:rPr>
                <w:rFonts w:hint="eastAsia" w:ascii="仿宋" w:hAnsi="仿宋" w:eastAsia="仿宋"/>
                <w:color w:val="000000"/>
              </w:rPr>
              <w:t>珠</w:t>
            </w:r>
            <w:r w:rsidRPr="003C684F">
              <w:rPr>
                <w:rFonts w:hint="eastAsia" w:ascii="仿宋" w:hAnsi="仿宋" w:eastAsia="仿宋"/>
                <w:color w:val="000000"/>
              </w:rPr>
              <w:t>单抗</w:t>
            </w:r>
          </w:p>
        </w:tc>
      </w:tr>
      <w:tr w:rsidRPr="003C684F" w:rsidR="009730C1" w:rsidTr="008A07EA" w14:paraId="70F6ECD7" w14:textId="77777777">
        <w:trPr>
          <w:trHeight w:val="416"/>
        </w:trPr>
        <w:tc>
          <w:tcPr>
            <w:tcW w:w="3119" w:type="dxa"/>
          </w:tcPr>
          <w:p w:rsidRPr="003C684F" w:rsidR="009730C1" w:rsidP="00822518" w:rsidRDefault="00A315B9" w14:paraId="152A258D" w14:textId="77777777">
            <w:pPr>
              <w:spacing w:line="360" w:lineRule="auto"/>
              <w:rPr>
                <w:rFonts w:ascii="仿宋" w:hAnsi="仿宋" w:eastAsia="仿宋"/>
                <w:color w:val="000000"/>
              </w:rPr>
            </w:pPr>
            <w:r w:rsidRPr="003C684F">
              <w:rPr>
                <w:rFonts w:hint="eastAsia" w:ascii="仿宋" w:hAnsi="仿宋" w:eastAsia="仿宋"/>
                <w:color w:val="000000"/>
              </w:rPr>
              <w:t>黑色素瘤</w:t>
            </w:r>
          </w:p>
          <w:p w:rsidRPr="003C684F" w:rsidR="009730C1" w:rsidP="00822518" w:rsidRDefault="009730C1" w14:paraId="0CEF44C4" w14:textId="77777777">
            <w:pPr>
              <w:spacing w:line="360" w:lineRule="auto"/>
              <w:rPr>
                <w:rFonts w:ascii="仿宋" w:hAnsi="仿宋" w:eastAsia="仿宋"/>
                <w:color w:val="000000"/>
              </w:rPr>
            </w:pPr>
          </w:p>
        </w:tc>
        <w:tc>
          <w:tcPr>
            <w:tcW w:w="2693" w:type="dxa"/>
          </w:tcPr>
          <w:p w:rsidRPr="003C684F" w:rsidR="009730C1" w:rsidP="00822518" w:rsidRDefault="00A315B9" w14:paraId="522DC751" w14:textId="7C4906F1">
            <w:pPr>
              <w:spacing w:line="360" w:lineRule="auto"/>
              <w:rPr>
                <w:rFonts w:ascii="仿宋" w:hAnsi="仿宋" w:eastAsia="仿宋"/>
                <w:color w:val="000000"/>
              </w:rPr>
            </w:pPr>
            <w:r w:rsidRPr="003C684F">
              <w:rPr>
                <w:rFonts w:ascii="仿宋" w:hAnsi="仿宋" w:eastAsia="仿宋"/>
                <w:color w:val="000000"/>
              </w:rPr>
              <w:t>维莫非尼</w:t>
            </w:r>
          </w:p>
          <w:p w:rsidRPr="003C684F" w:rsidR="009730C1" w:rsidP="00822518" w:rsidRDefault="00A315B9" w14:paraId="414441C9" w14:textId="77777777">
            <w:pPr>
              <w:spacing w:line="360" w:lineRule="auto"/>
              <w:rPr>
                <w:rFonts w:ascii="仿宋" w:hAnsi="仿宋" w:eastAsia="仿宋"/>
                <w:color w:val="000000"/>
              </w:rPr>
            </w:pPr>
            <w:r w:rsidRPr="003C684F">
              <w:rPr>
                <w:rFonts w:hint="eastAsia" w:ascii="仿宋" w:hAnsi="仿宋" w:eastAsia="仿宋"/>
                <w:color w:val="000000"/>
              </w:rPr>
              <w:t>达拉非尼</w:t>
            </w:r>
          </w:p>
          <w:p w:rsidRPr="003C684F" w:rsidR="009730C1" w:rsidP="00822518" w:rsidRDefault="00A315B9" w14:paraId="4745E982" w14:textId="77777777">
            <w:pPr>
              <w:spacing w:line="360" w:lineRule="auto"/>
              <w:rPr>
                <w:rFonts w:ascii="仿宋" w:hAnsi="仿宋" w:eastAsia="仿宋"/>
                <w:color w:val="000000"/>
              </w:rPr>
            </w:pPr>
            <w:r w:rsidRPr="003C684F">
              <w:rPr>
                <w:rFonts w:hint="eastAsia" w:ascii="仿宋" w:hAnsi="仿宋" w:eastAsia="仿宋"/>
                <w:color w:val="000000"/>
              </w:rPr>
              <w:t>曲美替尼</w:t>
            </w:r>
          </w:p>
          <w:p w:rsidRPr="003C684F" w:rsidR="00C20309" w:rsidP="00822518" w:rsidRDefault="00C20309" w14:paraId="729C8599" w14:textId="57AB9445">
            <w:pPr>
              <w:spacing w:line="360" w:lineRule="auto"/>
              <w:rPr>
                <w:rFonts w:ascii="仿宋" w:hAnsi="仿宋" w:eastAsia="仿宋"/>
                <w:color w:val="000000"/>
              </w:rPr>
            </w:pPr>
            <w:r w:rsidRPr="003C684F">
              <w:rPr>
                <w:rFonts w:hint="eastAsia" w:ascii="仿宋" w:hAnsi="仿宋" w:eastAsia="仿宋"/>
                <w:color w:val="000000"/>
              </w:rPr>
              <w:lastRenderedPageBreak/>
              <w:t>伊马替尼</w:t>
            </w:r>
          </w:p>
        </w:tc>
        <w:tc>
          <w:tcPr>
            <w:tcW w:w="2693" w:type="dxa"/>
          </w:tcPr>
          <w:p w:rsidRPr="003C684F" w:rsidR="009730C1" w:rsidP="00822518" w:rsidRDefault="00A315B9" w14:paraId="79BE26A7" w14:textId="77777777">
            <w:pPr>
              <w:spacing w:line="360" w:lineRule="auto"/>
              <w:rPr>
                <w:rFonts w:ascii="仿宋" w:hAnsi="仿宋" w:eastAsia="仿宋"/>
                <w:color w:val="000000"/>
              </w:rPr>
            </w:pPr>
            <w:r w:rsidRPr="003C684F">
              <w:rPr>
                <w:rFonts w:hint="eastAsia" w:ascii="仿宋" w:hAnsi="仿宋" w:eastAsia="仿宋"/>
                <w:color w:val="000000"/>
              </w:rPr>
              <w:lastRenderedPageBreak/>
              <w:t>帕博利珠单抗</w:t>
            </w:r>
          </w:p>
          <w:p w:rsidRPr="003C684F" w:rsidR="009730C1" w:rsidP="00822518" w:rsidRDefault="00A315B9" w14:paraId="0EDDE06A" w14:textId="77777777">
            <w:pPr>
              <w:spacing w:line="360" w:lineRule="auto"/>
              <w:rPr>
                <w:rFonts w:ascii="仿宋" w:hAnsi="仿宋" w:eastAsia="仿宋"/>
                <w:color w:val="000000"/>
              </w:rPr>
            </w:pPr>
            <w:r w:rsidRPr="003C684F">
              <w:rPr>
                <w:rFonts w:hint="eastAsia" w:ascii="仿宋" w:hAnsi="仿宋" w:eastAsia="仿宋"/>
                <w:color w:val="000000"/>
              </w:rPr>
              <w:t>特瑞普利单抗</w:t>
            </w:r>
          </w:p>
        </w:tc>
      </w:tr>
      <w:tr w:rsidRPr="003C684F" w:rsidR="00C20309" w14:paraId="5A08D800" w14:textId="77777777">
        <w:tc>
          <w:tcPr>
            <w:tcW w:w="3119" w:type="dxa"/>
          </w:tcPr>
          <w:p w:rsidRPr="003C684F" w:rsidR="00C20309" w:rsidP="00822518" w:rsidRDefault="00C20309" w14:paraId="48DD1BC7" w14:textId="37DEF21F">
            <w:pPr>
              <w:spacing w:line="360" w:lineRule="auto"/>
              <w:rPr>
                <w:rFonts w:ascii="仿宋" w:hAnsi="仿宋" w:eastAsia="仿宋"/>
                <w:color w:val="000000"/>
              </w:rPr>
            </w:pPr>
            <w:r w:rsidRPr="003C684F">
              <w:rPr>
                <w:rFonts w:hint="eastAsia" w:ascii="仿宋" w:hAnsi="仿宋" w:eastAsia="仿宋"/>
                <w:color w:val="000000"/>
              </w:rPr>
              <w:lastRenderedPageBreak/>
              <w:t>基底细胞癌</w:t>
            </w:r>
          </w:p>
        </w:tc>
        <w:tc>
          <w:tcPr>
            <w:tcW w:w="2693" w:type="dxa"/>
          </w:tcPr>
          <w:p w:rsidRPr="003C684F" w:rsidR="00C20309" w:rsidP="00822518" w:rsidRDefault="00C20309" w14:paraId="657F8D56" w14:textId="77777777">
            <w:pPr>
              <w:spacing w:line="360" w:lineRule="auto"/>
              <w:rPr>
                <w:rFonts w:ascii="仿宋" w:hAnsi="仿宋" w:eastAsia="仿宋"/>
                <w:color w:val="000000"/>
              </w:rPr>
            </w:pPr>
          </w:p>
        </w:tc>
        <w:tc>
          <w:tcPr>
            <w:tcW w:w="2693" w:type="dxa"/>
          </w:tcPr>
          <w:p w:rsidRPr="003C684F" w:rsidR="00C20309" w:rsidP="00822518" w:rsidRDefault="00C20309" w14:paraId="695E1998" w14:textId="212941F5">
            <w:pPr>
              <w:spacing w:line="360" w:lineRule="auto"/>
              <w:rPr>
                <w:rFonts w:ascii="仿宋" w:hAnsi="仿宋" w:eastAsia="仿宋"/>
                <w:color w:val="000000"/>
              </w:rPr>
            </w:pPr>
            <w:r w:rsidRPr="003C684F">
              <w:rPr>
                <w:rFonts w:hint="eastAsia" w:ascii="仿宋" w:hAnsi="仿宋" w:eastAsia="仿宋"/>
                <w:color w:val="000000"/>
              </w:rPr>
              <w:t>索立德吉</w:t>
            </w:r>
          </w:p>
        </w:tc>
      </w:tr>
      <w:tr w:rsidRPr="003C684F" w:rsidR="009730C1" w14:paraId="6BC4E26A" w14:textId="77777777">
        <w:tc>
          <w:tcPr>
            <w:tcW w:w="3119" w:type="dxa"/>
          </w:tcPr>
          <w:p w:rsidRPr="003C684F" w:rsidR="009730C1" w:rsidP="00822518" w:rsidRDefault="00A315B9" w14:paraId="4BE8E5FF" w14:textId="77777777">
            <w:pPr>
              <w:spacing w:line="360" w:lineRule="auto"/>
              <w:rPr>
                <w:rFonts w:ascii="仿宋" w:hAnsi="仿宋" w:eastAsia="仿宋"/>
                <w:color w:val="000000"/>
              </w:rPr>
            </w:pPr>
            <w:r w:rsidRPr="003C684F">
              <w:rPr>
                <w:rFonts w:hint="eastAsia" w:ascii="仿宋" w:hAnsi="仿宋" w:eastAsia="仿宋"/>
                <w:color w:val="000000"/>
              </w:rPr>
              <w:t>结节性硬化症相关的室管膜下巨细胞星形细胞瘤</w:t>
            </w:r>
          </w:p>
        </w:tc>
        <w:tc>
          <w:tcPr>
            <w:tcW w:w="2693" w:type="dxa"/>
          </w:tcPr>
          <w:p w:rsidRPr="003C684F" w:rsidR="009730C1" w:rsidP="00822518" w:rsidRDefault="009730C1" w14:paraId="40CC4513" w14:textId="77777777">
            <w:pPr>
              <w:spacing w:line="360" w:lineRule="auto"/>
              <w:rPr>
                <w:rFonts w:ascii="仿宋" w:hAnsi="仿宋" w:eastAsia="仿宋"/>
                <w:color w:val="000000"/>
              </w:rPr>
            </w:pPr>
          </w:p>
        </w:tc>
        <w:tc>
          <w:tcPr>
            <w:tcW w:w="2693" w:type="dxa"/>
          </w:tcPr>
          <w:p w:rsidRPr="003C684F" w:rsidR="009730C1" w:rsidP="00822518" w:rsidRDefault="00A315B9" w14:paraId="7782B0C8" w14:textId="77777777">
            <w:pPr>
              <w:spacing w:line="360" w:lineRule="auto"/>
              <w:rPr>
                <w:rFonts w:ascii="仿宋" w:hAnsi="仿宋" w:eastAsia="仿宋"/>
                <w:color w:val="000000"/>
              </w:rPr>
            </w:pPr>
            <w:r w:rsidRPr="003C684F">
              <w:rPr>
                <w:rFonts w:ascii="仿宋" w:hAnsi="仿宋" w:eastAsia="仿宋"/>
                <w:color w:val="000000"/>
              </w:rPr>
              <w:t>依维莫司</w:t>
            </w:r>
          </w:p>
        </w:tc>
      </w:tr>
      <w:tr w:rsidRPr="003C684F" w:rsidR="009730C1" w14:paraId="36D42E8A" w14:textId="77777777">
        <w:tc>
          <w:tcPr>
            <w:tcW w:w="3119" w:type="dxa"/>
          </w:tcPr>
          <w:p w:rsidRPr="003C684F" w:rsidR="009730C1" w:rsidP="00822518" w:rsidRDefault="00A315B9" w14:paraId="7B2EDCCA" w14:textId="77777777">
            <w:pPr>
              <w:spacing w:line="360" w:lineRule="auto"/>
              <w:rPr>
                <w:rFonts w:ascii="仿宋" w:hAnsi="仿宋" w:eastAsia="仿宋"/>
                <w:color w:val="000000"/>
              </w:rPr>
            </w:pPr>
            <w:r w:rsidRPr="003C684F">
              <w:rPr>
                <w:rFonts w:hint="eastAsia" w:ascii="仿宋" w:hAnsi="仿宋" w:eastAsia="仿宋"/>
                <w:color w:val="000000"/>
              </w:rPr>
              <w:t>结节性硬化症相关的肾血管平滑肌脂肪瘤</w:t>
            </w:r>
          </w:p>
        </w:tc>
        <w:tc>
          <w:tcPr>
            <w:tcW w:w="2693" w:type="dxa"/>
          </w:tcPr>
          <w:p w:rsidRPr="003C684F" w:rsidR="009730C1" w:rsidP="00822518" w:rsidRDefault="009730C1" w14:paraId="4FD91AF5" w14:textId="77777777">
            <w:pPr>
              <w:spacing w:line="360" w:lineRule="auto"/>
              <w:rPr>
                <w:rFonts w:ascii="仿宋" w:hAnsi="仿宋" w:eastAsia="仿宋"/>
                <w:color w:val="000000"/>
              </w:rPr>
            </w:pPr>
          </w:p>
        </w:tc>
        <w:tc>
          <w:tcPr>
            <w:tcW w:w="2693" w:type="dxa"/>
          </w:tcPr>
          <w:p w:rsidRPr="003C684F" w:rsidR="009730C1" w:rsidP="00822518" w:rsidRDefault="00A315B9" w14:paraId="56EC004B" w14:textId="77777777">
            <w:pPr>
              <w:spacing w:line="360" w:lineRule="auto"/>
              <w:rPr>
                <w:rFonts w:ascii="仿宋" w:hAnsi="仿宋" w:eastAsia="仿宋"/>
                <w:color w:val="000000"/>
              </w:rPr>
            </w:pPr>
            <w:r w:rsidRPr="003C684F">
              <w:rPr>
                <w:rFonts w:ascii="仿宋" w:hAnsi="仿宋" w:eastAsia="仿宋"/>
                <w:color w:val="000000"/>
              </w:rPr>
              <w:t>依维莫司</w:t>
            </w:r>
          </w:p>
        </w:tc>
      </w:tr>
      <w:tr w:rsidRPr="003C684F" w:rsidR="009730C1" w:rsidTr="00E20A6D" w14:paraId="512C543B" w14:textId="77777777">
        <w:trPr>
          <w:trHeight w:val="413"/>
        </w:trPr>
        <w:tc>
          <w:tcPr>
            <w:tcW w:w="3119" w:type="dxa"/>
          </w:tcPr>
          <w:p w:rsidRPr="003C684F" w:rsidR="009730C1" w:rsidP="00822518" w:rsidRDefault="00A315B9" w14:paraId="050A3030" w14:textId="77777777">
            <w:pPr>
              <w:spacing w:line="360" w:lineRule="auto"/>
              <w:rPr>
                <w:rFonts w:ascii="仿宋" w:hAnsi="仿宋" w:eastAsia="仿宋"/>
                <w:color w:val="000000"/>
              </w:rPr>
            </w:pPr>
            <w:r w:rsidRPr="003C684F">
              <w:rPr>
                <w:rFonts w:hint="eastAsia" w:ascii="仿宋" w:hAnsi="仿宋" w:eastAsia="仿宋"/>
                <w:color w:val="000000"/>
              </w:rPr>
              <w:t>骨巨细胞瘤</w:t>
            </w:r>
          </w:p>
        </w:tc>
        <w:tc>
          <w:tcPr>
            <w:tcW w:w="2693" w:type="dxa"/>
          </w:tcPr>
          <w:p w:rsidRPr="003C684F" w:rsidR="009730C1" w:rsidP="00822518" w:rsidRDefault="009730C1" w14:paraId="72E762EC" w14:textId="77777777">
            <w:pPr>
              <w:spacing w:line="360" w:lineRule="auto"/>
              <w:rPr>
                <w:rFonts w:ascii="仿宋" w:hAnsi="仿宋" w:eastAsia="仿宋"/>
                <w:color w:val="000000"/>
              </w:rPr>
            </w:pPr>
          </w:p>
        </w:tc>
        <w:tc>
          <w:tcPr>
            <w:tcW w:w="2693" w:type="dxa"/>
          </w:tcPr>
          <w:p w:rsidRPr="003C684F" w:rsidR="009730C1" w:rsidP="00822518" w:rsidRDefault="00A315B9" w14:paraId="31CAEE7F" w14:textId="77777777">
            <w:pPr>
              <w:spacing w:line="360" w:lineRule="auto"/>
              <w:rPr>
                <w:rFonts w:ascii="仿宋" w:hAnsi="仿宋" w:eastAsia="仿宋"/>
                <w:color w:val="000000"/>
              </w:rPr>
            </w:pPr>
            <w:r w:rsidRPr="003C684F">
              <w:rPr>
                <w:rFonts w:hint="eastAsia" w:ascii="仿宋" w:hAnsi="仿宋" w:eastAsia="仿宋"/>
                <w:color w:val="000000"/>
              </w:rPr>
              <w:t>地舒单抗</w:t>
            </w:r>
          </w:p>
        </w:tc>
      </w:tr>
      <w:tr w:rsidRPr="003C684F" w:rsidR="009730C1" w:rsidTr="00E20A6D" w14:paraId="5DC3A759" w14:textId="77777777">
        <w:trPr>
          <w:trHeight w:val="505"/>
        </w:trPr>
        <w:tc>
          <w:tcPr>
            <w:tcW w:w="3119" w:type="dxa"/>
          </w:tcPr>
          <w:p w:rsidRPr="003C684F" w:rsidR="009730C1" w:rsidP="00822518" w:rsidRDefault="00A315B9" w14:paraId="2CA829F6" w14:textId="77777777">
            <w:pPr>
              <w:spacing w:line="360" w:lineRule="auto"/>
              <w:rPr>
                <w:rFonts w:ascii="仿宋" w:hAnsi="仿宋" w:eastAsia="仿宋"/>
                <w:color w:val="000000"/>
              </w:rPr>
            </w:pPr>
            <w:r w:rsidRPr="003C684F">
              <w:rPr>
                <w:rFonts w:hint="eastAsia" w:ascii="仿宋" w:hAnsi="仿宋" w:eastAsia="仿宋"/>
                <w:color w:val="000000"/>
              </w:rPr>
              <w:t>实体瘤骨转移</w:t>
            </w:r>
          </w:p>
        </w:tc>
        <w:tc>
          <w:tcPr>
            <w:tcW w:w="2693" w:type="dxa"/>
          </w:tcPr>
          <w:p w:rsidRPr="003C684F" w:rsidR="009730C1" w:rsidP="00822518" w:rsidRDefault="009730C1" w14:paraId="4A5E83A1" w14:textId="77777777">
            <w:pPr>
              <w:spacing w:line="360" w:lineRule="auto"/>
              <w:rPr>
                <w:rFonts w:ascii="仿宋" w:hAnsi="仿宋" w:eastAsia="仿宋"/>
                <w:color w:val="000000"/>
              </w:rPr>
            </w:pPr>
          </w:p>
        </w:tc>
        <w:tc>
          <w:tcPr>
            <w:tcW w:w="2693" w:type="dxa"/>
          </w:tcPr>
          <w:p w:rsidRPr="003C684F" w:rsidR="009730C1" w:rsidP="00822518" w:rsidRDefault="00A315B9" w14:paraId="26EC9959" w14:textId="77777777">
            <w:pPr>
              <w:spacing w:line="360" w:lineRule="auto"/>
              <w:rPr>
                <w:rFonts w:ascii="仿宋" w:hAnsi="仿宋" w:eastAsia="仿宋"/>
                <w:color w:val="000000"/>
              </w:rPr>
            </w:pPr>
            <w:r w:rsidRPr="003C684F">
              <w:rPr>
                <w:rFonts w:hint="eastAsia" w:ascii="仿宋" w:hAnsi="仿宋" w:eastAsia="仿宋"/>
                <w:color w:val="000000"/>
              </w:rPr>
              <w:t>地舒单抗</w:t>
            </w:r>
          </w:p>
        </w:tc>
      </w:tr>
      <w:tr w:rsidRPr="003C684F" w:rsidR="009730C1" w:rsidTr="008A07EA" w14:paraId="7EEE26C2" w14:textId="77777777">
        <w:trPr>
          <w:trHeight w:val="413"/>
        </w:trPr>
        <w:tc>
          <w:tcPr>
            <w:tcW w:w="3119" w:type="dxa"/>
          </w:tcPr>
          <w:p w:rsidRPr="003C684F" w:rsidR="009730C1" w:rsidP="00822518" w:rsidRDefault="00A315B9" w14:paraId="35F7EE21" w14:textId="77777777">
            <w:pPr>
              <w:spacing w:line="360" w:lineRule="auto"/>
              <w:rPr>
                <w:rFonts w:ascii="仿宋" w:hAnsi="仿宋" w:eastAsia="仿宋"/>
                <w:color w:val="000000"/>
              </w:rPr>
            </w:pPr>
            <w:r w:rsidRPr="003C684F">
              <w:rPr>
                <w:rFonts w:hint="eastAsia" w:ascii="仿宋" w:hAnsi="仿宋" w:eastAsia="仿宋"/>
                <w:color w:val="000000"/>
              </w:rPr>
              <w:t>腺泡状软组织肉瘤</w:t>
            </w:r>
          </w:p>
        </w:tc>
        <w:tc>
          <w:tcPr>
            <w:tcW w:w="2693" w:type="dxa"/>
          </w:tcPr>
          <w:p w:rsidRPr="003C684F" w:rsidR="009730C1" w:rsidP="00822518" w:rsidRDefault="009730C1" w14:paraId="037737F1" w14:textId="77777777">
            <w:pPr>
              <w:spacing w:line="360" w:lineRule="auto"/>
              <w:rPr>
                <w:rFonts w:ascii="仿宋" w:hAnsi="仿宋" w:eastAsia="仿宋"/>
                <w:color w:val="000000"/>
              </w:rPr>
            </w:pPr>
          </w:p>
        </w:tc>
        <w:tc>
          <w:tcPr>
            <w:tcW w:w="2693" w:type="dxa"/>
          </w:tcPr>
          <w:p w:rsidRPr="003C684F" w:rsidR="009730C1" w:rsidP="00822518" w:rsidRDefault="00A315B9" w14:paraId="0FA9C4C3" w14:textId="77777777">
            <w:pPr>
              <w:spacing w:line="360" w:lineRule="auto"/>
              <w:rPr>
                <w:rFonts w:ascii="仿宋" w:hAnsi="仿宋" w:eastAsia="仿宋"/>
                <w:color w:val="000000"/>
              </w:rPr>
            </w:pPr>
            <w:r w:rsidRPr="003C684F">
              <w:rPr>
                <w:rFonts w:hint="eastAsia" w:ascii="仿宋" w:hAnsi="仿宋" w:eastAsia="仿宋"/>
                <w:color w:val="000000"/>
              </w:rPr>
              <w:t>安罗替尼</w:t>
            </w:r>
          </w:p>
        </w:tc>
      </w:tr>
      <w:tr w:rsidRPr="003C684F" w:rsidR="009730C1" w:rsidTr="008A07EA" w14:paraId="1465A190" w14:textId="77777777">
        <w:trPr>
          <w:trHeight w:val="349"/>
        </w:trPr>
        <w:tc>
          <w:tcPr>
            <w:tcW w:w="3119" w:type="dxa"/>
          </w:tcPr>
          <w:p w:rsidRPr="003C684F" w:rsidR="009730C1" w:rsidP="00822518" w:rsidRDefault="00A315B9" w14:paraId="1151C9FB" w14:textId="77777777">
            <w:pPr>
              <w:spacing w:line="360" w:lineRule="auto"/>
              <w:rPr>
                <w:rFonts w:ascii="仿宋" w:hAnsi="仿宋" w:eastAsia="仿宋"/>
                <w:color w:val="000000"/>
              </w:rPr>
            </w:pPr>
            <w:r w:rsidRPr="003C684F">
              <w:rPr>
                <w:rFonts w:hint="eastAsia" w:ascii="仿宋" w:hAnsi="仿宋" w:eastAsia="仿宋"/>
                <w:color w:val="000000"/>
              </w:rPr>
              <w:t>透明细胞肉瘤</w:t>
            </w:r>
          </w:p>
        </w:tc>
        <w:tc>
          <w:tcPr>
            <w:tcW w:w="2693" w:type="dxa"/>
          </w:tcPr>
          <w:p w:rsidRPr="003C684F" w:rsidR="009730C1" w:rsidP="00822518" w:rsidRDefault="009730C1" w14:paraId="09BE4C12" w14:textId="77777777">
            <w:pPr>
              <w:spacing w:line="360" w:lineRule="auto"/>
              <w:rPr>
                <w:rFonts w:ascii="仿宋" w:hAnsi="仿宋" w:eastAsia="仿宋"/>
                <w:color w:val="000000"/>
              </w:rPr>
            </w:pPr>
          </w:p>
        </w:tc>
        <w:tc>
          <w:tcPr>
            <w:tcW w:w="2693" w:type="dxa"/>
          </w:tcPr>
          <w:p w:rsidRPr="003C684F" w:rsidR="009730C1" w:rsidP="00822518" w:rsidRDefault="00A315B9" w14:paraId="6479169E" w14:textId="77777777">
            <w:pPr>
              <w:spacing w:line="360" w:lineRule="auto"/>
              <w:rPr>
                <w:rFonts w:ascii="仿宋" w:hAnsi="仿宋" w:eastAsia="仿宋"/>
                <w:color w:val="000000"/>
              </w:rPr>
            </w:pPr>
            <w:r w:rsidRPr="003C684F">
              <w:rPr>
                <w:rFonts w:hint="eastAsia" w:ascii="仿宋" w:hAnsi="仿宋" w:eastAsia="仿宋"/>
                <w:color w:val="000000"/>
              </w:rPr>
              <w:t>安罗替尼</w:t>
            </w:r>
          </w:p>
        </w:tc>
      </w:tr>
      <w:tr w:rsidRPr="003C684F" w:rsidR="009730C1" w:rsidTr="004D487C" w14:paraId="676FA1FA" w14:textId="77777777">
        <w:trPr>
          <w:trHeight w:val="459"/>
        </w:trPr>
        <w:tc>
          <w:tcPr>
            <w:tcW w:w="3119" w:type="dxa"/>
          </w:tcPr>
          <w:p w:rsidRPr="003C684F" w:rsidR="009730C1" w:rsidP="00822518" w:rsidRDefault="00A315B9" w14:paraId="19F3D5F3" w14:textId="77777777">
            <w:pPr>
              <w:spacing w:line="360" w:lineRule="auto"/>
              <w:rPr>
                <w:rFonts w:ascii="仿宋" w:hAnsi="仿宋" w:eastAsia="仿宋"/>
                <w:color w:val="000000"/>
              </w:rPr>
            </w:pPr>
            <w:r w:rsidRPr="003C684F">
              <w:rPr>
                <w:rFonts w:hint="eastAsia" w:ascii="仿宋" w:hAnsi="仿宋" w:eastAsia="仿宋"/>
                <w:color w:val="000000"/>
              </w:rPr>
              <w:t>其他晚期软组织肉瘤</w:t>
            </w:r>
          </w:p>
        </w:tc>
        <w:tc>
          <w:tcPr>
            <w:tcW w:w="2693" w:type="dxa"/>
          </w:tcPr>
          <w:p w:rsidRPr="003C684F" w:rsidR="009730C1" w:rsidP="00822518" w:rsidRDefault="009730C1" w14:paraId="3A638D71" w14:textId="77777777">
            <w:pPr>
              <w:spacing w:line="360" w:lineRule="auto"/>
              <w:rPr>
                <w:rFonts w:ascii="仿宋" w:hAnsi="仿宋" w:eastAsia="仿宋"/>
                <w:color w:val="000000"/>
              </w:rPr>
            </w:pPr>
          </w:p>
        </w:tc>
        <w:tc>
          <w:tcPr>
            <w:tcW w:w="2693" w:type="dxa"/>
          </w:tcPr>
          <w:p w:rsidRPr="003C684F" w:rsidR="009730C1" w:rsidP="00822518" w:rsidRDefault="00A315B9" w14:paraId="1835EA71" w14:textId="77777777">
            <w:pPr>
              <w:spacing w:line="360" w:lineRule="auto"/>
              <w:rPr>
                <w:rFonts w:ascii="仿宋" w:hAnsi="仿宋" w:eastAsia="仿宋"/>
                <w:color w:val="000000"/>
              </w:rPr>
            </w:pPr>
            <w:r w:rsidRPr="003C684F">
              <w:rPr>
                <w:rFonts w:hint="eastAsia" w:ascii="仿宋" w:hAnsi="仿宋" w:eastAsia="仿宋"/>
                <w:color w:val="000000"/>
              </w:rPr>
              <w:t>安罗替尼</w:t>
            </w:r>
          </w:p>
        </w:tc>
      </w:tr>
      <w:tr w:rsidRPr="003C684F" w:rsidR="000B6C8F" w:rsidTr="00AB4C69" w14:paraId="67330D47" w14:textId="77777777">
        <w:trPr>
          <w:trHeight w:val="445"/>
        </w:trPr>
        <w:tc>
          <w:tcPr>
            <w:tcW w:w="3119" w:type="dxa"/>
          </w:tcPr>
          <w:p w:rsidRPr="003C684F" w:rsidR="000B6C8F" w:rsidP="00822518" w:rsidRDefault="000B6C8F" w14:paraId="1EB1C7A6" w14:textId="005A5BA0">
            <w:pPr>
              <w:spacing w:line="360" w:lineRule="auto"/>
              <w:rPr>
                <w:rFonts w:ascii="仿宋" w:hAnsi="仿宋" w:eastAsia="仿宋"/>
                <w:color w:val="000000"/>
              </w:rPr>
            </w:pPr>
            <w:r w:rsidRPr="003C684F">
              <w:rPr>
                <w:rFonts w:hint="eastAsia" w:ascii="仿宋" w:hAnsi="仿宋" w:eastAsia="仿宋"/>
                <w:color w:val="000000"/>
              </w:rPr>
              <w:t>NTRK融合实体瘤</w:t>
            </w:r>
          </w:p>
        </w:tc>
        <w:tc>
          <w:tcPr>
            <w:tcW w:w="2693" w:type="dxa"/>
          </w:tcPr>
          <w:p w:rsidRPr="003C684F" w:rsidR="000B6C8F" w:rsidP="00822518" w:rsidRDefault="000B6C8F" w14:paraId="2544E095" w14:textId="2579BB54">
            <w:pPr>
              <w:spacing w:line="360" w:lineRule="auto"/>
              <w:rPr>
                <w:rFonts w:ascii="仿宋" w:hAnsi="仿宋" w:eastAsia="仿宋"/>
                <w:color w:val="000000"/>
              </w:rPr>
            </w:pPr>
            <w:r w:rsidRPr="003C684F">
              <w:rPr>
                <w:rFonts w:hint="eastAsia" w:ascii="仿宋" w:hAnsi="仿宋" w:eastAsia="仿宋"/>
              </w:rPr>
              <w:t>拉罗替尼</w:t>
            </w:r>
          </w:p>
        </w:tc>
        <w:tc>
          <w:tcPr>
            <w:tcW w:w="2693" w:type="dxa"/>
          </w:tcPr>
          <w:p w:rsidRPr="003C684F" w:rsidR="000B6C8F" w:rsidP="00822518" w:rsidRDefault="000B6C8F" w14:paraId="5E686D39" w14:textId="77777777">
            <w:pPr>
              <w:spacing w:line="360" w:lineRule="auto"/>
              <w:rPr>
                <w:rFonts w:ascii="仿宋" w:hAnsi="仿宋" w:eastAsia="仿宋"/>
                <w:color w:val="000000"/>
              </w:rPr>
            </w:pPr>
          </w:p>
        </w:tc>
      </w:tr>
      <w:tr w:rsidRPr="003C684F" w:rsidR="009730C1" w14:paraId="30C9442E" w14:textId="77777777">
        <w:tc>
          <w:tcPr>
            <w:tcW w:w="3119" w:type="dxa"/>
          </w:tcPr>
          <w:p w:rsidRPr="003C684F" w:rsidR="009730C1" w:rsidP="00822518" w:rsidRDefault="00A315B9" w14:paraId="40A5E51D" w14:textId="77777777">
            <w:pPr>
              <w:spacing w:line="360" w:lineRule="auto"/>
              <w:rPr>
                <w:rFonts w:ascii="仿宋" w:hAnsi="仿宋" w:eastAsia="仿宋"/>
                <w:color w:val="000000"/>
              </w:rPr>
            </w:pPr>
            <w:r w:rsidRPr="003C684F">
              <w:rPr>
                <w:rFonts w:ascii="仿宋" w:hAnsi="仿宋" w:eastAsia="仿宋"/>
                <w:color w:val="000000"/>
              </w:rPr>
              <w:t>鼻咽癌</w:t>
            </w:r>
          </w:p>
        </w:tc>
        <w:tc>
          <w:tcPr>
            <w:tcW w:w="2693" w:type="dxa"/>
          </w:tcPr>
          <w:p w:rsidRPr="003C684F" w:rsidR="009730C1" w:rsidP="00822518" w:rsidRDefault="00A315B9" w14:paraId="37535597" w14:textId="77777777">
            <w:pPr>
              <w:spacing w:line="360" w:lineRule="auto"/>
              <w:rPr>
                <w:rFonts w:ascii="仿宋" w:hAnsi="仿宋" w:eastAsia="仿宋"/>
                <w:color w:val="000000"/>
              </w:rPr>
            </w:pPr>
            <w:r w:rsidRPr="003C684F">
              <w:rPr>
                <w:rFonts w:hint="eastAsia" w:ascii="仿宋" w:hAnsi="仿宋" w:eastAsia="仿宋"/>
                <w:color w:val="000000"/>
              </w:rPr>
              <w:t>尼妥珠单抗</w:t>
            </w:r>
          </w:p>
        </w:tc>
        <w:tc>
          <w:tcPr>
            <w:tcW w:w="2693" w:type="dxa"/>
          </w:tcPr>
          <w:p w:rsidRPr="003C684F" w:rsidR="009730C1" w:rsidP="00822518" w:rsidRDefault="00A315B9" w14:paraId="13074359" w14:textId="77777777">
            <w:pPr>
              <w:spacing w:line="360" w:lineRule="auto"/>
              <w:rPr>
                <w:rFonts w:ascii="仿宋" w:hAnsi="仿宋" w:eastAsia="仿宋"/>
                <w:color w:val="000000"/>
              </w:rPr>
            </w:pPr>
            <w:r w:rsidRPr="003C684F">
              <w:rPr>
                <w:rFonts w:hint="eastAsia" w:ascii="仿宋" w:hAnsi="仿宋" w:eastAsia="仿宋"/>
                <w:color w:val="000000"/>
              </w:rPr>
              <w:t>特瑞普利单抗</w:t>
            </w:r>
          </w:p>
          <w:p w:rsidRPr="003C684F" w:rsidR="009730C1" w:rsidP="00822518" w:rsidRDefault="00A315B9" w14:paraId="18AF575F" w14:textId="77777777">
            <w:pPr>
              <w:spacing w:line="360" w:lineRule="auto"/>
              <w:rPr>
                <w:rFonts w:ascii="仿宋" w:hAnsi="仿宋" w:eastAsia="仿宋"/>
                <w:color w:val="000000"/>
              </w:rPr>
            </w:pPr>
            <w:r w:rsidRPr="003C684F">
              <w:rPr>
                <w:rFonts w:hint="eastAsia" w:ascii="仿宋" w:hAnsi="仿宋" w:eastAsia="仿宋"/>
                <w:color w:val="000000"/>
              </w:rPr>
              <w:t>卡瑞利珠单抗</w:t>
            </w:r>
          </w:p>
          <w:p w:rsidRPr="003C684F" w:rsidR="009730C1" w:rsidP="00822518" w:rsidRDefault="00A315B9" w14:paraId="19B7872B" w14:textId="77777777">
            <w:pPr>
              <w:spacing w:line="360" w:lineRule="auto"/>
              <w:rPr>
                <w:rFonts w:ascii="仿宋" w:hAnsi="仿宋" w:eastAsia="仿宋"/>
                <w:color w:val="000000"/>
              </w:rPr>
            </w:pPr>
            <w:r w:rsidRPr="003C684F">
              <w:rPr>
                <w:rFonts w:hint="eastAsia" w:ascii="仿宋" w:hAnsi="仿宋" w:eastAsia="仿宋"/>
                <w:color w:val="000000"/>
              </w:rPr>
              <w:t>替雷利珠单抗</w:t>
            </w:r>
          </w:p>
        </w:tc>
      </w:tr>
      <w:tr w:rsidRPr="003C684F" w:rsidR="009730C1" w14:paraId="29433415" w14:textId="77777777">
        <w:tc>
          <w:tcPr>
            <w:tcW w:w="3119" w:type="dxa"/>
          </w:tcPr>
          <w:p w:rsidRPr="003C684F" w:rsidR="009730C1" w:rsidP="00822518" w:rsidRDefault="00A315B9" w14:paraId="34495E18" w14:textId="77777777">
            <w:pPr>
              <w:spacing w:line="360" w:lineRule="auto"/>
              <w:rPr>
                <w:rFonts w:ascii="仿宋" w:hAnsi="仿宋" w:eastAsia="仿宋"/>
                <w:color w:val="000000"/>
              </w:rPr>
            </w:pPr>
            <w:r w:rsidRPr="003C684F">
              <w:rPr>
                <w:rFonts w:hint="eastAsia" w:ascii="仿宋" w:hAnsi="仿宋" w:eastAsia="仿宋"/>
                <w:color w:val="000000"/>
              </w:rPr>
              <w:t>甲状腺癌</w:t>
            </w:r>
          </w:p>
        </w:tc>
        <w:tc>
          <w:tcPr>
            <w:tcW w:w="2693" w:type="dxa"/>
          </w:tcPr>
          <w:p w:rsidRPr="003C684F" w:rsidR="009730C1" w:rsidP="00822518" w:rsidRDefault="00646473" w14:paraId="7DABA032" w14:textId="31465BE3">
            <w:pPr>
              <w:spacing w:line="360" w:lineRule="auto"/>
              <w:rPr>
                <w:rFonts w:ascii="仿宋" w:hAnsi="仿宋" w:eastAsia="仿宋"/>
                <w:color w:val="000000"/>
              </w:rPr>
            </w:pPr>
            <w:r w:rsidRPr="003C684F">
              <w:rPr>
                <w:rFonts w:hint="eastAsia" w:ascii="仿宋" w:hAnsi="仿宋" w:eastAsia="仿宋"/>
                <w:color w:val="000000"/>
              </w:rPr>
              <w:t>普拉替尼</w:t>
            </w:r>
          </w:p>
        </w:tc>
        <w:tc>
          <w:tcPr>
            <w:tcW w:w="2693" w:type="dxa"/>
          </w:tcPr>
          <w:p w:rsidRPr="003C684F" w:rsidR="009730C1" w:rsidP="00822518" w:rsidRDefault="00A315B9" w14:paraId="3C2DAA6E" w14:textId="77777777">
            <w:pPr>
              <w:spacing w:line="360" w:lineRule="auto"/>
              <w:rPr>
                <w:rFonts w:ascii="仿宋" w:hAnsi="仿宋" w:eastAsia="仿宋"/>
                <w:color w:val="000000"/>
              </w:rPr>
            </w:pPr>
            <w:r w:rsidRPr="003C684F">
              <w:rPr>
                <w:rFonts w:ascii="仿宋" w:hAnsi="仿宋" w:eastAsia="仿宋"/>
                <w:color w:val="000000"/>
              </w:rPr>
              <w:t>索拉非尼</w:t>
            </w:r>
          </w:p>
          <w:p w:rsidRPr="003C684F" w:rsidR="009730C1" w:rsidP="00822518" w:rsidRDefault="00A315B9" w14:paraId="3EF01900" w14:textId="77777777">
            <w:pPr>
              <w:spacing w:line="360" w:lineRule="auto"/>
              <w:rPr>
                <w:rFonts w:ascii="仿宋" w:hAnsi="仿宋" w:eastAsia="仿宋"/>
                <w:color w:val="000000"/>
              </w:rPr>
            </w:pPr>
            <w:r w:rsidRPr="003C684F">
              <w:rPr>
                <w:rFonts w:hint="eastAsia" w:ascii="仿宋" w:hAnsi="仿宋" w:eastAsia="仿宋"/>
                <w:color w:val="000000"/>
              </w:rPr>
              <w:t>仑伐替尼</w:t>
            </w:r>
          </w:p>
          <w:p w:rsidRPr="003C684F" w:rsidR="009730C1" w:rsidP="00822518" w:rsidRDefault="00A315B9" w14:paraId="1BFBE314" w14:textId="77777777">
            <w:pPr>
              <w:spacing w:line="360" w:lineRule="auto"/>
              <w:rPr>
                <w:rFonts w:ascii="仿宋" w:hAnsi="仿宋" w:eastAsia="仿宋"/>
                <w:color w:val="000000"/>
              </w:rPr>
            </w:pPr>
            <w:r w:rsidRPr="003C684F">
              <w:rPr>
                <w:rFonts w:hint="eastAsia" w:ascii="仿宋" w:hAnsi="仿宋" w:eastAsia="仿宋"/>
                <w:color w:val="000000"/>
              </w:rPr>
              <w:t>安罗替尼</w:t>
            </w:r>
          </w:p>
        </w:tc>
      </w:tr>
      <w:tr w:rsidRPr="003C684F" w:rsidR="009730C1" w14:paraId="077532FF" w14:textId="77777777">
        <w:tc>
          <w:tcPr>
            <w:tcW w:w="3119" w:type="dxa"/>
          </w:tcPr>
          <w:p w:rsidRPr="003C684F" w:rsidR="009730C1" w:rsidP="00822518" w:rsidRDefault="00A315B9" w14:paraId="1231DDDA" w14:textId="77777777">
            <w:pPr>
              <w:spacing w:line="360" w:lineRule="auto"/>
              <w:rPr>
                <w:rFonts w:ascii="仿宋" w:hAnsi="仿宋" w:eastAsia="仿宋"/>
                <w:color w:val="000000"/>
              </w:rPr>
            </w:pPr>
            <w:r w:rsidRPr="003C684F">
              <w:rPr>
                <w:rFonts w:hint="eastAsia" w:ascii="仿宋" w:hAnsi="仿宋" w:eastAsia="仿宋"/>
                <w:color w:val="000000"/>
              </w:rPr>
              <w:t>头颈部鳞癌</w:t>
            </w:r>
          </w:p>
        </w:tc>
        <w:tc>
          <w:tcPr>
            <w:tcW w:w="2693" w:type="dxa"/>
          </w:tcPr>
          <w:p w:rsidRPr="003C684F" w:rsidR="009730C1" w:rsidP="00822518" w:rsidRDefault="00A315B9" w14:paraId="1E18ADF8" w14:textId="77777777">
            <w:pPr>
              <w:spacing w:line="360" w:lineRule="auto"/>
              <w:rPr>
                <w:rFonts w:ascii="仿宋" w:hAnsi="仿宋" w:eastAsia="仿宋"/>
                <w:color w:val="000000"/>
              </w:rPr>
            </w:pPr>
            <w:r w:rsidRPr="003C684F">
              <w:rPr>
                <w:rFonts w:hint="eastAsia" w:ascii="仿宋" w:hAnsi="仿宋" w:eastAsia="仿宋"/>
                <w:color w:val="000000"/>
              </w:rPr>
              <w:t>纳武利尤单抗</w:t>
            </w:r>
          </w:p>
          <w:p w:rsidRPr="003C684F" w:rsidR="009730C1" w:rsidP="00822518" w:rsidRDefault="00A315B9" w14:paraId="33D6B84B" w14:textId="77777777">
            <w:pPr>
              <w:spacing w:line="360" w:lineRule="auto"/>
              <w:rPr>
                <w:rFonts w:ascii="仿宋" w:hAnsi="仿宋" w:eastAsia="仿宋"/>
                <w:color w:val="000000"/>
              </w:rPr>
            </w:pPr>
            <w:r w:rsidRPr="003C684F">
              <w:rPr>
                <w:rFonts w:hint="eastAsia" w:ascii="仿宋" w:hAnsi="仿宋" w:eastAsia="仿宋"/>
                <w:color w:val="000000"/>
              </w:rPr>
              <w:t>帕博利珠单抗</w:t>
            </w:r>
          </w:p>
        </w:tc>
        <w:tc>
          <w:tcPr>
            <w:tcW w:w="2693" w:type="dxa"/>
          </w:tcPr>
          <w:p w:rsidRPr="003C684F" w:rsidR="009730C1" w:rsidP="00822518" w:rsidRDefault="00A315B9" w14:paraId="4F68EDBC" w14:textId="77777777">
            <w:pPr>
              <w:spacing w:line="360" w:lineRule="auto"/>
              <w:rPr>
                <w:rFonts w:ascii="仿宋" w:hAnsi="仿宋" w:eastAsia="仿宋"/>
                <w:color w:val="000000"/>
              </w:rPr>
            </w:pPr>
            <w:r w:rsidRPr="003C684F">
              <w:rPr>
                <w:rFonts w:hint="eastAsia" w:ascii="仿宋" w:hAnsi="仿宋" w:eastAsia="仿宋"/>
                <w:color w:val="000000"/>
              </w:rPr>
              <w:t>西妥昔单抗</w:t>
            </w:r>
          </w:p>
        </w:tc>
      </w:tr>
      <w:tr w:rsidRPr="003C684F" w:rsidR="009730C1" w14:paraId="7A5F4B06" w14:textId="77777777">
        <w:trPr>
          <w:trHeight w:val="1870"/>
        </w:trPr>
        <w:tc>
          <w:tcPr>
            <w:tcW w:w="3119" w:type="dxa"/>
          </w:tcPr>
          <w:p w:rsidRPr="003C684F" w:rsidR="009730C1" w:rsidP="00822518" w:rsidRDefault="00A315B9" w14:paraId="3632111E" w14:textId="77777777">
            <w:pPr>
              <w:spacing w:line="360" w:lineRule="auto"/>
              <w:rPr>
                <w:rFonts w:ascii="仿宋" w:hAnsi="仿宋" w:eastAsia="仿宋"/>
                <w:bCs/>
                <w:color w:val="000000"/>
              </w:rPr>
            </w:pPr>
            <w:r w:rsidRPr="003C684F">
              <w:rPr>
                <w:rFonts w:hint="eastAsia" w:ascii="仿宋" w:hAnsi="仿宋" w:eastAsia="仿宋"/>
                <w:bCs/>
                <w:color w:val="000000"/>
              </w:rPr>
              <w:t>卵巢癌</w:t>
            </w:r>
          </w:p>
        </w:tc>
        <w:tc>
          <w:tcPr>
            <w:tcW w:w="2693" w:type="dxa"/>
          </w:tcPr>
          <w:p w:rsidRPr="003C684F" w:rsidR="009730C1" w:rsidP="00822518" w:rsidRDefault="00A315B9" w14:paraId="39C77361" w14:textId="77777777">
            <w:pPr>
              <w:spacing w:line="360" w:lineRule="auto"/>
              <w:rPr>
                <w:rFonts w:ascii="仿宋" w:hAnsi="仿宋" w:eastAsia="仿宋"/>
                <w:bCs/>
                <w:color w:val="000000"/>
              </w:rPr>
            </w:pPr>
            <w:r w:rsidRPr="003C684F">
              <w:rPr>
                <w:rFonts w:hint="eastAsia" w:ascii="仿宋" w:hAnsi="仿宋" w:eastAsia="仿宋"/>
                <w:bCs/>
                <w:color w:val="000000"/>
              </w:rPr>
              <w:t>奥拉帕利（一线）</w:t>
            </w:r>
          </w:p>
          <w:p w:rsidRPr="003C684F" w:rsidR="009730C1" w:rsidP="00822518" w:rsidRDefault="00A315B9" w14:paraId="33A23505" w14:textId="77777777">
            <w:pPr>
              <w:spacing w:line="360" w:lineRule="auto"/>
              <w:rPr>
                <w:rFonts w:ascii="仿宋" w:hAnsi="仿宋" w:eastAsia="仿宋"/>
                <w:bCs/>
                <w:color w:val="000000"/>
              </w:rPr>
            </w:pPr>
            <w:r w:rsidRPr="003C684F">
              <w:rPr>
                <w:rFonts w:hint="eastAsia" w:ascii="仿宋" w:hAnsi="仿宋" w:eastAsia="仿宋"/>
                <w:bCs/>
                <w:color w:val="000000"/>
              </w:rPr>
              <w:t>氟唑帕利（后线治疗）</w:t>
            </w:r>
          </w:p>
          <w:p w:rsidRPr="003C684F" w:rsidR="009730C1" w:rsidP="00822518" w:rsidRDefault="00A315B9" w14:paraId="70D8C00E" w14:textId="77777777">
            <w:pPr>
              <w:spacing w:line="360" w:lineRule="auto"/>
              <w:rPr>
                <w:rFonts w:ascii="仿宋" w:hAnsi="仿宋" w:eastAsia="仿宋"/>
                <w:bCs/>
                <w:color w:val="000000"/>
              </w:rPr>
            </w:pPr>
            <w:r w:rsidRPr="003C684F">
              <w:rPr>
                <w:rFonts w:hint="eastAsia" w:ascii="仿宋" w:hAnsi="仿宋" w:eastAsia="仿宋"/>
                <w:bCs/>
                <w:color w:val="000000"/>
              </w:rPr>
              <w:t>帕米帕利（后线治疗）</w:t>
            </w:r>
          </w:p>
        </w:tc>
        <w:tc>
          <w:tcPr>
            <w:tcW w:w="2693" w:type="dxa"/>
          </w:tcPr>
          <w:p w:rsidRPr="003C684F" w:rsidR="009730C1" w:rsidP="00822518" w:rsidRDefault="00A315B9" w14:paraId="464CBE9D" w14:textId="77777777">
            <w:pPr>
              <w:spacing w:line="360" w:lineRule="auto"/>
              <w:rPr>
                <w:rFonts w:ascii="仿宋" w:hAnsi="仿宋" w:eastAsia="仿宋"/>
                <w:bCs/>
                <w:color w:val="000000"/>
              </w:rPr>
            </w:pPr>
            <w:r w:rsidRPr="003C684F">
              <w:rPr>
                <w:rFonts w:hint="eastAsia" w:ascii="仿宋" w:hAnsi="仿宋" w:eastAsia="仿宋"/>
                <w:bCs/>
                <w:color w:val="000000"/>
              </w:rPr>
              <w:t>贝伐珠单抗</w:t>
            </w:r>
          </w:p>
          <w:p w:rsidRPr="003C684F" w:rsidR="009730C1" w:rsidP="00822518" w:rsidRDefault="00A315B9" w14:paraId="09396BAC" w14:textId="77777777">
            <w:pPr>
              <w:spacing w:line="360" w:lineRule="auto"/>
              <w:rPr>
                <w:rFonts w:ascii="仿宋" w:hAnsi="仿宋" w:eastAsia="仿宋"/>
                <w:bCs/>
                <w:color w:val="000000"/>
              </w:rPr>
            </w:pPr>
            <w:r w:rsidRPr="003C684F">
              <w:rPr>
                <w:rFonts w:hint="eastAsia" w:ascii="仿宋" w:hAnsi="仿宋" w:eastAsia="仿宋"/>
                <w:bCs/>
                <w:color w:val="000000"/>
              </w:rPr>
              <w:t>尼拉帕利</w:t>
            </w:r>
          </w:p>
          <w:p w:rsidRPr="003C684F" w:rsidR="009730C1" w:rsidP="00822518" w:rsidRDefault="00A315B9" w14:paraId="7AE468C4" w14:textId="77777777">
            <w:pPr>
              <w:spacing w:line="360" w:lineRule="auto"/>
              <w:rPr>
                <w:rFonts w:ascii="仿宋" w:hAnsi="仿宋" w:eastAsia="仿宋"/>
                <w:bCs/>
                <w:color w:val="000000"/>
              </w:rPr>
            </w:pPr>
            <w:r w:rsidRPr="003C684F">
              <w:rPr>
                <w:rFonts w:hint="eastAsia" w:ascii="仿宋" w:hAnsi="仿宋" w:eastAsia="仿宋"/>
                <w:bCs/>
                <w:color w:val="000000"/>
              </w:rPr>
              <w:t>奥拉帕利（复发）</w:t>
            </w:r>
          </w:p>
          <w:p w:rsidRPr="003C684F" w:rsidR="009730C1" w:rsidP="00822518" w:rsidRDefault="00A315B9" w14:paraId="27942BC1" w14:textId="77777777">
            <w:pPr>
              <w:spacing w:line="360" w:lineRule="auto"/>
              <w:rPr>
                <w:rFonts w:ascii="仿宋" w:hAnsi="仿宋" w:eastAsia="仿宋"/>
                <w:bCs/>
                <w:color w:val="000000"/>
              </w:rPr>
            </w:pPr>
            <w:r w:rsidRPr="003C684F">
              <w:rPr>
                <w:rFonts w:hint="eastAsia" w:ascii="仿宋" w:hAnsi="仿宋" w:eastAsia="仿宋"/>
                <w:bCs/>
                <w:color w:val="000000"/>
              </w:rPr>
              <w:t>氟唑帕利（复发）</w:t>
            </w:r>
          </w:p>
        </w:tc>
      </w:tr>
      <w:tr w:rsidRPr="003C684F" w:rsidR="009730C1" w:rsidTr="00E20A6D" w14:paraId="6CF0D03A" w14:textId="77777777">
        <w:trPr>
          <w:trHeight w:val="561"/>
        </w:trPr>
        <w:tc>
          <w:tcPr>
            <w:tcW w:w="3119" w:type="dxa"/>
          </w:tcPr>
          <w:p w:rsidRPr="003C684F" w:rsidR="009730C1" w:rsidP="00822518" w:rsidRDefault="00A315B9" w14:paraId="34CE230F" w14:textId="77777777">
            <w:pPr>
              <w:spacing w:line="360" w:lineRule="auto"/>
              <w:rPr>
                <w:rFonts w:ascii="仿宋" w:hAnsi="仿宋" w:eastAsia="仿宋"/>
                <w:bCs/>
                <w:color w:val="000000"/>
              </w:rPr>
            </w:pPr>
            <w:r w:rsidRPr="003C684F">
              <w:rPr>
                <w:rFonts w:hint="eastAsia" w:ascii="仿宋" w:hAnsi="仿宋" w:eastAsia="仿宋"/>
                <w:bCs/>
                <w:color w:val="000000"/>
              </w:rPr>
              <w:t>宫颈癌</w:t>
            </w:r>
          </w:p>
        </w:tc>
        <w:tc>
          <w:tcPr>
            <w:tcW w:w="2693" w:type="dxa"/>
          </w:tcPr>
          <w:p w:rsidRPr="003C684F" w:rsidR="009730C1" w:rsidP="00822518" w:rsidRDefault="009730C1" w14:paraId="6323D648" w14:textId="77777777">
            <w:pPr>
              <w:spacing w:line="360" w:lineRule="auto"/>
              <w:rPr>
                <w:rFonts w:ascii="仿宋" w:hAnsi="仿宋" w:eastAsia="仿宋"/>
                <w:bCs/>
                <w:color w:val="000000"/>
              </w:rPr>
            </w:pPr>
          </w:p>
        </w:tc>
        <w:tc>
          <w:tcPr>
            <w:tcW w:w="2693" w:type="dxa"/>
          </w:tcPr>
          <w:p w:rsidRPr="003C684F" w:rsidR="009730C1" w:rsidP="00822518" w:rsidRDefault="00A315B9" w14:paraId="7E49B813" w14:textId="77777777">
            <w:pPr>
              <w:spacing w:line="360" w:lineRule="auto"/>
              <w:rPr>
                <w:rFonts w:ascii="仿宋" w:hAnsi="仿宋" w:eastAsia="仿宋"/>
                <w:bCs/>
                <w:color w:val="000000"/>
              </w:rPr>
            </w:pPr>
            <w:r w:rsidRPr="003C684F">
              <w:rPr>
                <w:rFonts w:hint="eastAsia" w:ascii="仿宋" w:hAnsi="仿宋" w:eastAsia="仿宋"/>
                <w:bCs/>
                <w:color w:val="000000"/>
              </w:rPr>
              <w:t>贝伐珠单抗</w:t>
            </w:r>
          </w:p>
          <w:p w:rsidRPr="003C684F" w:rsidR="00550236" w:rsidP="00822518" w:rsidRDefault="00550236" w14:paraId="70E06E35" w14:textId="1B7BE1B6">
            <w:pPr>
              <w:spacing w:line="360" w:lineRule="auto"/>
              <w:rPr>
                <w:rFonts w:ascii="仿宋" w:hAnsi="仿宋" w:eastAsia="仿宋"/>
                <w:bCs/>
                <w:color w:val="000000"/>
              </w:rPr>
            </w:pPr>
            <w:r w:rsidRPr="003C684F">
              <w:rPr>
                <w:rFonts w:hint="eastAsia" w:ascii="仿宋" w:hAnsi="仿宋" w:eastAsia="仿宋"/>
                <w:bCs/>
                <w:color w:val="000000"/>
              </w:rPr>
              <w:t>卡度尼利单抗（复发/转移）</w:t>
            </w:r>
          </w:p>
        </w:tc>
      </w:tr>
    </w:tbl>
    <w:p w:rsidRPr="003C684F" w:rsidR="009730C1" w:rsidRDefault="00A315B9" w14:paraId="29E54E94" w14:textId="77777777">
      <w:pPr>
        <w:spacing w:line="360" w:lineRule="auto"/>
        <w:ind w:firstLine="360" w:firstLineChars="200"/>
        <w:rPr>
          <w:rFonts w:ascii="仿宋" w:hAnsi="仿宋" w:eastAsia="仿宋" w:cs="仿宋"/>
          <w:sz w:val="18"/>
          <w:szCs w:val="18"/>
        </w:rPr>
      </w:pPr>
      <w:r w:rsidRPr="003C684F">
        <w:rPr>
          <w:rFonts w:ascii="仿宋" w:hAnsi="仿宋" w:eastAsia="仿宋"/>
          <w:color w:val="000000"/>
          <w:sz w:val="18"/>
          <w:szCs w:val="18"/>
          <w:vertAlign w:val="superscript"/>
        </w:rPr>
        <w:t>*</w:t>
      </w:r>
      <w:r w:rsidRPr="003C684F">
        <w:rPr>
          <w:rFonts w:hint="eastAsia" w:ascii="仿宋" w:hAnsi="仿宋" w:eastAsia="仿宋"/>
          <w:color w:val="000000"/>
          <w:sz w:val="18"/>
          <w:szCs w:val="18"/>
        </w:rPr>
        <w:t>：</w:t>
      </w:r>
      <w:r w:rsidRPr="003C684F">
        <w:rPr>
          <w:rFonts w:hint="eastAsia" w:ascii="仿宋" w:hAnsi="仿宋" w:eastAsia="仿宋" w:cs="仿宋"/>
          <w:sz w:val="18"/>
          <w:szCs w:val="18"/>
        </w:rPr>
        <w:t>需排除</w:t>
      </w:r>
      <w:r w:rsidRPr="003C684F">
        <w:rPr>
          <w:rFonts w:ascii="仿宋" w:hAnsi="仿宋" w:eastAsia="仿宋" w:cs="仿宋"/>
          <w:sz w:val="18"/>
          <w:szCs w:val="18"/>
        </w:rPr>
        <w:t>EGFR基因</w:t>
      </w:r>
      <w:r w:rsidRPr="003C684F">
        <w:rPr>
          <w:rFonts w:hint="eastAsia" w:ascii="仿宋" w:hAnsi="仿宋" w:eastAsia="仿宋" w:cs="仿宋"/>
          <w:sz w:val="18"/>
          <w:szCs w:val="18"/>
        </w:rPr>
        <w:t>突变和</w:t>
      </w:r>
      <w:r w:rsidRPr="003C684F">
        <w:rPr>
          <w:rFonts w:ascii="仿宋" w:hAnsi="仿宋" w:eastAsia="仿宋" w:cs="仿宋"/>
          <w:sz w:val="18"/>
          <w:szCs w:val="18"/>
        </w:rPr>
        <w:t>ALK融合阳性的患者</w:t>
      </w:r>
      <w:r w:rsidRPr="003C684F">
        <w:rPr>
          <w:rFonts w:hint="eastAsia" w:ascii="仿宋" w:hAnsi="仿宋" w:eastAsia="仿宋" w:cs="仿宋"/>
          <w:sz w:val="18"/>
          <w:szCs w:val="18"/>
        </w:rPr>
        <w:t>。</w:t>
      </w:r>
    </w:p>
    <w:p w:rsidRPr="003C684F" w:rsidR="009730C1" w:rsidRDefault="00A315B9" w14:paraId="5D0453DD" w14:textId="77777777">
      <w:pPr>
        <w:spacing w:line="360" w:lineRule="auto"/>
        <w:ind w:firstLine="360" w:firstLineChars="200"/>
        <w:rPr>
          <w:rFonts w:ascii="仿宋" w:hAnsi="仿宋" w:eastAsia="仿宋"/>
          <w:color w:val="000000"/>
          <w:sz w:val="18"/>
          <w:szCs w:val="18"/>
        </w:rPr>
      </w:pPr>
      <w:r w:rsidRPr="003C684F">
        <w:rPr>
          <w:rFonts w:hint="eastAsia" w:ascii="仿宋" w:hAnsi="仿宋" w:eastAsia="仿宋"/>
          <w:color w:val="000000"/>
          <w:sz w:val="18"/>
          <w:szCs w:val="18"/>
          <w:vertAlign w:val="superscript"/>
        </w:rPr>
        <w:t>#</w:t>
      </w:r>
      <w:r w:rsidRPr="003C684F">
        <w:rPr>
          <w:rFonts w:hint="eastAsia" w:ascii="仿宋" w:hAnsi="仿宋" w:eastAsia="仿宋"/>
          <w:color w:val="000000"/>
          <w:sz w:val="18"/>
          <w:szCs w:val="18"/>
        </w:rPr>
        <w:t>：帕博利珠单抗单药使用、</w:t>
      </w:r>
      <w:r w:rsidRPr="003C684F">
        <w:rPr>
          <w:rFonts w:hint="eastAsia" w:ascii="仿宋" w:hAnsi="仿宋" w:eastAsia="仿宋" w:cs="仿宋"/>
          <w:sz w:val="18"/>
          <w:szCs w:val="18"/>
        </w:rPr>
        <w:t>阿替利珠单抗</w:t>
      </w:r>
      <w:r w:rsidRPr="003C684F">
        <w:rPr>
          <w:rFonts w:hint="eastAsia" w:ascii="仿宋" w:hAnsi="仿宋" w:eastAsia="仿宋"/>
          <w:color w:val="000000"/>
          <w:sz w:val="18"/>
          <w:szCs w:val="18"/>
        </w:rPr>
        <w:t>单药使用前需检测</w:t>
      </w:r>
      <w:r w:rsidRPr="003C684F">
        <w:rPr>
          <w:rFonts w:ascii="仿宋" w:hAnsi="仿宋" w:eastAsia="仿宋"/>
          <w:color w:val="000000"/>
          <w:sz w:val="18"/>
          <w:szCs w:val="18"/>
        </w:rPr>
        <w:t>PD-L1表达。</w:t>
      </w:r>
    </w:p>
    <w:p w:rsidRPr="003C684F" w:rsidR="009730C1" w:rsidRDefault="00A315B9" w14:paraId="0A1225CC"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对于明确作用靶点的药物，须遵循靶点检测后方可使用</w:t>
      </w:r>
      <w:r w:rsidRPr="003C684F">
        <w:rPr>
          <w:rFonts w:hint="eastAsia" w:ascii="仿宋" w:hAnsi="仿宋" w:eastAsia="仿宋" w:cs="仿宋"/>
          <w:sz w:val="32"/>
          <w:szCs w:val="32"/>
        </w:rPr>
        <w:lastRenderedPageBreak/>
        <w:t>的原则。检测所用的仪器设备、诊断试剂和检测方法应当经过国家药品监督管理部门批准，特别是经过</w:t>
      </w:r>
      <w:r w:rsidRPr="003C684F" w:rsidR="00182EC9">
        <w:rPr>
          <w:rFonts w:hint="eastAsia" w:ascii="仿宋" w:hAnsi="仿宋" w:eastAsia="仿宋" w:cs="仿宋"/>
          <w:sz w:val="32"/>
          <w:szCs w:val="32"/>
        </w:rPr>
        <w:t>临床试验</w:t>
      </w:r>
      <w:r w:rsidRPr="003C684F">
        <w:rPr>
          <w:rFonts w:hint="eastAsia" w:ascii="仿宋" w:hAnsi="仿宋" w:eastAsia="仿宋" w:cs="仿宋"/>
          <w:sz w:val="32"/>
          <w:szCs w:val="32"/>
        </w:rPr>
        <w:t>伴随诊断验证的方法。不得在未做相关检查的情况下盲目用药。</w:t>
      </w:r>
    </w:p>
    <w:p w:rsidRPr="003C684F" w:rsidR="009730C1" w:rsidP="0037660B" w:rsidRDefault="00A315B9" w14:paraId="7540B4C9"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三、严格遵循适应证用药</w:t>
      </w:r>
    </w:p>
    <w:p w:rsidRPr="003C684F" w:rsidR="009730C1" w:rsidRDefault="00A315B9" w14:paraId="4E646D44" w14:textId="7EA7134B">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抗肿瘤药物的药品说明书是抗肿瘤药物临床应用的法定依据，其规定的适应证经过了国家药品监督管理部门批准。抗肿瘤药物临床应用须遵循药品说明书，不能随意超适应证使用。在抗肿瘤药物临床应用过程中，发现新的具有高级别循证医学证据的用法但药品说明书中未体现的，医疗机构和医务人员可及时向药品生产</w:t>
      </w:r>
      <w:r w:rsidRPr="003C684F" w:rsidR="000E6B04">
        <w:rPr>
          <w:rFonts w:hint="eastAsia" w:ascii="仿宋" w:hAnsi="仿宋" w:eastAsia="仿宋" w:cs="仿宋"/>
          <w:sz w:val="32"/>
          <w:szCs w:val="32"/>
        </w:rPr>
        <w:t>企业</w:t>
      </w:r>
      <w:r w:rsidRPr="003C684F">
        <w:rPr>
          <w:rFonts w:hint="eastAsia" w:ascii="仿宋" w:hAnsi="仿宋" w:eastAsia="仿宋" w:cs="仿宋"/>
          <w:sz w:val="32"/>
          <w:szCs w:val="32"/>
        </w:rPr>
        <w:t>反馈，建议其主动向国家药品监督管理部门申报，及时更新相应药品说明书，以保证药品说明书的科学性、权威性，有效指导临床用药。特别是有条件快速批准上市的药品，更应当保证药品说明书的时效性。</w:t>
      </w:r>
    </w:p>
    <w:p w:rsidRPr="003C684F" w:rsidR="009730C1" w:rsidP="0037660B" w:rsidRDefault="00A315B9" w14:paraId="7DC0B96B"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四、体现患者治疗价值</w:t>
      </w:r>
    </w:p>
    <w:p w:rsidRPr="003C684F" w:rsidR="009730C1" w:rsidRDefault="00A315B9" w14:paraId="65963767" w14:textId="16E6BE4D">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现代临床肿瘤学高度重视恶性肿瘤患者的治疗价值。其核心思想是，在相同治疗成本前提下，使患者获得更长的生存时间和更好的生活质量。在抗肿瘤药物临床应用中，应当充分考虑抗肿瘤药物的成本-效果比，</w:t>
      </w:r>
      <w:r w:rsidRPr="003C684F" w:rsidR="00A7546B">
        <w:rPr>
          <w:rFonts w:hint="eastAsia" w:ascii="仿宋" w:hAnsi="仿宋" w:eastAsia="仿宋" w:cs="仿宋"/>
          <w:sz w:val="32"/>
          <w:szCs w:val="32"/>
        </w:rPr>
        <w:t>在严格遵循适应证用药的前提下</w:t>
      </w:r>
      <w:r w:rsidRPr="003C684F">
        <w:rPr>
          <w:rFonts w:hint="eastAsia" w:ascii="仿宋" w:hAnsi="仿宋" w:eastAsia="仿宋" w:cs="仿宋"/>
          <w:sz w:val="32"/>
          <w:szCs w:val="32"/>
        </w:rPr>
        <w:t>优先选择具有药物经济学评价优势证据的品种。</w:t>
      </w:r>
    </w:p>
    <w:p w:rsidRPr="003C684F" w:rsidR="009730C1" w:rsidP="0037660B" w:rsidRDefault="00A315B9" w14:paraId="4ED85C3C"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五、特殊情况下的药物合理使用</w:t>
      </w:r>
    </w:p>
    <w:p w:rsidRPr="003C684F" w:rsidR="009730C1" w:rsidRDefault="00A315B9" w14:paraId="5D574043" w14:textId="1FE89164">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随着癌症治疗临床实践的快速发展，目前上市的抗肿瘤药物尚不能完全满足肿瘤患者的用药需求，药品说明书也往</w:t>
      </w:r>
      <w:r w:rsidRPr="003C684F">
        <w:rPr>
          <w:rFonts w:hint="eastAsia" w:ascii="仿宋" w:hAnsi="仿宋" w:eastAsia="仿宋" w:cs="仿宋"/>
          <w:sz w:val="32"/>
          <w:szCs w:val="32"/>
        </w:rPr>
        <w:lastRenderedPageBreak/>
        <w:t>往滞后于临床实践，一些具有高级别循证医学证据的用法未能及时在药品说明书中明确规定。在尚无更好治疗手段等特殊情况下，医疗机构应当制定相应管理制度、技术规范，对药品说明书中未明确、但具有循证医学证据的药品用法进行严格管理。特殊情况下抗肿瘤药物的使用权应当仅限于三级医院授权的具有高级专业技术职称的医师，充分遵循患者知情同意原则，并且应当做好用药监测和跟踪观察。</w:t>
      </w:r>
    </w:p>
    <w:p w:rsidRPr="003C684F" w:rsidR="009730C1" w:rsidRDefault="00A315B9" w14:paraId="77493BB4"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特殊情况下抗肿瘤药物循证医学证据采纳根据依次是：其他国家或地区药品说明书中已注明的用法，国际权威学协会或组织发布的诊疗规范、临床诊疗指南，国家级学协会发布的经国家卫生健康委员会认可的诊疗规范、临床诊疗指南和临床路径等。</w:t>
      </w:r>
    </w:p>
    <w:p w:rsidRPr="003C684F" w:rsidR="009730C1" w:rsidP="0037660B" w:rsidRDefault="00A315B9" w14:paraId="4F8461C6"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六、重视药物相关性不良反应</w:t>
      </w:r>
    </w:p>
    <w:p w:rsidRPr="003C684F" w:rsidR="009730C1" w:rsidRDefault="00A315B9" w14:paraId="24A7CCA9" w14:textId="1841740D">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仿宋"/>
          <w:sz w:val="32"/>
          <w:szCs w:val="32"/>
        </w:rPr>
        <w:t>抗肿瘤药物的相关性毒副作用发生率较高，也容易产生罕见的毒副作用，因此抗肿瘤药物不良反应报告尤为重要。医疗机构应当建立药品不良反应、药品损害事件监测报告制度，并按照国家有关规定向相关部门报告。医疗机构应当将抗肿瘤药物不良反应</w:t>
      </w:r>
      <w:r w:rsidRPr="003C684F" w:rsidR="00AA0DC5">
        <w:rPr>
          <w:rFonts w:hint="eastAsia" w:ascii="仿宋" w:hAnsi="仿宋" w:eastAsia="仿宋" w:cs="仿宋"/>
          <w:sz w:val="32"/>
          <w:szCs w:val="32"/>
        </w:rPr>
        <w:t>，尤其是新型抗肿瘤药物不良反应</w:t>
      </w:r>
      <w:r w:rsidRPr="003C684F">
        <w:rPr>
          <w:rFonts w:hint="eastAsia" w:ascii="仿宋" w:hAnsi="仿宋" w:eastAsia="仿宋" w:cs="仿宋"/>
          <w:sz w:val="32"/>
          <w:szCs w:val="32"/>
        </w:rPr>
        <w:t>报告纳入医疗质量考核体系，定期分析和报告</w:t>
      </w:r>
      <w:r w:rsidRPr="003C684F" w:rsidR="009B619A">
        <w:rPr>
          <w:rFonts w:hint="eastAsia" w:ascii="仿宋" w:hAnsi="仿宋" w:eastAsia="仿宋" w:cs="仿宋"/>
          <w:sz w:val="32"/>
          <w:szCs w:val="32"/>
        </w:rPr>
        <w:t>新型</w:t>
      </w:r>
      <w:r w:rsidRPr="003C684F">
        <w:rPr>
          <w:rFonts w:hint="eastAsia" w:ascii="仿宋" w:hAnsi="仿宋" w:eastAsia="仿宋" w:cs="仿宋"/>
          <w:sz w:val="32"/>
          <w:szCs w:val="32"/>
        </w:rPr>
        <w:t>抗肿瘤药物不良反应的动态和趋势。临床医师</w:t>
      </w:r>
      <w:r w:rsidRPr="003C684F" w:rsidR="00674D55">
        <w:rPr>
          <w:rFonts w:hint="eastAsia" w:ascii="仿宋" w:hAnsi="仿宋" w:eastAsia="仿宋" w:cs="仿宋"/>
          <w:sz w:val="32"/>
          <w:szCs w:val="32"/>
        </w:rPr>
        <w:t>、护理人员</w:t>
      </w:r>
      <w:r w:rsidRPr="003C684F">
        <w:rPr>
          <w:rFonts w:hint="eastAsia" w:ascii="仿宋" w:hAnsi="仿宋" w:eastAsia="仿宋" w:cs="仿宋"/>
          <w:sz w:val="32"/>
          <w:szCs w:val="32"/>
        </w:rPr>
        <w:t>和临床药师应当密切随访患者的用药相关毒性，并及时上报不良反应，尤其是严重的和新发现的不良反应。</w:t>
      </w:r>
    </w:p>
    <w:p w:rsidRPr="003C684F" w:rsidR="009730C1" w:rsidRDefault="00A315B9" w14:paraId="15564C37" w14:textId="77777777">
      <w:pPr>
        <w:spacing w:line="360" w:lineRule="auto"/>
        <w:ind w:firstLine="883" w:firstLineChars="200"/>
        <w:jc w:val="center"/>
        <w:rPr>
          <w:rFonts w:ascii="宋体" w:hAnsi="宋体" w:cs="宋体"/>
          <w:b/>
          <w:bCs/>
          <w:sz w:val="44"/>
          <w:szCs w:val="44"/>
        </w:rPr>
      </w:pPr>
      <w:r w:rsidRPr="003C684F">
        <w:rPr>
          <w:rFonts w:hint="eastAsia" w:ascii="宋体" w:hAnsi="宋体" w:cs="宋体"/>
          <w:b/>
          <w:bCs/>
          <w:sz w:val="44"/>
          <w:szCs w:val="44"/>
        </w:rPr>
        <w:lastRenderedPageBreak/>
        <w:t>第二部分　各系统肿瘤的药物临床</w:t>
      </w:r>
    </w:p>
    <w:p w:rsidRPr="003C684F" w:rsidR="009730C1" w:rsidRDefault="00A315B9" w14:paraId="2AB6A13D" w14:textId="77777777">
      <w:pPr>
        <w:spacing w:line="360" w:lineRule="auto"/>
        <w:ind w:firstLine="883" w:firstLineChars="200"/>
        <w:jc w:val="center"/>
        <w:rPr>
          <w:rFonts w:ascii="宋体" w:cs="Times New Roman"/>
          <w:b/>
          <w:bCs/>
          <w:sz w:val="44"/>
          <w:szCs w:val="44"/>
        </w:rPr>
      </w:pPr>
      <w:r w:rsidRPr="003C684F">
        <w:rPr>
          <w:rFonts w:hint="eastAsia" w:ascii="宋体" w:hAnsi="宋体" w:cs="宋体"/>
          <w:b/>
          <w:bCs/>
          <w:sz w:val="44"/>
          <w:szCs w:val="44"/>
        </w:rPr>
        <w:t>应用指导原则</w:t>
      </w:r>
    </w:p>
    <w:p w:rsidRPr="003C684F" w:rsidR="009730C1" w:rsidRDefault="009730C1" w14:paraId="3B547109" w14:textId="77777777">
      <w:pPr>
        <w:spacing w:line="360" w:lineRule="auto"/>
        <w:ind w:firstLine="883" w:firstLineChars="200"/>
        <w:jc w:val="center"/>
        <w:rPr>
          <w:rFonts w:ascii="宋体" w:hAnsi="宋体" w:cs="宋体"/>
          <w:b/>
          <w:bCs/>
          <w:sz w:val="44"/>
          <w:szCs w:val="44"/>
        </w:rPr>
      </w:pPr>
    </w:p>
    <w:p w:rsidRPr="003C684F" w:rsidR="009730C1" w:rsidRDefault="00A315B9" w14:paraId="318131E0" w14:textId="77777777">
      <w:pPr>
        <w:spacing w:line="360" w:lineRule="auto"/>
        <w:ind w:firstLine="883" w:firstLineChars="200"/>
        <w:jc w:val="center"/>
        <w:rPr>
          <w:rFonts w:ascii="宋体" w:cs="Times New Roman"/>
          <w:b/>
          <w:bCs/>
          <w:sz w:val="44"/>
          <w:szCs w:val="44"/>
        </w:rPr>
      </w:pPr>
      <w:r w:rsidRPr="003C684F">
        <w:rPr>
          <w:rFonts w:hint="eastAsia" w:ascii="宋体" w:hAnsi="宋体" w:cs="宋体"/>
          <w:b/>
          <w:bCs/>
          <w:sz w:val="44"/>
          <w:szCs w:val="44"/>
        </w:rPr>
        <w:t>呼吸系统肿瘤用药</w:t>
      </w:r>
    </w:p>
    <w:p w:rsidRPr="003C684F" w:rsidR="009730C1" w:rsidRDefault="009730C1" w14:paraId="44631C6A" w14:textId="77777777">
      <w:pPr>
        <w:spacing w:line="360" w:lineRule="auto"/>
        <w:ind w:firstLine="883" w:firstLineChars="200"/>
        <w:jc w:val="center"/>
        <w:rPr>
          <w:rFonts w:ascii="宋体" w:cs="Times New Roman"/>
          <w:b/>
          <w:bCs/>
          <w:sz w:val="44"/>
          <w:szCs w:val="44"/>
        </w:rPr>
      </w:pPr>
    </w:p>
    <w:p w:rsidRPr="003C684F" w:rsidR="009730C1" w:rsidP="0037660B" w:rsidRDefault="00A315B9" w14:paraId="2945F7A2" w14:textId="77777777">
      <w:pPr>
        <w:spacing w:line="360" w:lineRule="auto"/>
        <w:ind w:firstLine="640" w:firstLineChars="200"/>
        <w:jc w:val="left"/>
        <w:outlineLvl w:val="0"/>
        <w:rPr>
          <w:rFonts w:ascii="黑体" w:hAnsi="黑体" w:eastAsia="黑体" w:cs="Times New Roman"/>
          <w:sz w:val="32"/>
          <w:szCs w:val="32"/>
        </w:rPr>
      </w:pPr>
      <w:r w:rsidRPr="003C684F">
        <w:rPr>
          <w:rFonts w:hint="eastAsia" w:ascii="黑体" w:hAnsi="黑体" w:eastAsia="黑体" w:cs="黑体"/>
          <w:sz w:val="32"/>
          <w:szCs w:val="32"/>
        </w:rPr>
        <w:t>一、吉非替尼 G</w:t>
      </w:r>
      <w:r w:rsidRPr="003C684F">
        <w:rPr>
          <w:rFonts w:ascii="黑体" w:hAnsi="黑体" w:eastAsia="黑体" w:cs="黑体"/>
          <w:sz w:val="32"/>
          <w:szCs w:val="32"/>
        </w:rPr>
        <w:t>efitinib</w:t>
      </w:r>
    </w:p>
    <w:p w:rsidRPr="003C684F" w:rsidR="009730C1" w:rsidRDefault="00A315B9" w14:paraId="7C39D59E"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250mg</w:t>
      </w:r>
    </w:p>
    <w:p w:rsidRPr="003C684F" w:rsidR="009730C1" w:rsidRDefault="00A315B9" w14:paraId="51C51172"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表皮生长因子受体（</w:t>
      </w:r>
      <w:r w:rsidRPr="003C684F">
        <w:rPr>
          <w:rFonts w:ascii="仿宋" w:hAnsi="仿宋" w:eastAsia="仿宋" w:cs="仿宋"/>
          <w:sz w:val="32"/>
          <w:szCs w:val="32"/>
        </w:rPr>
        <w:t>EGFR</w:t>
      </w:r>
      <w:r w:rsidRPr="003C684F">
        <w:rPr>
          <w:rFonts w:hint="eastAsia" w:ascii="仿宋" w:hAnsi="仿宋" w:eastAsia="仿宋" w:cs="仿宋"/>
          <w:sz w:val="32"/>
          <w:szCs w:val="32"/>
        </w:rPr>
        <w:t>）基因具有敏感突变的局部晚期或转移性非小细胞肺癌（</w:t>
      </w:r>
      <w:r w:rsidRPr="003C684F">
        <w:rPr>
          <w:rFonts w:ascii="仿宋" w:hAnsi="仿宋" w:eastAsia="仿宋" w:cs="仿宋"/>
          <w:sz w:val="32"/>
          <w:szCs w:val="32"/>
        </w:rPr>
        <w:t>NSCLC</w:t>
      </w:r>
      <w:r w:rsidRPr="003C684F">
        <w:rPr>
          <w:rFonts w:hint="eastAsia" w:ascii="仿宋" w:hAnsi="仿宋" w:eastAsia="仿宋" w:cs="仿宋"/>
          <w:sz w:val="32"/>
          <w:szCs w:val="32"/>
        </w:rPr>
        <w:t>）。</w:t>
      </w:r>
    </w:p>
    <w:p w:rsidRPr="003C684F" w:rsidR="009730C1" w:rsidRDefault="00A315B9" w14:paraId="103B36C8"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4AB14D81" w14:textId="6D31D304">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w:t>
      </w:r>
      <w:r w:rsidRPr="003C684F">
        <w:rPr>
          <w:rFonts w:ascii="仿宋" w:hAnsi="仿宋" w:eastAsia="仿宋" w:cs="仿宋"/>
          <w:sz w:val="32"/>
          <w:szCs w:val="32"/>
        </w:rPr>
        <w:t>EGFR</w:t>
      </w:r>
      <w:r w:rsidRPr="003C684F">
        <w:rPr>
          <w:rFonts w:hint="eastAsia" w:ascii="仿宋" w:hAnsi="仿宋" w:eastAsia="仿宋" w:cs="仿宋"/>
          <w:sz w:val="32"/>
          <w:szCs w:val="32"/>
        </w:rPr>
        <w:t>基因检测方法检测到的</w:t>
      </w:r>
      <w:r w:rsidRPr="003C684F">
        <w:rPr>
          <w:rFonts w:ascii="仿宋" w:hAnsi="仿宋" w:eastAsia="仿宋" w:cs="仿宋"/>
          <w:sz w:val="32"/>
          <w:szCs w:val="32"/>
        </w:rPr>
        <w:t>EGFR</w:t>
      </w:r>
      <w:r w:rsidRPr="003C684F">
        <w:rPr>
          <w:rFonts w:hint="eastAsia" w:ascii="仿宋" w:hAnsi="仿宋" w:eastAsia="仿宋" w:cs="仿宋"/>
          <w:sz w:val="32"/>
          <w:szCs w:val="32"/>
        </w:rPr>
        <w:t>敏感突变。</w:t>
      </w:r>
    </w:p>
    <w:p w:rsidRPr="003C684F" w:rsidR="009730C1" w:rsidRDefault="00A315B9" w14:paraId="0EF72635" w14:textId="4B133BE9">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2.肿瘤组织和血液均可用于EGFR基因突变检测，但组织检测优先。</w:t>
      </w:r>
      <w:r w:rsidRPr="003C684F" w:rsidR="00AC0782">
        <w:rPr>
          <w:rFonts w:hint="eastAsia" w:ascii="仿宋" w:hAnsi="仿宋" w:eastAsia="仿宋" w:cs="仿宋"/>
          <w:sz w:val="32"/>
          <w:szCs w:val="32"/>
        </w:rPr>
        <w:t>本</w:t>
      </w:r>
      <w:r w:rsidRPr="003C684F">
        <w:rPr>
          <w:rFonts w:hint="eastAsia" w:ascii="仿宋" w:hAnsi="仿宋" w:eastAsia="仿宋" w:cs="仿宋"/>
          <w:sz w:val="32"/>
          <w:szCs w:val="32"/>
        </w:rPr>
        <w:t>标准也适用于其他</w:t>
      </w:r>
      <w:r w:rsidRPr="003C684F" w:rsidR="00FE2A44">
        <w:rPr>
          <w:rFonts w:ascii="仿宋" w:hAnsi="仿宋" w:eastAsia="仿宋" w:cs="仿宋"/>
          <w:sz w:val="32"/>
          <w:szCs w:val="32"/>
        </w:rPr>
        <w:t>EGFR</w:t>
      </w:r>
      <w:r w:rsidRPr="003C684F">
        <w:rPr>
          <w:rFonts w:hint="eastAsia" w:ascii="仿宋" w:hAnsi="仿宋" w:eastAsia="仿宋" w:cs="仿宋"/>
          <w:sz w:val="32"/>
          <w:szCs w:val="32"/>
        </w:rPr>
        <w:t>酪氨酸激酶抑制剂</w:t>
      </w:r>
      <w:r w:rsidRPr="003C684F">
        <w:rPr>
          <w:rFonts w:hint="eastAsia" w:ascii="仿宋" w:hAnsi="仿宋" w:eastAsia="仿宋" w:cs="Times New Roman"/>
          <w:sz w:val="32"/>
          <w:szCs w:val="32"/>
        </w:rPr>
        <w:t>。</w:t>
      </w:r>
    </w:p>
    <w:p w:rsidRPr="003C684F" w:rsidR="00080269" w:rsidP="00080269" w:rsidRDefault="00080269" w14:paraId="4C3E02B8" w14:textId="354C30AE">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3.吉非替尼单药的推荐剂量为250mg/次，每天一次，口服，空腹或与食物同服，直至疾病进展或出现不能耐受的毒性。如果漏服本品一次，应在患者记起后尽快服用。</w:t>
      </w:r>
    </w:p>
    <w:p w:rsidRPr="003C684F" w:rsidR="009730C1" w:rsidRDefault="00080269" w14:paraId="3A8178A6" w14:textId="6B719EA2">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治疗期间因药物毒性不可耐受时，可在同一代药物之间替换，如疾病进展则不能在同一代药物之间替换。</w:t>
      </w:r>
    </w:p>
    <w:p w:rsidRPr="003C684F" w:rsidR="009730C1" w:rsidRDefault="00080269" w14:paraId="13FE5764" w14:textId="7FEAC62B">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治疗过程中影像学显示缓慢进展但临床症状未发生恶化的患者，可以继续使用原药物；显示寡进展或中枢神经系统进展患者，可以继续使用原药物加局部治疗；对于广泛</w:t>
      </w:r>
      <w:r w:rsidRPr="003C684F" w:rsidR="00A315B9">
        <w:rPr>
          <w:rFonts w:hint="eastAsia" w:ascii="仿宋" w:hAnsi="仿宋" w:eastAsia="仿宋" w:cs="仿宋"/>
          <w:sz w:val="32"/>
          <w:szCs w:val="32"/>
        </w:rPr>
        <w:lastRenderedPageBreak/>
        <w:t>进展的患者，建议改换为其他治疗方案。本条标准也适用于其他</w:t>
      </w:r>
      <w:r w:rsidRPr="003C684F" w:rsidR="00695347">
        <w:rPr>
          <w:rFonts w:ascii="仿宋" w:hAnsi="仿宋" w:eastAsia="仿宋" w:cs="仿宋"/>
          <w:sz w:val="32"/>
          <w:szCs w:val="32"/>
        </w:rPr>
        <w:t>EGFR</w:t>
      </w:r>
      <w:r w:rsidRPr="003C684F" w:rsidR="00A315B9">
        <w:rPr>
          <w:rFonts w:hint="eastAsia" w:ascii="仿宋" w:hAnsi="仿宋" w:eastAsia="仿宋" w:cs="仿宋"/>
          <w:sz w:val="32"/>
          <w:szCs w:val="32"/>
        </w:rPr>
        <w:t>酪氨酸激酶抑制剂。</w:t>
      </w:r>
    </w:p>
    <w:p w:rsidRPr="003C684F" w:rsidR="009730C1" w:rsidRDefault="00080269" w14:paraId="1F6B5E10" w14:textId="50395B4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用药期间必须注意常见的皮肤黏膜反应和腹泻；应特别注意间质性肺炎、肝脏毒性和眼部症状的发生。</w:t>
      </w:r>
    </w:p>
    <w:p w:rsidRPr="003C684F" w:rsidR="009730C1" w:rsidRDefault="00080269" w14:paraId="75045145" w14:textId="4714BF3B">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7</w:t>
      </w:r>
      <w:r w:rsidRPr="003C684F" w:rsidR="00A315B9">
        <w:rPr>
          <w:rFonts w:hint="eastAsia" w:ascii="仿宋" w:hAnsi="仿宋" w:eastAsia="仿宋" w:cs="仿宋"/>
          <w:sz w:val="32"/>
          <w:szCs w:val="32"/>
        </w:rPr>
        <w:t>.如确诊药物相关性间质性肺炎，建议</w:t>
      </w:r>
      <w:r w:rsidRPr="003C684F" w:rsidR="00C57B32">
        <w:rPr>
          <w:rFonts w:hint="eastAsia" w:ascii="仿宋" w:hAnsi="仿宋" w:eastAsia="仿宋" w:cs="仿宋"/>
          <w:sz w:val="32"/>
          <w:szCs w:val="32"/>
        </w:rPr>
        <w:t>永久停用</w:t>
      </w:r>
      <w:r w:rsidRPr="003C684F" w:rsidR="00A315B9">
        <w:rPr>
          <w:rFonts w:hint="eastAsia" w:ascii="仿宋" w:hAnsi="仿宋" w:eastAsia="仿宋" w:cs="仿宋"/>
          <w:sz w:val="32"/>
          <w:szCs w:val="32"/>
        </w:rPr>
        <w:t>。</w:t>
      </w:r>
      <w:bookmarkStart w:name="OLE_LINK2" w:id="1"/>
      <w:r w:rsidRPr="003C684F" w:rsidR="00A315B9">
        <w:rPr>
          <w:rFonts w:hint="eastAsia" w:ascii="仿宋" w:hAnsi="仿宋" w:eastAsia="仿宋" w:cs="仿宋"/>
          <w:sz w:val="32"/>
          <w:szCs w:val="32"/>
        </w:rPr>
        <w:t>本条标准也适用于其他EGFR酪氨酸激酶抑制剂。</w:t>
      </w:r>
    </w:p>
    <w:bookmarkEnd w:id="1"/>
    <w:p w:rsidRPr="003C684F" w:rsidR="009730C1" w:rsidRDefault="00080269" w14:paraId="41AEAC84" w14:textId="6CC157A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8</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药物相互作用剂量调整：（1）CYP3A4强效诱导剂：如果未出现重度药物不良反应，吉非替尼日剂量可增加至500mg，中断CYP3A4</w:t>
      </w:r>
      <w:r w:rsidRPr="003C684F" w:rsidR="0029486A">
        <w:rPr>
          <w:rFonts w:hint="eastAsia" w:ascii="仿宋" w:hAnsi="仿宋" w:eastAsia="仿宋" w:cs="仿宋"/>
          <w:sz w:val="32"/>
          <w:szCs w:val="32"/>
        </w:rPr>
        <w:t>强效</w:t>
      </w:r>
      <w:r w:rsidRPr="003C684F" w:rsidR="00A315B9">
        <w:rPr>
          <w:rFonts w:hint="eastAsia" w:ascii="仿宋" w:hAnsi="仿宋" w:eastAsia="仿宋" w:cs="仿宋"/>
          <w:sz w:val="32"/>
          <w:szCs w:val="32"/>
        </w:rPr>
        <w:t>诱导剂给药后7天，重新开始吉非替尼250mg给药。（2）CYP3A4抑制剂：CYP3A4</w:t>
      </w:r>
      <w:r w:rsidRPr="003C684F" w:rsidR="00391D3E">
        <w:rPr>
          <w:rFonts w:hint="eastAsia" w:ascii="仿宋" w:hAnsi="仿宋" w:eastAsia="仿宋" w:cs="仿宋"/>
          <w:sz w:val="32"/>
          <w:szCs w:val="32"/>
        </w:rPr>
        <w:t>强效</w:t>
      </w:r>
      <w:r w:rsidRPr="003C684F" w:rsidR="00A315B9">
        <w:rPr>
          <w:rFonts w:hint="eastAsia" w:ascii="仿宋" w:hAnsi="仿宋" w:eastAsia="仿宋" w:cs="仿宋"/>
          <w:sz w:val="32"/>
          <w:szCs w:val="32"/>
        </w:rPr>
        <w:t>抑制剂能降低吉非替尼代谢，增加其血浆浓度。吉非替尼与CYP3A4</w:t>
      </w:r>
      <w:r w:rsidRPr="003C684F" w:rsidR="00391D3E">
        <w:rPr>
          <w:rFonts w:hint="eastAsia" w:ascii="仿宋" w:hAnsi="仿宋" w:eastAsia="仿宋" w:cs="仿宋"/>
          <w:sz w:val="32"/>
          <w:szCs w:val="32"/>
        </w:rPr>
        <w:t>强效</w:t>
      </w:r>
      <w:r w:rsidRPr="003C684F" w:rsidR="00A315B9">
        <w:rPr>
          <w:rFonts w:hint="eastAsia" w:ascii="仿宋" w:hAnsi="仿宋" w:eastAsia="仿宋" w:cs="仿宋"/>
          <w:sz w:val="32"/>
          <w:szCs w:val="32"/>
        </w:rPr>
        <w:t>抑制剂</w:t>
      </w:r>
      <w:r w:rsidRPr="003C684F" w:rsidR="00DE313C">
        <w:rPr>
          <w:rFonts w:hint="eastAsia" w:ascii="仿宋" w:hAnsi="仿宋" w:eastAsia="仿宋" w:cs="仿宋"/>
          <w:sz w:val="32"/>
          <w:szCs w:val="32"/>
        </w:rPr>
        <w:t>联合使用</w:t>
      </w:r>
      <w:r w:rsidRPr="003C684F" w:rsidR="00A315B9">
        <w:rPr>
          <w:rFonts w:hint="eastAsia" w:ascii="仿宋" w:hAnsi="仿宋" w:eastAsia="仿宋" w:cs="仿宋"/>
          <w:sz w:val="32"/>
          <w:szCs w:val="32"/>
        </w:rPr>
        <w:t>时，应监测不良反应。</w:t>
      </w:r>
    </w:p>
    <w:p w:rsidRPr="003C684F" w:rsidR="009730C1" w:rsidRDefault="00A315B9" w14:paraId="651D25E2" w14:textId="3C7EEA9E">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sidR="00080269">
        <w:rPr>
          <w:rFonts w:hint="eastAsia" w:ascii="仿宋" w:hAnsi="仿宋" w:eastAsia="仿宋" w:cs="仿宋"/>
          <w:sz w:val="32"/>
          <w:szCs w:val="32"/>
        </w:rPr>
        <w:t>9</w:t>
      </w:r>
      <w:r w:rsidRPr="003C684F">
        <w:rPr>
          <w:rFonts w:ascii="仿宋" w:hAnsi="仿宋" w:eastAsia="仿宋" w:cs="仿宋"/>
          <w:sz w:val="32"/>
          <w:szCs w:val="32"/>
        </w:rPr>
        <w:t>.</w:t>
      </w:r>
      <w:r w:rsidRPr="003C684F">
        <w:rPr>
          <w:rFonts w:hint="eastAsia" w:ascii="仿宋" w:hAnsi="仿宋" w:eastAsia="仿宋" w:cs="仿宋"/>
          <w:sz w:val="32"/>
          <w:szCs w:val="32"/>
        </w:rPr>
        <w:t>在某些肿瘤急症的情况下如脑转移昏迷或呼吸衰竭，在充分知情的情况下，对不吸烟的肺腺癌患者，可考虑在驱动基因不明的情况下尽快用药。一旦病情缓解，必须补充进行</w:t>
      </w:r>
      <w:r w:rsidRPr="003C684F">
        <w:rPr>
          <w:rFonts w:ascii="仿宋" w:hAnsi="仿宋" w:eastAsia="仿宋" w:cs="仿宋"/>
          <w:sz w:val="32"/>
          <w:szCs w:val="32"/>
        </w:rPr>
        <w:t>EGFR</w:t>
      </w:r>
      <w:r w:rsidRPr="003C684F" w:rsidR="00AC0782">
        <w:rPr>
          <w:rFonts w:hint="eastAsia" w:ascii="仿宋" w:hAnsi="仿宋" w:eastAsia="仿宋" w:cs="仿宋"/>
          <w:sz w:val="32"/>
          <w:szCs w:val="32"/>
        </w:rPr>
        <w:t>突变的组织或血液检测。本</w:t>
      </w:r>
      <w:r w:rsidRPr="003C684F">
        <w:rPr>
          <w:rFonts w:hint="eastAsia" w:ascii="仿宋" w:hAnsi="仿宋" w:eastAsia="仿宋" w:cs="仿宋"/>
          <w:sz w:val="32"/>
          <w:szCs w:val="32"/>
        </w:rPr>
        <w:t>标准也适用于其他EGFR酪氨酸激酶抑制剂。</w:t>
      </w:r>
    </w:p>
    <w:p w:rsidRPr="003C684F" w:rsidR="009730C1" w:rsidRDefault="00A315B9" w14:paraId="2A433874" w14:textId="77777777">
      <w:pPr>
        <w:spacing w:line="360" w:lineRule="auto"/>
        <w:ind w:firstLine="640" w:firstLineChars="200"/>
        <w:rPr>
          <w:rFonts w:ascii="黑体" w:hAnsi="黑体" w:eastAsia="黑体" w:cs="Times New Roman"/>
          <w:color w:val="000000"/>
          <w:sz w:val="32"/>
          <w:szCs w:val="32"/>
        </w:rPr>
      </w:pPr>
      <w:r w:rsidRPr="003C684F">
        <w:rPr>
          <w:rFonts w:hint="eastAsia" w:ascii="黑体" w:hAnsi="黑体" w:eastAsia="黑体" w:cs="黑体"/>
          <w:sz w:val="32"/>
          <w:szCs w:val="32"/>
        </w:rPr>
        <w:t>二、厄洛替尼 E</w:t>
      </w:r>
      <w:r w:rsidRPr="003C684F">
        <w:rPr>
          <w:rFonts w:ascii="黑体" w:hAnsi="黑体" w:eastAsia="黑体" w:cs="黑体"/>
          <w:sz w:val="32"/>
          <w:szCs w:val="32"/>
        </w:rPr>
        <w:t>rlotinib</w:t>
      </w:r>
    </w:p>
    <w:p w:rsidRPr="003C684F" w:rsidR="009730C1" w:rsidRDefault="00A315B9" w14:paraId="6FD97C7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1</w:t>
      </w:r>
      <w:r w:rsidRPr="003C684F">
        <w:rPr>
          <w:rFonts w:hint="eastAsia" w:ascii="仿宋" w:hAnsi="仿宋" w:eastAsia="仿宋" w:cs="仿宋"/>
          <w:sz w:val="32"/>
          <w:szCs w:val="32"/>
        </w:rPr>
        <w:t>0</w:t>
      </w:r>
      <w:r w:rsidRPr="003C684F">
        <w:rPr>
          <w:rFonts w:ascii="仿宋" w:hAnsi="仿宋" w:eastAsia="仿宋" w:cs="仿宋"/>
          <w:sz w:val="32"/>
          <w:szCs w:val="32"/>
        </w:rPr>
        <w:t>0mg</w:t>
      </w:r>
      <w:r w:rsidRPr="003C684F">
        <w:rPr>
          <w:rFonts w:hint="eastAsia" w:ascii="仿宋" w:hAnsi="仿宋" w:eastAsia="仿宋" w:cs="仿宋"/>
          <w:sz w:val="32"/>
          <w:szCs w:val="32"/>
        </w:rPr>
        <w:t>、</w:t>
      </w:r>
      <w:r w:rsidRPr="003C684F">
        <w:rPr>
          <w:rFonts w:ascii="仿宋" w:hAnsi="仿宋" w:eastAsia="仿宋" w:cs="仿宋"/>
          <w:sz w:val="32"/>
          <w:szCs w:val="32"/>
        </w:rPr>
        <w:t>150mg</w:t>
      </w:r>
    </w:p>
    <w:p w:rsidRPr="003C684F" w:rsidR="009730C1" w:rsidP="00AB4C69" w:rsidRDefault="00AB4C69" w14:paraId="05883E78" w14:textId="7C285BE7">
      <w:pPr>
        <w:spacing w:line="360" w:lineRule="auto"/>
        <w:ind w:firstLine="640" w:firstLineChars="200"/>
        <w:rPr>
          <w:rFonts w:ascii="仿宋" w:hAnsi="仿宋" w:eastAsia="仿宋" w:cs="仿宋"/>
          <w:sz w:val="32"/>
          <w:szCs w:val="32"/>
        </w:rPr>
      </w:pPr>
      <w:r w:rsidRPr="003C684F">
        <w:rPr>
          <w:rFonts w:ascii="仿宋" w:hAnsi="仿宋" w:eastAsia="仿宋" w:cs="Times New Roman"/>
          <w:noProof/>
          <w:sz w:val="32"/>
          <w:szCs w:val="32"/>
        </w:rPr>
        <mc:AlternateContent>
          <mc:Choice Requires="wps">
            <w:drawing>
              <wp:anchor distT="45720" distB="45720" distL="114300" distR="114300" simplePos="0" relativeHeight="251659264" behindDoc="0" locked="0" layoutInCell="1" allowOverlap="1" wp14:editId="04EF772C" wp14:anchorId="3CC59FF0">
                <wp:simplePos x="0" y="0"/>
                <wp:positionH relativeFrom="column">
                  <wp:posOffset>257810</wp:posOffset>
                </wp:positionH>
                <wp:positionV relativeFrom="paragraph">
                  <wp:posOffset>997585</wp:posOffset>
                </wp:positionV>
                <wp:extent cx="4785360" cy="490855"/>
                <wp:effectExtent l="0" t="0" r="15240" b="24130"/>
                <wp:wrapSquare wrapText="bothSides"/>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490855"/>
                        </a:xfrm>
                        <a:prstGeom prst="rect">
                          <a:avLst/>
                        </a:prstGeom>
                        <a:solidFill>
                          <a:srgbClr val="FFFFFF"/>
                        </a:solidFill>
                        <a:ln w="3175">
                          <a:solidFill>
                            <a:srgbClr val="FFFFFF"/>
                          </a:solidFill>
                          <a:miter lim="800000"/>
                          <a:headEnd/>
                          <a:tailEnd/>
                        </a:ln>
                      </wps:spPr>
                      <wps:txbx>
                        <w:txbxContent>
                          <w:p w:rsidR="00C46BD8" w:rsidRDefault="00C46BD8" w14:paraId="768C562F" w14:textId="77777777">
                            <w:pPr>
                              <w:rPr>
                                <w:sz w:val="16"/>
                                <w:szCs w:val="16"/>
                              </w:rPr>
                            </w:pPr>
                            <w:r w:rsidRPr="00E0321F">
                              <w:rPr>
                                <w:noProof/>
                                <w:sz w:val="16"/>
                                <w:szCs w:val="16"/>
                              </w:rPr>
                              <w:drawing>
                                <wp:inline distT="0" distB="0" distL="0" distR="0" wp14:anchorId="62801C35" wp14:editId="20FDFDA4">
                                  <wp:extent cx="4659923" cy="45719"/>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0" cstate="print"/>
                                          <a:srcRect/>
                                          <a:stretch>
                                            <a:fillRect/>
                                          </a:stretch>
                                        </pic:blipFill>
                                        <pic:spPr>
                                          <a:xfrm>
                                            <a:off x="0" y="0"/>
                                            <a:ext cx="4660863" cy="45728"/>
                                          </a:xfrm>
                                          <a:prstGeom prst="rect">
                                            <a:avLst/>
                                          </a:prstGeom>
                                          <a:ln>
                                            <a:noFill/>
                                          </a:ln>
                                        </pic:spPr>
                                      </pic:pic>
                                    </a:graphicData>
                                  </a:graphic>
                                </wp:inline>
                              </w:drawing>
                            </w:r>
                          </w:p>
                          <w:p w:rsidR="00C46BD8" w:rsidRDefault="00C46BD8" w14:paraId="00D34B14" w14:textId="77777777">
                            <w:pPr>
                              <w:rPr>
                                <w:sz w:val="16"/>
                                <w:szCs w:val="16"/>
                              </w:rPr>
                            </w:pPr>
                            <w:r>
                              <w:rPr>
                                <w:rFonts w:hint="eastAsia"/>
                                <w:sz w:val="15"/>
                                <w:szCs w:val="15"/>
                              </w:rPr>
                              <w:t>本指导原则“合理用药要点”带</w:t>
                            </w:r>
                            <w:r>
                              <w:rPr>
                                <w:rFonts w:hint="eastAsia"/>
                                <w:b/>
                                <w:sz w:val="15"/>
                                <w:szCs w:val="15"/>
                                <w:vertAlign w:val="superscript"/>
                              </w:rPr>
                              <w:t>※</w:t>
                            </w:r>
                            <w:r>
                              <w:rPr>
                                <w:rFonts w:hint="eastAsia"/>
                                <w:sz w:val="15"/>
                                <w:szCs w:val="15"/>
                              </w:rPr>
                              <w:t>部分为特殊情况下增加适应证用药专家共识。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1027" style="position:absolute;left:0;text-align:left;margin-left:20.3pt;margin-top:78.55pt;width:376.8pt;height:38.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spid="_x0000_s1026" strokecolor="white"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">
                <v:textbox style="mso-fit-shape-to-text:t">
                  <w:txbxContent>
                    <w:p w:rsidR="00C46BD8" w:rsidRDefault="00C46BD8" w14:paraId="768C562F" w14:textId="77777777">
                      <w:pPr>
                        <w:rPr>
                          <w:sz w:val="16"/>
                          <w:szCs w:val="16"/>
                        </w:rPr>
                      </w:pPr>
                      <w:r w:rsidRPr="00E0321F">
                        <w:rPr>
                          <w:noProof/>
                          <w:sz w:val="16"/>
                          <w:szCs w:val="16"/>
                        </w:rPr>
                        <w:drawing>
                          <wp:inline distT="0" distB="0" distL="0" distR="0" wp14:anchorId="62801C35" wp14:editId="20FDFDA4">
                            <wp:extent cx="4659923" cy="45719"/>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0" cstate="print"/>
                                    <a:srcRect/>
                                    <a:stretch>
                                      <a:fillRect/>
                                    </a:stretch>
                                  </pic:blipFill>
                                  <pic:spPr>
                                    <a:xfrm>
                                      <a:off x="0" y="0"/>
                                      <a:ext cx="4660863" cy="45728"/>
                                    </a:xfrm>
                                    <a:prstGeom prst="rect">
                                      <a:avLst/>
                                    </a:prstGeom>
                                    <a:ln>
                                      <a:noFill/>
                                    </a:ln>
                                  </pic:spPr>
                                </pic:pic>
                              </a:graphicData>
                            </a:graphic>
                          </wp:inline>
                        </w:drawing>
                      </w:r>
                    </w:p>
                    <w:p w:rsidR="00C46BD8" w:rsidRDefault="00C46BD8" w14:paraId="00D34B14" w14:textId="77777777">
                      <w:pPr>
                        <w:rPr>
                          <w:sz w:val="16"/>
                          <w:szCs w:val="16"/>
                        </w:rPr>
                      </w:pPr>
                      <w:r>
                        <w:rPr>
                          <w:rFonts w:hint="eastAsia"/>
                          <w:sz w:val="15"/>
                          <w:szCs w:val="15"/>
                        </w:rPr>
                        <w:t>本指导原则“合理用药要点”带</w:t>
                      </w:r>
                      <w:r>
                        <w:rPr>
                          <w:rFonts w:hint="eastAsia"/>
                          <w:b/>
                          <w:sz w:val="15"/>
                          <w:szCs w:val="15"/>
                          <w:vertAlign w:val="superscript"/>
                        </w:rPr>
                        <w:t>※</w:t>
                      </w:r>
                      <w:r>
                        <w:rPr>
                          <w:rFonts w:hint="eastAsia"/>
                          <w:sz w:val="15"/>
                          <w:szCs w:val="15"/>
                        </w:rPr>
                        <w:t>部分为特殊情况下增加适应证用药专家共识。</w:t>
                      </w:r>
                    </w:p>
                  </w:txbxContent>
                </v:textbox>
                <w10:wrap type="square"/>
              </v:shape>
            </w:pict>
          </mc:Fallback>
        </mc:AlternateContent>
      </w:r>
      <w:r w:rsidRPr="003C684F" w:rsidR="00A315B9">
        <w:rPr>
          <w:rFonts w:hint="eastAsia" w:ascii="仿宋" w:hAnsi="仿宋" w:eastAsia="仿宋" w:cs="仿宋"/>
          <w:b/>
          <w:bCs/>
          <w:sz w:val="32"/>
          <w:szCs w:val="32"/>
        </w:rPr>
        <w:t>适应证：</w:t>
      </w:r>
      <w:r w:rsidRPr="003C684F" w:rsidR="00A315B9">
        <w:rPr>
          <w:rFonts w:ascii="仿宋" w:hAnsi="仿宋" w:eastAsia="仿宋" w:cs="仿宋"/>
          <w:sz w:val="32"/>
          <w:szCs w:val="32"/>
        </w:rPr>
        <w:t>EGFR</w:t>
      </w:r>
      <w:r w:rsidRPr="003C684F" w:rsidR="00A315B9">
        <w:rPr>
          <w:rFonts w:hint="eastAsia" w:ascii="仿宋" w:hAnsi="仿宋" w:eastAsia="仿宋" w:cs="仿宋"/>
          <w:sz w:val="32"/>
          <w:szCs w:val="32"/>
        </w:rPr>
        <w:t>基因具有敏感突变的局部晚期或转移性</w:t>
      </w:r>
      <w:r w:rsidRPr="003C684F" w:rsidR="00A315B9">
        <w:rPr>
          <w:rFonts w:ascii="仿宋" w:hAnsi="仿宋" w:eastAsia="仿宋" w:cs="仿宋"/>
          <w:sz w:val="32"/>
          <w:szCs w:val="32"/>
        </w:rPr>
        <w:t>NSCLC</w:t>
      </w:r>
      <w:r w:rsidRPr="003C684F" w:rsidR="00A315B9">
        <w:rPr>
          <w:rFonts w:hint="eastAsia" w:ascii="仿宋" w:hAnsi="仿宋" w:eastAsia="仿宋" w:cs="仿宋"/>
          <w:sz w:val="32"/>
          <w:szCs w:val="32"/>
        </w:rPr>
        <w:t>。</w:t>
      </w:r>
    </w:p>
    <w:p w:rsidRPr="003C684F" w:rsidR="009730C1" w:rsidRDefault="00A315B9" w14:paraId="5F17F1C0"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lastRenderedPageBreak/>
        <w:t>合理用药要点：</w:t>
      </w:r>
    </w:p>
    <w:p w:rsidRPr="003C684F" w:rsidR="009730C1" w:rsidRDefault="00A315B9" w14:paraId="34A237C1"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用药前必须明确有经国家药品监督管理局批准的EGFR基因检测方法检测到的EGFR敏感突变。</w:t>
      </w:r>
    </w:p>
    <w:p w:rsidRPr="003C684F" w:rsidR="009730C1" w:rsidRDefault="00A315B9" w14:paraId="4E41BB42"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有脑转移的</w:t>
      </w:r>
      <w:r w:rsidRPr="003C684F">
        <w:rPr>
          <w:rFonts w:ascii="仿宋" w:hAnsi="仿宋" w:eastAsia="仿宋" w:cs="仿宋"/>
          <w:sz w:val="32"/>
          <w:szCs w:val="32"/>
        </w:rPr>
        <w:t>EGFR</w:t>
      </w:r>
      <w:r w:rsidRPr="003C684F">
        <w:rPr>
          <w:rFonts w:hint="eastAsia" w:ascii="仿宋" w:hAnsi="仿宋" w:eastAsia="仿宋" w:cs="仿宋"/>
          <w:sz w:val="32"/>
          <w:szCs w:val="32"/>
        </w:rPr>
        <w:t>基因突变的</w:t>
      </w:r>
      <w:r w:rsidRPr="003C684F">
        <w:rPr>
          <w:rFonts w:ascii="仿宋" w:hAnsi="仿宋" w:eastAsia="仿宋" w:cs="仿宋"/>
          <w:sz w:val="32"/>
          <w:szCs w:val="32"/>
        </w:rPr>
        <w:t>NSCLC</w:t>
      </w:r>
      <w:r w:rsidRPr="003C684F">
        <w:rPr>
          <w:rFonts w:hint="eastAsia" w:ascii="仿宋" w:hAnsi="仿宋" w:eastAsia="仿宋" w:cs="仿宋"/>
          <w:sz w:val="32"/>
          <w:szCs w:val="32"/>
        </w:rPr>
        <w:t>患者和21外显子L858R置换突变阳性晚期NSCLC患者，可选择厄洛替尼联合贝伐珠单抗治疗。</w:t>
      </w:r>
    </w:p>
    <w:p w:rsidRPr="003C684F" w:rsidR="009730C1" w:rsidRDefault="00A315B9" w14:paraId="4AB9AC24" w14:textId="27D340ED">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厄洛替尼单药用于NSCLC的推荐剂量为150mg/</w:t>
      </w:r>
      <w:r w:rsidRPr="003C684F" w:rsidR="00A60337">
        <w:rPr>
          <w:rFonts w:hint="eastAsia" w:ascii="仿宋" w:hAnsi="仿宋" w:eastAsia="仿宋" w:cs="仿宋"/>
          <w:sz w:val="32"/>
          <w:szCs w:val="32"/>
        </w:rPr>
        <w:t>次</w:t>
      </w:r>
      <w:r w:rsidRPr="003C684F">
        <w:rPr>
          <w:rFonts w:hint="eastAsia" w:ascii="仿宋" w:hAnsi="仿宋" w:eastAsia="仿宋" w:cs="仿宋"/>
          <w:sz w:val="32"/>
          <w:szCs w:val="32"/>
        </w:rPr>
        <w:t>，</w:t>
      </w:r>
      <w:r w:rsidRPr="003C684F" w:rsidR="00A60337">
        <w:rPr>
          <w:rFonts w:hint="eastAsia" w:ascii="仿宋" w:hAnsi="仿宋" w:eastAsia="仿宋" w:cs="仿宋"/>
          <w:sz w:val="32"/>
          <w:szCs w:val="32"/>
        </w:rPr>
        <w:t>每天一次，口服，</w:t>
      </w:r>
      <w:r w:rsidRPr="003C684F">
        <w:rPr>
          <w:rFonts w:hint="eastAsia" w:ascii="仿宋" w:hAnsi="仿宋" w:eastAsia="仿宋" w:cs="仿宋"/>
          <w:sz w:val="32"/>
          <w:szCs w:val="32"/>
        </w:rPr>
        <w:t>至少在饭前1小时或饭后2小时服用。</w:t>
      </w:r>
    </w:p>
    <w:p w:rsidRPr="003C684F" w:rsidR="009730C1" w:rsidRDefault="00A315B9" w14:paraId="500DC0C3" w14:textId="1A122EAC">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4.用药期间必须注意常见的皮肤黏膜反应和腹泻。应特别注意间质性肺炎、</w:t>
      </w:r>
      <w:r w:rsidRPr="003C684F" w:rsidR="0047380C">
        <w:rPr>
          <w:rFonts w:hint="eastAsia" w:ascii="仿宋" w:hAnsi="仿宋" w:eastAsia="仿宋" w:cs="仿宋"/>
          <w:sz w:val="32"/>
          <w:szCs w:val="32"/>
        </w:rPr>
        <w:t>肝功能损伤</w:t>
      </w:r>
      <w:r w:rsidRPr="003C684F">
        <w:rPr>
          <w:rFonts w:hint="eastAsia" w:ascii="仿宋" w:hAnsi="仿宋" w:eastAsia="仿宋" w:cs="仿宋"/>
          <w:sz w:val="32"/>
          <w:szCs w:val="32"/>
        </w:rPr>
        <w:t>和眼部症状的发生。</w:t>
      </w:r>
    </w:p>
    <w:p w:rsidRPr="003C684F" w:rsidR="009730C1" w:rsidRDefault="00A315B9" w14:paraId="3AA8D0F5" w14:textId="3BEE45F9">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.避免与CYP3A4</w:t>
      </w:r>
      <w:r w:rsidRPr="003C684F">
        <w:rPr>
          <w:rFonts w:hint="eastAsia" w:ascii="仿宋" w:hAnsi="仿宋" w:eastAsia="仿宋" w:cs="仿宋"/>
          <w:sz w:val="32"/>
          <w:szCs w:val="32"/>
        </w:rPr>
        <w:t>强效抑制剂或强效诱导剂联合使用</w:t>
      </w:r>
      <w:r w:rsidRPr="003C684F">
        <w:rPr>
          <w:rFonts w:hint="eastAsia" w:ascii="仿宋" w:hAnsi="仿宋" w:eastAsia="仿宋" w:cs="仿宋"/>
          <w:w w:val="99"/>
          <w:sz w:val="32"/>
          <w:szCs w:val="32"/>
        </w:rPr>
        <w:t>。避免厄洛替尼与能显著且持续升高胃液pH值的药物</w:t>
      </w:r>
      <w:r w:rsidRPr="003C684F" w:rsidR="00F92328">
        <w:rPr>
          <w:rFonts w:hint="eastAsia" w:ascii="仿宋" w:hAnsi="仿宋" w:eastAsia="仿宋" w:cs="仿宋"/>
          <w:w w:val="99"/>
          <w:sz w:val="32"/>
          <w:szCs w:val="32"/>
        </w:rPr>
        <w:t>联合使用</w:t>
      </w:r>
      <w:r w:rsidRPr="003C684F">
        <w:rPr>
          <w:rFonts w:hint="eastAsia" w:ascii="仿宋" w:hAnsi="仿宋" w:eastAsia="仿宋" w:cs="仿宋"/>
          <w:w w:val="99"/>
          <w:sz w:val="32"/>
          <w:szCs w:val="32"/>
        </w:rPr>
        <w:t>。</w:t>
      </w:r>
    </w:p>
    <w:p w:rsidRPr="003C684F" w:rsidR="009730C1" w:rsidRDefault="00A315B9" w14:paraId="796511DB"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Pr>
          <w:rFonts w:ascii="仿宋" w:hAnsi="仿宋" w:eastAsia="仿宋" w:cs="仿宋"/>
          <w:w w:val="99"/>
          <w:sz w:val="32"/>
          <w:szCs w:val="32"/>
        </w:rPr>
        <w:t>.</w:t>
      </w:r>
      <w:r w:rsidRPr="003C684F">
        <w:rPr>
          <w:rFonts w:hint="eastAsia" w:ascii="仿宋" w:hAnsi="仿宋" w:eastAsia="仿宋" w:cs="仿宋"/>
          <w:sz w:val="32"/>
          <w:szCs w:val="32"/>
        </w:rPr>
        <w:t>吸烟会导致厄洛替尼的暴露量降低，建议患者戒烟。</w:t>
      </w:r>
    </w:p>
    <w:p w:rsidRPr="003C684F" w:rsidR="009730C1" w:rsidRDefault="00A315B9" w14:paraId="356AEA02" w14:textId="053E786C">
      <w:pPr>
        <w:spacing w:line="360" w:lineRule="auto"/>
        <w:ind w:firstLine="643" w:firstLineChars="200"/>
        <w:rPr>
          <w:rFonts w:ascii="仿宋" w:hAnsi="仿宋" w:eastAsia="仿宋" w:cs="Times New Roman"/>
          <w:w w:val="97"/>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Times New Roman"/>
          <w:w w:val="97"/>
          <w:sz w:val="32"/>
          <w:szCs w:val="32"/>
        </w:rPr>
        <w:t>美国FDA</w:t>
      </w:r>
      <w:r w:rsidRPr="003C684F">
        <w:rPr>
          <w:rFonts w:ascii="仿宋" w:hAnsi="仿宋" w:eastAsia="仿宋" w:cs="Times New Roman"/>
          <w:w w:val="97"/>
          <w:sz w:val="32"/>
          <w:szCs w:val="32"/>
        </w:rPr>
        <w:t>批准</w:t>
      </w:r>
      <w:r w:rsidRPr="003C684F">
        <w:rPr>
          <w:rFonts w:hint="eastAsia" w:ascii="仿宋" w:hAnsi="仿宋" w:eastAsia="仿宋" w:cs="Times New Roman"/>
          <w:w w:val="97"/>
          <w:sz w:val="32"/>
          <w:szCs w:val="32"/>
        </w:rPr>
        <w:t>厄洛替尼与吉西他滨</w:t>
      </w:r>
      <w:r w:rsidRPr="003C684F" w:rsidR="00F92328">
        <w:rPr>
          <w:rFonts w:hint="eastAsia" w:ascii="仿宋" w:hAnsi="仿宋" w:eastAsia="仿宋" w:cs="Times New Roman"/>
          <w:w w:val="97"/>
          <w:sz w:val="32"/>
          <w:szCs w:val="32"/>
        </w:rPr>
        <w:t>联合使用</w:t>
      </w:r>
      <w:r w:rsidRPr="003C684F">
        <w:rPr>
          <w:rFonts w:hint="eastAsia" w:ascii="仿宋" w:hAnsi="仿宋" w:eastAsia="仿宋" w:cs="Times New Roman"/>
          <w:w w:val="97"/>
          <w:sz w:val="32"/>
          <w:szCs w:val="32"/>
        </w:rPr>
        <w:t>于局部晚期、无法切除或转移性胰腺癌的一线治疗，目前国内尚未获批此适应证，可在与患者充分沟通的情况下使用。用法为l00mg，每天一次</w:t>
      </w:r>
      <w:r w:rsidRPr="003C684F" w:rsidR="00E413C3">
        <w:rPr>
          <w:rFonts w:hint="eastAsia" w:ascii="仿宋" w:hAnsi="仿宋" w:eastAsia="仿宋" w:cs="Times New Roman"/>
          <w:w w:val="97"/>
          <w:sz w:val="32"/>
          <w:szCs w:val="32"/>
        </w:rPr>
        <w:t>,口服</w:t>
      </w:r>
      <w:r w:rsidRPr="003C684F">
        <w:rPr>
          <w:rFonts w:hint="eastAsia" w:ascii="仿宋" w:hAnsi="仿宋" w:eastAsia="仿宋" w:cs="Times New Roman"/>
          <w:w w:val="97"/>
          <w:sz w:val="32"/>
          <w:szCs w:val="32"/>
        </w:rPr>
        <w:t>。</w:t>
      </w:r>
    </w:p>
    <w:p w:rsidRPr="003C684F" w:rsidR="009730C1" w:rsidP="0037660B" w:rsidRDefault="00A315B9" w14:paraId="61A0147C" w14:textId="77777777">
      <w:pPr>
        <w:spacing w:line="360" w:lineRule="auto"/>
        <w:ind w:firstLine="640" w:firstLineChars="200"/>
        <w:outlineLvl w:val="0"/>
        <w:rPr>
          <w:rFonts w:ascii="仿宋" w:hAnsi="仿宋" w:eastAsia="仿宋" w:cs="Times New Roman"/>
          <w:sz w:val="32"/>
          <w:szCs w:val="32"/>
        </w:rPr>
      </w:pPr>
      <w:r w:rsidRPr="003C684F">
        <w:rPr>
          <w:rFonts w:hint="eastAsia" w:ascii="黑体" w:hAnsi="黑体" w:eastAsia="黑体" w:cs="黑体"/>
          <w:sz w:val="32"/>
          <w:szCs w:val="32"/>
        </w:rPr>
        <w:t>三、埃克替尼 I</w:t>
      </w:r>
      <w:r w:rsidRPr="003C684F">
        <w:rPr>
          <w:rFonts w:ascii="黑体" w:hAnsi="黑体" w:eastAsia="黑体" w:cs="黑体"/>
          <w:sz w:val="32"/>
          <w:szCs w:val="32"/>
        </w:rPr>
        <w:t>cotinib</w:t>
      </w:r>
    </w:p>
    <w:p w:rsidRPr="003C684F" w:rsidR="009730C1" w:rsidRDefault="00A315B9" w14:paraId="553EB70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125mg</w:t>
      </w:r>
    </w:p>
    <w:p w:rsidRPr="003C684F" w:rsidR="009730C1" w:rsidRDefault="00A315B9" w14:paraId="61FF9906" w14:textId="77777777">
      <w:pPr>
        <w:autoSpaceDE w:val="0"/>
        <w:autoSpaceDN w:val="0"/>
        <w:adjustRightInd w:val="0"/>
        <w:spacing w:line="360" w:lineRule="auto"/>
        <w:ind w:firstLine="643" w:firstLineChars="200"/>
        <w:jc w:val="left"/>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RDefault="00A315B9" w14:paraId="259E5818" w14:textId="77777777">
      <w:pPr>
        <w:autoSpaceDE w:val="0"/>
        <w:autoSpaceDN w:val="0"/>
        <w:adjustRightInd w:val="0"/>
        <w:spacing w:line="360" w:lineRule="auto"/>
        <w:ind w:firstLine="640" w:firstLineChars="200"/>
        <w:jc w:val="left"/>
        <w:rPr>
          <w:rFonts w:ascii="仿宋" w:hAnsi="仿宋" w:eastAsia="仿宋" w:cs="仿宋"/>
          <w:bCs/>
          <w:sz w:val="32"/>
          <w:szCs w:val="32"/>
        </w:rPr>
      </w:pPr>
      <w:r w:rsidRPr="003C684F">
        <w:rPr>
          <w:rFonts w:hint="eastAsia" w:ascii="仿宋" w:hAnsi="仿宋" w:eastAsia="仿宋" w:cs="仿宋"/>
          <w:bCs/>
          <w:sz w:val="32"/>
          <w:szCs w:val="32"/>
        </w:rPr>
        <w:t>1.EGFR基因具有敏感突变的局部晚期或转移性NSCLC。</w:t>
      </w:r>
    </w:p>
    <w:p w:rsidRPr="003C684F" w:rsidR="009730C1" w:rsidRDefault="00A315B9" w14:paraId="46A64D30" w14:textId="11E80253">
      <w:pPr>
        <w:autoSpaceDE w:val="0"/>
        <w:autoSpaceDN w:val="0"/>
        <w:adjustRightInd w:val="0"/>
        <w:spacing w:line="360" w:lineRule="auto"/>
        <w:ind w:firstLine="640" w:firstLineChars="200"/>
        <w:jc w:val="left"/>
        <w:rPr>
          <w:rFonts w:ascii="仿宋" w:hAnsi="仿宋" w:eastAsia="仿宋" w:cs="仿宋"/>
          <w:bCs/>
          <w:sz w:val="32"/>
          <w:szCs w:val="32"/>
        </w:rPr>
      </w:pPr>
      <w:r w:rsidRPr="003C684F">
        <w:rPr>
          <w:rFonts w:hint="eastAsia" w:ascii="仿宋" w:hAnsi="仿宋" w:eastAsia="仿宋" w:cs="仿宋"/>
          <w:bCs/>
          <w:sz w:val="32"/>
          <w:szCs w:val="32"/>
        </w:rPr>
        <w:t>2.Ⅱ～ⅢA期伴有EGFR基因敏感突变NSCLC的术后辅助</w:t>
      </w:r>
      <w:r w:rsidRPr="003C684F">
        <w:rPr>
          <w:rFonts w:hint="eastAsia" w:ascii="仿宋" w:hAnsi="仿宋" w:eastAsia="仿宋" w:cs="仿宋"/>
          <w:bCs/>
          <w:sz w:val="32"/>
          <w:szCs w:val="32"/>
        </w:rPr>
        <w:lastRenderedPageBreak/>
        <w:t>治疗</w:t>
      </w:r>
      <w:r w:rsidRPr="003C684F" w:rsidR="00695347">
        <w:rPr>
          <w:rFonts w:hint="eastAsia" w:ascii="仿宋" w:hAnsi="仿宋" w:eastAsia="仿宋" w:cs="仿宋"/>
          <w:bCs/>
          <w:sz w:val="32"/>
          <w:szCs w:val="32"/>
        </w:rPr>
        <w:t>（国际抗癌联盟/美国癌症联合会分期系统IASLC/AJCC第7版分期）</w:t>
      </w:r>
      <w:r w:rsidRPr="003C684F">
        <w:rPr>
          <w:rFonts w:hint="eastAsia" w:ascii="仿宋" w:hAnsi="仿宋" w:eastAsia="仿宋" w:cs="仿宋"/>
          <w:bCs/>
          <w:sz w:val="32"/>
          <w:szCs w:val="32"/>
        </w:rPr>
        <w:t xml:space="preserve">。 </w:t>
      </w:r>
    </w:p>
    <w:p w:rsidRPr="003C684F" w:rsidR="009730C1" w:rsidRDefault="00A315B9" w14:paraId="74EBF450"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B08A504"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w:t>
      </w:r>
      <w:r w:rsidRPr="003C684F">
        <w:rPr>
          <w:rFonts w:ascii="仿宋" w:hAnsi="仿宋" w:eastAsia="仿宋" w:cs="仿宋"/>
          <w:sz w:val="32"/>
          <w:szCs w:val="32"/>
        </w:rPr>
        <w:t>EGFR</w:t>
      </w:r>
      <w:r w:rsidRPr="003C684F">
        <w:rPr>
          <w:rFonts w:hint="eastAsia" w:ascii="仿宋" w:hAnsi="仿宋" w:eastAsia="仿宋" w:cs="仿宋"/>
          <w:sz w:val="32"/>
          <w:szCs w:val="32"/>
        </w:rPr>
        <w:t>基因检测方法检测到的</w:t>
      </w:r>
      <w:r w:rsidRPr="003C684F">
        <w:rPr>
          <w:rFonts w:ascii="仿宋" w:hAnsi="仿宋" w:eastAsia="仿宋" w:cs="仿宋"/>
          <w:sz w:val="32"/>
          <w:szCs w:val="32"/>
        </w:rPr>
        <w:t>EGFR</w:t>
      </w:r>
      <w:r w:rsidRPr="003C684F">
        <w:rPr>
          <w:rFonts w:hint="eastAsia" w:ascii="仿宋" w:hAnsi="仿宋" w:eastAsia="仿宋" w:cs="仿宋"/>
          <w:sz w:val="32"/>
          <w:szCs w:val="32"/>
        </w:rPr>
        <w:t>敏感突变。</w:t>
      </w:r>
    </w:p>
    <w:p w:rsidRPr="003C684F" w:rsidR="009730C1" w:rsidRDefault="00A315B9" w14:paraId="35AF38FC"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.EGFR基因敏感突变的Ⅱ～ⅢA期NSCLC患者完全肿瘤切除术后推荐埃克替尼辅助治疗。</w:t>
      </w:r>
    </w:p>
    <w:p w:rsidRPr="003C684F" w:rsidR="009730C1" w:rsidRDefault="00A315B9" w14:paraId="1E29EDAC" w14:textId="02F907F3">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3.常规剂量是125mg</w:t>
      </w:r>
      <w:r w:rsidRPr="003C684F">
        <w:rPr>
          <w:rFonts w:hint="eastAsia" w:ascii="仿宋" w:hAnsi="仿宋" w:eastAsia="仿宋"/>
          <w:color w:val="000000"/>
          <w:sz w:val="32"/>
          <w:szCs w:val="32"/>
        </w:rPr>
        <w:t>/次</w:t>
      </w:r>
      <w:r w:rsidRPr="003C684F">
        <w:rPr>
          <w:rFonts w:hint="eastAsia" w:ascii="仿宋" w:hAnsi="仿宋" w:eastAsia="仿宋" w:cs="仿宋"/>
          <w:sz w:val="32"/>
          <w:szCs w:val="32"/>
        </w:rPr>
        <w:t>，每天三次，</w:t>
      </w:r>
      <w:r w:rsidRPr="003C684F" w:rsidR="00136292">
        <w:rPr>
          <w:rFonts w:hint="eastAsia" w:ascii="仿宋" w:hAnsi="仿宋" w:eastAsia="仿宋" w:cs="仿宋"/>
          <w:sz w:val="32"/>
          <w:szCs w:val="32"/>
        </w:rPr>
        <w:t>口服，</w:t>
      </w:r>
      <w:r w:rsidRPr="003C684F" w:rsidR="00C36662">
        <w:rPr>
          <w:rFonts w:hint="eastAsia" w:ascii="仿宋" w:hAnsi="仿宋" w:eastAsia="仿宋" w:cs="仿宋"/>
          <w:sz w:val="32"/>
          <w:szCs w:val="32"/>
        </w:rPr>
        <w:t>空腹或与食物同服，高热量食物可能明显增加药物的吸收。</w:t>
      </w:r>
      <w:r w:rsidRPr="003C684F">
        <w:rPr>
          <w:rFonts w:hint="eastAsia" w:ascii="仿宋" w:hAnsi="仿宋" w:eastAsia="仿宋" w:cs="仿宋"/>
          <w:sz w:val="32"/>
          <w:szCs w:val="32"/>
        </w:rPr>
        <w:t>对于21外显子L858R置换突变阳性晚期NSCLC患者，可以使用250mg</w:t>
      </w:r>
      <w:r w:rsidRPr="003C684F">
        <w:rPr>
          <w:rFonts w:hint="eastAsia" w:ascii="仿宋" w:hAnsi="仿宋" w:eastAsia="仿宋" w:cs="黑体"/>
          <w:sz w:val="32"/>
          <w:szCs w:val="32"/>
        </w:rPr>
        <w:t>/次</w:t>
      </w:r>
      <w:r w:rsidRPr="003C684F">
        <w:rPr>
          <w:rFonts w:hint="eastAsia" w:ascii="仿宋" w:hAnsi="仿宋" w:eastAsia="仿宋" w:cs="仿宋"/>
          <w:sz w:val="32"/>
          <w:szCs w:val="32"/>
        </w:rPr>
        <w:t>，每天三次</w:t>
      </w:r>
      <w:r w:rsidRPr="003C684F" w:rsidR="00136292">
        <w:rPr>
          <w:rFonts w:hint="eastAsia" w:ascii="仿宋" w:hAnsi="仿宋" w:eastAsia="仿宋" w:cs="仿宋"/>
          <w:sz w:val="32"/>
          <w:szCs w:val="32"/>
        </w:rPr>
        <w:t>，口服</w:t>
      </w:r>
      <w:r w:rsidRPr="003C684F">
        <w:rPr>
          <w:rFonts w:hint="eastAsia" w:ascii="仿宋" w:hAnsi="仿宋" w:eastAsia="仿宋" w:cs="仿宋"/>
          <w:sz w:val="32"/>
          <w:szCs w:val="32"/>
        </w:rPr>
        <w:t>。</w:t>
      </w:r>
    </w:p>
    <w:p w:rsidRPr="003C684F" w:rsidR="009730C1" w:rsidRDefault="00A315B9" w14:paraId="498F95F5" w14:textId="0C46BB20">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有脑转移的</w:t>
      </w:r>
      <w:r w:rsidRPr="003C684F">
        <w:rPr>
          <w:rFonts w:ascii="仿宋" w:hAnsi="仿宋" w:eastAsia="仿宋" w:cs="仿宋"/>
          <w:sz w:val="32"/>
          <w:szCs w:val="32"/>
        </w:rPr>
        <w:t>EGFR</w:t>
      </w:r>
      <w:r w:rsidRPr="003C684F">
        <w:rPr>
          <w:rFonts w:hint="eastAsia" w:ascii="仿宋" w:hAnsi="仿宋" w:eastAsia="仿宋" w:cs="仿宋"/>
          <w:sz w:val="32"/>
          <w:szCs w:val="32"/>
        </w:rPr>
        <w:t>基因突变的</w:t>
      </w:r>
      <w:r w:rsidRPr="003C684F">
        <w:rPr>
          <w:rFonts w:ascii="仿宋" w:hAnsi="仿宋" w:eastAsia="仿宋" w:cs="仿宋"/>
          <w:sz w:val="32"/>
          <w:szCs w:val="32"/>
        </w:rPr>
        <w:t>NSCLC</w:t>
      </w:r>
      <w:r w:rsidRPr="003C684F">
        <w:rPr>
          <w:rFonts w:hint="eastAsia" w:ascii="仿宋" w:hAnsi="仿宋" w:eastAsia="仿宋" w:cs="仿宋"/>
          <w:sz w:val="32"/>
          <w:szCs w:val="32"/>
        </w:rPr>
        <w:t>患者，可选择埃克替尼。</w:t>
      </w:r>
    </w:p>
    <w:p w:rsidRPr="003C684F" w:rsidR="009730C1" w:rsidRDefault="00A315B9" w14:paraId="2478B3DE" w14:textId="2D898DAC">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不良反应主要为常见的</w:t>
      </w:r>
      <w:r w:rsidRPr="003C684F">
        <w:rPr>
          <w:rFonts w:hint="eastAsia" w:ascii="仿宋" w:hAnsi="仿宋" w:eastAsia="仿宋"/>
          <w:color w:val="000000"/>
          <w:sz w:val="32"/>
          <w:szCs w:val="32"/>
        </w:rPr>
        <w:t>1～2级</w:t>
      </w:r>
      <w:r w:rsidRPr="003C684F">
        <w:rPr>
          <w:rFonts w:hint="eastAsia" w:ascii="仿宋" w:hAnsi="仿宋" w:eastAsia="仿宋" w:cs="仿宋"/>
          <w:sz w:val="32"/>
          <w:szCs w:val="32"/>
        </w:rPr>
        <w:t>皮疹和腹泻，应特别</w:t>
      </w:r>
      <w:r w:rsidRPr="003C684F" w:rsidR="00206CE4">
        <w:rPr>
          <w:rFonts w:hint="eastAsia" w:ascii="仿宋" w:hAnsi="仿宋" w:eastAsia="仿宋" w:cs="仿宋"/>
          <w:sz w:val="32"/>
          <w:szCs w:val="32"/>
        </w:rPr>
        <w:t>注意</w:t>
      </w:r>
      <w:r w:rsidRPr="003C684F">
        <w:rPr>
          <w:rFonts w:hint="eastAsia" w:ascii="仿宋" w:hAnsi="仿宋" w:eastAsia="仿宋" w:cs="仿宋"/>
          <w:sz w:val="32"/>
          <w:szCs w:val="32"/>
        </w:rPr>
        <w:t>间质性肺炎的发生。</w:t>
      </w:r>
    </w:p>
    <w:p w:rsidRPr="003C684F" w:rsidR="009730C1" w:rsidRDefault="00A315B9" w14:paraId="459919A6" w14:textId="50E7EDB9">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sidR="00C36662">
        <w:rPr>
          <w:rFonts w:hint="eastAsia" w:ascii="仿宋" w:hAnsi="仿宋" w:eastAsia="仿宋" w:cs="仿宋"/>
          <w:sz w:val="32"/>
          <w:szCs w:val="32"/>
        </w:rPr>
        <w:t>埃克替尼主要通过CYP2C19和CYP3A4代谢，对CYP2C9和CYP3A4有明显的抑制作用，与CYP2C19和CYP3A4强效诱导剂、CYP2C9和CYP3A4底物联合使用时应注意药物相互作用。</w:t>
      </w:r>
    </w:p>
    <w:p w:rsidRPr="003C684F" w:rsidR="009730C1" w:rsidP="0037660B" w:rsidRDefault="00A315B9" w14:paraId="1D79D285" w14:textId="77777777">
      <w:pPr>
        <w:spacing w:line="360" w:lineRule="auto"/>
        <w:ind w:firstLine="640" w:firstLineChars="200"/>
        <w:outlineLvl w:val="0"/>
        <w:rPr>
          <w:rFonts w:ascii="仿宋" w:hAnsi="仿宋" w:eastAsia="仿宋" w:cs="Times New Roman"/>
          <w:b/>
          <w:bCs/>
          <w:sz w:val="32"/>
          <w:szCs w:val="32"/>
        </w:rPr>
      </w:pPr>
      <w:r w:rsidRPr="003C684F">
        <w:rPr>
          <w:rFonts w:hint="eastAsia" w:ascii="黑体" w:hAnsi="黑体" w:eastAsia="黑体" w:cs="黑体"/>
          <w:sz w:val="32"/>
          <w:szCs w:val="32"/>
        </w:rPr>
        <w:t>四、阿法替尼 A</w:t>
      </w:r>
      <w:r w:rsidRPr="003C684F">
        <w:rPr>
          <w:rFonts w:ascii="黑体" w:hAnsi="黑体" w:eastAsia="黑体" w:cs="黑体"/>
          <w:sz w:val="32"/>
          <w:szCs w:val="32"/>
        </w:rPr>
        <w:t>fatinib</w:t>
      </w:r>
    </w:p>
    <w:p w:rsidRPr="003C684F" w:rsidR="009730C1" w:rsidRDefault="00A315B9" w14:paraId="658DEA4B" w14:textId="4EB25094">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sidR="005B081D">
        <w:rPr>
          <w:rFonts w:hint="eastAsia" w:ascii="仿宋" w:hAnsi="仿宋" w:eastAsia="仿宋" w:cs="仿宋"/>
          <w:sz w:val="32"/>
          <w:szCs w:val="32"/>
        </w:rPr>
        <w:t>20mg、</w:t>
      </w:r>
      <w:r w:rsidRPr="003C684F">
        <w:rPr>
          <w:rFonts w:ascii="仿宋" w:hAnsi="仿宋" w:eastAsia="仿宋" w:cs="仿宋"/>
          <w:sz w:val="32"/>
          <w:szCs w:val="32"/>
        </w:rPr>
        <w:t>30mg</w:t>
      </w:r>
      <w:r w:rsidRPr="003C684F">
        <w:rPr>
          <w:rFonts w:hint="eastAsia" w:ascii="仿宋" w:hAnsi="仿宋" w:eastAsia="仿宋" w:cs="仿宋"/>
          <w:sz w:val="32"/>
          <w:szCs w:val="32"/>
        </w:rPr>
        <w:t>、</w:t>
      </w:r>
      <w:r w:rsidRPr="003C684F">
        <w:rPr>
          <w:rFonts w:ascii="仿宋" w:hAnsi="仿宋" w:eastAsia="仿宋" w:cs="仿宋"/>
          <w:sz w:val="32"/>
          <w:szCs w:val="32"/>
        </w:rPr>
        <w:t>40mg</w:t>
      </w:r>
    </w:p>
    <w:p w:rsidRPr="003C684F" w:rsidR="009730C1" w:rsidRDefault="00A315B9" w14:paraId="10621F02"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1F4C4873" w14:textId="77777777">
      <w:pPr>
        <w:tabs>
          <w:tab w:val="left" w:pos="7920"/>
        </w:tabs>
        <w:snapToGrid w:val="0"/>
        <w:spacing w:line="360" w:lineRule="auto"/>
        <w:ind w:firstLine="640" w:firstLineChars="200"/>
        <w:rPr>
          <w:rFonts w:ascii="仿宋" w:hAnsi="仿宋" w:eastAsia="仿宋" w:cs="Times New Roman"/>
          <w:kern w:val="0"/>
          <w:sz w:val="32"/>
          <w:szCs w:val="32"/>
          <w:lang w:val="en-GB"/>
        </w:rPr>
      </w:pPr>
      <w:r w:rsidRPr="003C684F">
        <w:rPr>
          <w:rFonts w:ascii="仿宋" w:hAnsi="仿宋" w:eastAsia="仿宋" w:cs="仿宋"/>
          <w:kern w:val="0"/>
          <w:sz w:val="32"/>
          <w:szCs w:val="32"/>
          <w:lang w:val="en-GB"/>
        </w:rPr>
        <w:lastRenderedPageBreak/>
        <w:t>1.</w:t>
      </w:r>
      <w:r w:rsidRPr="003C684F">
        <w:rPr>
          <w:rFonts w:hint="eastAsia" w:ascii="仿宋" w:hAnsi="仿宋" w:eastAsia="仿宋" w:cs="仿宋"/>
          <w:kern w:val="0"/>
          <w:sz w:val="32"/>
          <w:szCs w:val="32"/>
          <w:lang w:val="en-GB"/>
        </w:rPr>
        <w:t>具有</w:t>
      </w:r>
      <w:r w:rsidRPr="003C684F">
        <w:rPr>
          <w:rFonts w:ascii="仿宋" w:hAnsi="仿宋" w:eastAsia="仿宋" w:cs="仿宋"/>
          <w:kern w:val="0"/>
          <w:sz w:val="32"/>
          <w:szCs w:val="32"/>
          <w:lang w:val="en-GB"/>
        </w:rPr>
        <w:t>EGFR</w:t>
      </w:r>
      <w:r w:rsidRPr="003C684F">
        <w:rPr>
          <w:rFonts w:hint="eastAsia" w:ascii="仿宋" w:hAnsi="仿宋" w:eastAsia="仿宋" w:cs="仿宋"/>
          <w:kern w:val="0"/>
          <w:sz w:val="32"/>
          <w:szCs w:val="32"/>
          <w:lang w:val="en-GB"/>
        </w:rPr>
        <w:t>基因敏感突变的局部晚期或转移性</w:t>
      </w:r>
      <w:r w:rsidRPr="003C684F">
        <w:rPr>
          <w:rFonts w:ascii="仿宋" w:hAnsi="仿宋" w:eastAsia="仿宋" w:cs="仿宋"/>
          <w:kern w:val="0"/>
          <w:sz w:val="32"/>
          <w:szCs w:val="32"/>
          <w:lang w:val="en-GB"/>
        </w:rPr>
        <w:t>NSCLC</w:t>
      </w:r>
      <w:r w:rsidRPr="003C684F">
        <w:rPr>
          <w:rFonts w:hint="eastAsia" w:ascii="仿宋" w:hAnsi="仿宋" w:eastAsia="仿宋" w:cs="仿宋"/>
          <w:kern w:val="0"/>
          <w:sz w:val="32"/>
          <w:szCs w:val="32"/>
          <w:lang w:val="en-GB"/>
        </w:rPr>
        <w:t>，既往未接受过EGFR酪氨酸激酶抑制剂（</w:t>
      </w:r>
      <w:r w:rsidRPr="003C684F">
        <w:rPr>
          <w:rFonts w:ascii="仿宋" w:hAnsi="仿宋" w:eastAsia="仿宋" w:cs="仿宋"/>
          <w:kern w:val="0"/>
          <w:sz w:val="32"/>
          <w:szCs w:val="32"/>
          <w:lang w:val="en-GB"/>
        </w:rPr>
        <w:t>EGFR-TKI</w:t>
      </w:r>
      <w:r w:rsidRPr="003C684F">
        <w:rPr>
          <w:rFonts w:hint="eastAsia" w:ascii="仿宋" w:hAnsi="仿宋" w:eastAsia="仿宋" w:cs="仿宋"/>
          <w:kern w:val="0"/>
          <w:sz w:val="32"/>
          <w:szCs w:val="32"/>
          <w:lang w:val="en-GB"/>
        </w:rPr>
        <w:t>）治疗。</w:t>
      </w:r>
    </w:p>
    <w:p w:rsidRPr="003C684F" w:rsidR="009730C1" w:rsidRDefault="00A315B9" w14:paraId="4C842A82" w14:textId="77777777">
      <w:pPr>
        <w:tabs>
          <w:tab w:val="left" w:pos="7920"/>
        </w:tabs>
        <w:snapToGrid w:val="0"/>
        <w:spacing w:line="360" w:lineRule="auto"/>
        <w:ind w:firstLine="640" w:firstLineChars="200"/>
        <w:rPr>
          <w:rFonts w:ascii="仿宋" w:hAnsi="仿宋" w:eastAsia="仿宋" w:cs="Times New Roman"/>
          <w:kern w:val="0"/>
          <w:sz w:val="32"/>
          <w:szCs w:val="32"/>
          <w:lang w:val="en-GB"/>
        </w:rPr>
      </w:pPr>
      <w:r w:rsidRPr="003C684F">
        <w:rPr>
          <w:rFonts w:ascii="仿宋" w:hAnsi="仿宋" w:eastAsia="仿宋" w:cs="仿宋"/>
          <w:kern w:val="0"/>
          <w:sz w:val="32"/>
          <w:szCs w:val="32"/>
          <w:lang w:val="en-GB"/>
        </w:rPr>
        <w:t>2.</w:t>
      </w:r>
      <w:r w:rsidRPr="003C684F">
        <w:rPr>
          <w:rFonts w:hint="eastAsia" w:ascii="仿宋" w:hAnsi="仿宋" w:eastAsia="仿宋" w:cs="仿宋"/>
          <w:kern w:val="0"/>
          <w:sz w:val="32"/>
          <w:szCs w:val="32"/>
          <w:lang w:val="en-GB"/>
        </w:rPr>
        <w:t>含铂化疗期间或化疗后疾病进展的局部晚期或转移性鳞状细胞组织学类型的NSCLC。</w:t>
      </w:r>
    </w:p>
    <w:p w:rsidRPr="003C684F" w:rsidR="009730C1" w:rsidRDefault="00A315B9" w14:paraId="055FA90D"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41E519C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一线治疗</w:t>
      </w:r>
      <w:r w:rsidRPr="003C684F">
        <w:rPr>
          <w:rFonts w:ascii="仿宋" w:hAnsi="仿宋" w:eastAsia="仿宋" w:cs="仿宋"/>
          <w:sz w:val="32"/>
          <w:szCs w:val="32"/>
        </w:rPr>
        <w:t>EGFR</w:t>
      </w:r>
      <w:r w:rsidRPr="003C684F">
        <w:rPr>
          <w:rFonts w:hint="eastAsia" w:ascii="仿宋" w:hAnsi="仿宋" w:eastAsia="仿宋" w:cs="仿宋"/>
          <w:sz w:val="32"/>
          <w:szCs w:val="32"/>
        </w:rPr>
        <w:t>基因敏感突变的晚期</w:t>
      </w:r>
      <w:r w:rsidRPr="003C684F">
        <w:rPr>
          <w:rFonts w:ascii="仿宋" w:hAnsi="仿宋" w:eastAsia="仿宋" w:cs="仿宋"/>
          <w:sz w:val="32"/>
          <w:szCs w:val="32"/>
        </w:rPr>
        <w:t>NSCLC</w:t>
      </w:r>
      <w:r w:rsidRPr="003C684F">
        <w:rPr>
          <w:rFonts w:hint="eastAsia" w:ascii="仿宋" w:hAnsi="仿宋" w:eastAsia="仿宋" w:cs="仿宋"/>
          <w:sz w:val="32"/>
          <w:szCs w:val="32"/>
        </w:rPr>
        <w:t>患者，用药前必须明确有经国家药品监督管理局批准的</w:t>
      </w:r>
      <w:r w:rsidRPr="003C684F">
        <w:rPr>
          <w:rFonts w:ascii="仿宋" w:hAnsi="仿宋" w:eastAsia="仿宋" w:cs="仿宋"/>
          <w:sz w:val="32"/>
          <w:szCs w:val="32"/>
        </w:rPr>
        <w:t>EGFR</w:t>
      </w:r>
      <w:r w:rsidRPr="003C684F">
        <w:rPr>
          <w:rFonts w:hint="eastAsia" w:ascii="仿宋" w:hAnsi="仿宋" w:eastAsia="仿宋" w:cs="仿宋"/>
          <w:sz w:val="32"/>
          <w:szCs w:val="32"/>
        </w:rPr>
        <w:t>基因检测方法检测到的</w:t>
      </w:r>
      <w:r w:rsidRPr="003C684F">
        <w:rPr>
          <w:rFonts w:ascii="仿宋" w:hAnsi="仿宋" w:eastAsia="仿宋" w:cs="仿宋"/>
          <w:sz w:val="32"/>
          <w:szCs w:val="32"/>
        </w:rPr>
        <w:t>EGFR</w:t>
      </w:r>
      <w:r w:rsidRPr="003C684F">
        <w:rPr>
          <w:rFonts w:hint="eastAsia" w:ascii="仿宋" w:hAnsi="仿宋" w:eastAsia="仿宋" w:cs="仿宋"/>
          <w:sz w:val="32"/>
          <w:szCs w:val="32"/>
        </w:rPr>
        <w:t>基因敏感突变。</w:t>
      </w:r>
    </w:p>
    <w:p w:rsidRPr="003C684F" w:rsidR="009730C1" w:rsidRDefault="00A315B9" w14:paraId="0D1BFBFC" w14:textId="75D30592">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虽然药品说明书显示阿法替尼</w:t>
      </w:r>
      <w:r w:rsidRPr="003C684F" w:rsidR="00C03193">
        <w:rPr>
          <w:rFonts w:hint="eastAsia" w:ascii="仿宋" w:hAnsi="仿宋" w:eastAsia="仿宋" w:cs="仿宋"/>
          <w:sz w:val="32"/>
          <w:szCs w:val="32"/>
        </w:rPr>
        <w:t>无需</w:t>
      </w:r>
      <w:r w:rsidRPr="003C684F">
        <w:rPr>
          <w:rFonts w:hint="eastAsia" w:ascii="仿宋" w:hAnsi="仿宋" w:eastAsia="仿宋" w:cs="仿宋"/>
          <w:sz w:val="32"/>
          <w:szCs w:val="32"/>
        </w:rPr>
        <w:t>进行基因检测可用于二线治疗含铂化疗期间或化疗后进展的晚期肺鳞癌患者，但仍然不推荐用于</w:t>
      </w:r>
      <w:r w:rsidRPr="003C684F">
        <w:rPr>
          <w:rFonts w:ascii="仿宋" w:hAnsi="仿宋" w:eastAsia="仿宋" w:cs="仿宋"/>
          <w:sz w:val="32"/>
          <w:szCs w:val="32"/>
        </w:rPr>
        <w:t>EGFR</w:t>
      </w:r>
      <w:r w:rsidRPr="003C684F">
        <w:rPr>
          <w:rFonts w:hint="eastAsia" w:ascii="仿宋" w:hAnsi="仿宋" w:eastAsia="仿宋" w:cs="仿宋"/>
          <w:sz w:val="32"/>
          <w:szCs w:val="32"/>
        </w:rPr>
        <w:t>基因突变阴性的患者。</w:t>
      </w:r>
    </w:p>
    <w:p w:rsidRPr="003C684F" w:rsidR="009730C1" w:rsidRDefault="00A315B9" w14:paraId="059EA79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对于非常见</w:t>
      </w:r>
      <w:r w:rsidRPr="003C684F">
        <w:rPr>
          <w:rFonts w:ascii="仿宋" w:hAnsi="仿宋" w:eastAsia="仿宋" w:cs="仿宋"/>
          <w:sz w:val="32"/>
          <w:szCs w:val="32"/>
        </w:rPr>
        <w:t>EGFR</w:t>
      </w:r>
      <w:r w:rsidRPr="003C684F">
        <w:rPr>
          <w:rFonts w:hint="eastAsia" w:ascii="仿宋" w:hAnsi="仿宋" w:eastAsia="仿宋" w:cs="仿宋"/>
          <w:sz w:val="32"/>
          <w:szCs w:val="32"/>
        </w:rPr>
        <w:t>基因突变患者，优先使用阿法替尼。</w:t>
      </w:r>
    </w:p>
    <w:p w:rsidRPr="003C684F" w:rsidR="009730C1" w:rsidRDefault="00A315B9" w14:paraId="32906323" w14:textId="156F3D66">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推荐剂量为</w:t>
      </w:r>
      <w:r w:rsidRPr="003C684F">
        <w:rPr>
          <w:rFonts w:ascii="仿宋" w:hAnsi="仿宋" w:eastAsia="仿宋" w:cs="仿宋"/>
          <w:sz w:val="32"/>
          <w:szCs w:val="32"/>
        </w:rPr>
        <w:t>40mg</w:t>
      </w:r>
      <w:r w:rsidRPr="003C684F" w:rsidR="00136292">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136292">
        <w:rPr>
          <w:rFonts w:hint="eastAsia" w:ascii="仿宋" w:hAnsi="仿宋" w:eastAsia="仿宋" w:cs="仿宋"/>
          <w:sz w:val="32"/>
          <w:szCs w:val="32"/>
        </w:rPr>
        <w:t>口服，</w:t>
      </w:r>
      <w:r w:rsidRPr="003C684F">
        <w:rPr>
          <w:rFonts w:hint="eastAsia" w:ascii="仿宋" w:hAnsi="仿宋" w:eastAsia="仿宋" w:cs="仿宋"/>
          <w:sz w:val="32"/>
          <w:szCs w:val="32"/>
        </w:rPr>
        <w:t>可根据患者耐受性进行剂量调整，剂量调整方案见表</w:t>
      </w:r>
      <w:r w:rsidRPr="003C684F">
        <w:rPr>
          <w:rFonts w:ascii="仿宋" w:hAnsi="仿宋" w:eastAsia="仿宋" w:cs="仿宋"/>
          <w:sz w:val="32"/>
          <w:szCs w:val="32"/>
        </w:rPr>
        <w:t>2</w:t>
      </w:r>
      <w:r w:rsidRPr="003C684F">
        <w:rPr>
          <w:rFonts w:hint="eastAsia" w:ascii="仿宋" w:hAnsi="仿宋" w:eastAsia="仿宋" w:cs="仿宋"/>
          <w:sz w:val="32"/>
          <w:szCs w:val="32"/>
        </w:rPr>
        <w:t>。</w:t>
      </w:r>
    </w:p>
    <w:p w:rsidRPr="003C684F" w:rsidR="009730C1" w:rsidRDefault="00A315B9" w14:paraId="68380549" w14:textId="77777777">
      <w:pPr>
        <w:spacing w:line="360" w:lineRule="auto"/>
        <w:ind w:firstLine="422" w:firstLineChars="200"/>
        <w:jc w:val="center"/>
        <w:rPr>
          <w:rFonts w:ascii="仿宋" w:hAnsi="仿宋" w:eastAsia="仿宋" w:cs="Times New Roman"/>
          <w:b/>
        </w:rPr>
      </w:pPr>
      <w:r w:rsidRPr="003C684F">
        <w:rPr>
          <w:rFonts w:hint="eastAsia" w:ascii="仿宋" w:hAnsi="仿宋" w:eastAsia="仿宋" w:cs="仿宋"/>
          <w:b/>
        </w:rPr>
        <w:t>表</w:t>
      </w:r>
      <w:r w:rsidRPr="003C684F">
        <w:rPr>
          <w:rFonts w:ascii="仿宋" w:hAnsi="仿宋" w:eastAsia="仿宋" w:cs="仿宋"/>
          <w:b/>
        </w:rPr>
        <w:t>2</w:t>
      </w:r>
      <w:r w:rsidRPr="003C684F">
        <w:rPr>
          <w:rFonts w:hint="eastAsia" w:ascii="仿宋" w:hAnsi="仿宋" w:eastAsia="仿宋" w:cs="仿宋"/>
          <w:b/>
        </w:rPr>
        <w:t xml:space="preserve">　阿法替尼推荐剂量调整方案</w:t>
      </w:r>
    </w:p>
    <w:tbl>
      <w:tblPr>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59"/>
        <w:gridCol w:w="2410"/>
        <w:gridCol w:w="2551"/>
      </w:tblGrid>
      <w:tr w:rsidRPr="003C684F" w:rsidR="009730C1" w14:paraId="619F8D98" w14:textId="77777777">
        <w:trPr>
          <w:trHeight w:val="557"/>
          <w:jc w:val="center"/>
        </w:trPr>
        <w:tc>
          <w:tcPr>
            <w:tcW w:w="3459" w:type="dxa"/>
          </w:tcPr>
          <w:p w:rsidRPr="003C684F" w:rsidR="009730C1" w:rsidP="008203A3" w:rsidRDefault="00A315B9" w14:paraId="482FBDFA" w14:textId="6496484D">
            <w:pPr>
              <w:tabs>
                <w:tab w:val="left" w:pos="567"/>
              </w:tabs>
              <w:snapToGrid w:val="0"/>
              <w:spacing w:before="156" w:beforeLines="50" w:after="156" w:afterLines="50" w:line="360" w:lineRule="auto"/>
              <w:rPr>
                <w:rFonts w:ascii="仿宋" w:hAnsi="仿宋" w:eastAsia="仿宋" w:cs="Times New Roman"/>
                <w:b/>
                <w:bCs/>
              </w:rPr>
            </w:pPr>
            <w:r w:rsidRPr="003C684F">
              <w:rPr>
                <w:rFonts w:ascii="仿宋" w:hAnsi="仿宋" w:eastAsia="仿宋" w:cs="仿宋"/>
                <w:b/>
                <w:bCs/>
              </w:rPr>
              <w:t>CTCAE</w:t>
            </w:r>
            <w:r w:rsidRPr="003C684F">
              <w:rPr>
                <w:rFonts w:ascii="仿宋" w:hAnsi="仿宋" w:eastAsia="仿宋" w:cs="仿宋"/>
                <w:sz w:val="15"/>
                <w:szCs w:val="15"/>
                <w:vertAlign w:val="superscript"/>
              </w:rPr>
              <w:t>a</w:t>
            </w:r>
            <w:r w:rsidRPr="003C684F">
              <w:rPr>
                <w:rFonts w:hint="eastAsia" w:ascii="仿宋" w:hAnsi="仿宋" w:eastAsia="仿宋" w:cs="仿宋"/>
                <w:b/>
                <w:bCs/>
              </w:rPr>
              <w:t>（</w:t>
            </w:r>
            <w:r w:rsidRPr="003C684F" w:rsidR="008203A3">
              <w:rPr>
                <w:rFonts w:hint="eastAsia" w:ascii="仿宋" w:hAnsi="仿宋" w:eastAsia="仿宋" w:cs="仿宋"/>
                <w:b/>
                <w:bCs/>
              </w:rPr>
              <w:t>5</w:t>
            </w:r>
            <w:r w:rsidRPr="003C684F">
              <w:rPr>
                <w:rFonts w:hint="eastAsia" w:ascii="仿宋" w:hAnsi="仿宋" w:eastAsia="仿宋" w:cs="仿宋"/>
                <w:b/>
                <w:bCs/>
              </w:rPr>
              <w:t>.0版）药物相关不良事件</w:t>
            </w:r>
          </w:p>
        </w:tc>
        <w:tc>
          <w:tcPr>
            <w:tcW w:w="4961" w:type="dxa"/>
            <w:gridSpan w:val="2"/>
          </w:tcPr>
          <w:p w:rsidRPr="003C684F" w:rsidR="009730C1" w:rsidP="00AC2BEC" w:rsidRDefault="00A315B9" w14:paraId="6A97EE58" w14:textId="77777777">
            <w:pPr>
              <w:tabs>
                <w:tab w:val="left" w:pos="567"/>
              </w:tabs>
              <w:snapToGrid w:val="0"/>
              <w:spacing w:before="156" w:beforeLines="50" w:after="156" w:afterLines="50" w:line="360" w:lineRule="auto"/>
              <w:rPr>
                <w:rFonts w:ascii="仿宋" w:hAnsi="仿宋" w:eastAsia="仿宋" w:cs="Times New Roman"/>
                <w:b/>
                <w:bCs/>
              </w:rPr>
            </w:pPr>
            <w:r w:rsidRPr="003C684F">
              <w:rPr>
                <w:rFonts w:hint="eastAsia" w:ascii="仿宋" w:hAnsi="仿宋" w:eastAsia="仿宋" w:cs="仿宋"/>
                <w:b/>
                <w:bCs/>
              </w:rPr>
              <w:t>阿法替尼的建议给药量</w:t>
            </w:r>
          </w:p>
        </w:tc>
      </w:tr>
      <w:tr w:rsidRPr="003C684F" w:rsidR="009730C1" w14:paraId="0CF2BB98" w14:textId="77777777">
        <w:trPr>
          <w:jc w:val="center"/>
        </w:trPr>
        <w:tc>
          <w:tcPr>
            <w:tcW w:w="3459" w:type="dxa"/>
          </w:tcPr>
          <w:p w:rsidRPr="003C684F" w:rsidR="009730C1" w:rsidP="00AC2BEC" w:rsidRDefault="00A315B9" w14:paraId="4107E213" w14:textId="77777777">
            <w:pPr>
              <w:tabs>
                <w:tab w:val="left" w:pos="567"/>
              </w:tabs>
              <w:snapToGrid w:val="0"/>
              <w:spacing w:before="156" w:beforeLines="50" w:after="156" w:afterLines="50" w:line="360" w:lineRule="auto"/>
              <w:rPr>
                <w:rFonts w:ascii="仿宋" w:hAnsi="仿宋" w:eastAsia="仿宋" w:cs="Times New Roman"/>
              </w:rPr>
            </w:pPr>
            <w:r w:rsidRPr="003C684F">
              <w:rPr>
                <w:rFonts w:ascii="仿宋" w:hAnsi="仿宋" w:eastAsia="仿宋" w:cs="仿宋"/>
              </w:rPr>
              <w:t>1～2级</w:t>
            </w:r>
          </w:p>
        </w:tc>
        <w:tc>
          <w:tcPr>
            <w:tcW w:w="2410" w:type="dxa"/>
          </w:tcPr>
          <w:p w:rsidRPr="003C684F" w:rsidR="009730C1" w:rsidP="00AC2BEC" w:rsidRDefault="00A315B9" w14:paraId="6678D548" w14:textId="77777777">
            <w:pPr>
              <w:tabs>
                <w:tab w:val="left" w:pos="567"/>
              </w:tabs>
              <w:snapToGrid w:val="0"/>
              <w:spacing w:before="156" w:beforeLines="50" w:after="156" w:afterLines="50" w:line="360" w:lineRule="auto"/>
              <w:rPr>
                <w:rFonts w:ascii="仿宋" w:hAnsi="仿宋" w:eastAsia="仿宋" w:cs="Times New Roman"/>
              </w:rPr>
            </w:pPr>
            <w:r w:rsidRPr="003C684F">
              <w:rPr>
                <w:rFonts w:hint="eastAsia" w:ascii="仿宋" w:hAnsi="仿宋" w:eastAsia="仿宋" w:cs="仿宋"/>
              </w:rPr>
              <w:t>不中断</w:t>
            </w:r>
            <w:r w:rsidRPr="003C684F">
              <w:rPr>
                <w:rFonts w:ascii="仿宋" w:hAnsi="仿宋" w:eastAsia="仿宋" w:cs="仿宋"/>
                <w:vertAlign w:val="superscript"/>
              </w:rPr>
              <w:t>b</w:t>
            </w:r>
          </w:p>
        </w:tc>
        <w:tc>
          <w:tcPr>
            <w:tcW w:w="2551" w:type="dxa"/>
          </w:tcPr>
          <w:p w:rsidRPr="003C684F" w:rsidR="009730C1" w:rsidP="00AC2BEC" w:rsidRDefault="00A315B9" w14:paraId="449B17F4" w14:textId="77777777">
            <w:pPr>
              <w:tabs>
                <w:tab w:val="left" w:pos="567"/>
              </w:tabs>
              <w:snapToGrid w:val="0"/>
              <w:spacing w:before="156" w:beforeLines="50" w:after="156" w:afterLines="50" w:line="360" w:lineRule="auto"/>
              <w:rPr>
                <w:rFonts w:ascii="仿宋" w:hAnsi="仿宋" w:eastAsia="仿宋" w:cs="Times New Roman"/>
              </w:rPr>
            </w:pPr>
            <w:r w:rsidRPr="003C684F">
              <w:rPr>
                <w:rFonts w:hint="eastAsia" w:ascii="仿宋" w:hAnsi="仿宋" w:eastAsia="仿宋" w:cs="仿宋"/>
              </w:rPr>
              <w:t>不调整剂量</w:t>
            </w:r>
          </w:p>
        </w:tc>
      </w:tr>
      <w:tr w:rsidRPr="003C684F" w:rsidR="009730C1" w14:paraId="69ECF868" w14:textId="77777777">
        <w:trPr>
          <w:trHeight w:val="521"/>
          <w:jc w:val="center"/>
        </w:trPr>
        <w:tc>
          <w:tcPr>
            <w:tcW w:w="3459" w:type="dxa"/>
          </w:tcPr>
          <w:p w:rsidRPr="003C684F" w:rsidR="009730C1" w:rsidP="00AC2BEC" w:rsidRDefault="00A315B9" w14:paraId="5713626D" w14:textId="77777777">
            <w:pPr>
              <w:tabs>
                <w:tab w:val="left" w:pos="567"/>
              </w:tabs>
              <w:snapToGrid w:val="0"/>
              <w:spacing w:before="156" w:beforeLines="50" w:after="156" w:afterLines="50" w:line="360" w:lineRule="auto"/>
              <w:rPr>
                <w:rFonts w:ascii="仿宋" w:hAnsi="仿宋" w:eastAsia="仿宋" w:cs="Times New Roman"/>
              </w:rPr>
            </w:pPr>
            <w:r w:rsidRPr="003C684F">
              <w:rPr>
                <w:rFonts w:ascii="仿宋" w:hAnsi="仿宋" w:eastAsia="仿宋" w:cs="仿宋"/>
              </w:rPr>
              <w:t>2</w:t>
            </w:r>
            <w:r w:rsidRPr="003C684F">
              <w:rPr>
                <w:rFonts w:hint="eastAsia" w:ascii="仿宋" w:hAnsi="仿宋" w:eastAsia="仿宋" w:cs="仿宋"/>
              </w:rPr>
              <w:t>级（延长</w:t>
            </w:r>
            <w:r w:rsidRPr="003C684F">
              <w:rPr>
                <w:rFonts w:ascii="仿宋" w:hAnsi="仿宋" w:eastAsia="仿宋" w:cs="仿宋"/>
                <w:vertAlign w:val="superscript"/>
              </w:rPr>
              <w:t>c</w:t>
            </w:r>
            <w:r w:rsidRPr="003C684F">
              <w:rPr>
                <w:rFonts w:hint="eastAsia" w:ascii="仿宋" w:hAnsi="仿宋" w:eastAsia="仿宋" w:cs="仿宋"/>
              </w:rPr>
              <w:t>或不耐受）或≥</w:t>
            </w:r>
            <w:r w:rsidRPr="003C684F">
              <w:rPr>
                <w:rFonts w:ascii="仿宋" w:hAnsi="仿宋" w:eastAsia="仿宋" w:cs="仿宋"/>
              </w:rPr>
              <w:t>3</w:t>
            </w:r>
            <w:r w:rsidRPr="003C684F">
              <w:rPr>
                <w:rFonts w:hint="eastAsia" w:ascii="仿宋" w:hAnsi="仿宋" w:eastAsia="仿宋" w:cs="仿宋"/>
              </w:rPr>
              <w:t>级</w:t>
            </w:r>
          </w:p>
        </w:tc>
        <w:tc>
          <w:tcPr>
            <w:tcW w:w="2410" w:type="dxa"/>
          </w:tcPr>
          <w:p w:rsidRPr="003C684F" w:rsidR="009730C1" w:rsidP="00AC2BEC" w:rsidRDefault="00A315B9" w14:paraId="1DB3CFE2" w14:textId="77777777">
            <w:pPr>
              <w:tabs>
                <w:tab w:val="left" w:pos="567"/>
              </w:tabs>
              <w:snapToGrid w:val="0"/>
              <w:spacing w:before="156" w:beforeLines="50" w:after="156" w:afterLines="50" w:line="360" w:lineRule="auto"/>
              <w:rPr>
                <w:rFonts w:ascii="仿宋" w:hAnsi="仿宋" w:eastAsia="仿宋" w:cs="Times New Roman"/>
              </w:rPr>
            </w:pPr>
            <w:r w:rsidRPr="003C684F">
              <w:rPr>
                <w:rFonts w:hint="eastAsia" w:ascii="仿宋" w:hAnsi="仿宋" w:eastAsia="仿宋" w:cs="仿宋"/>
              </w:rPr>
              <w:t>中断直到恢复至</w:t>
            </w:r>
            <w:r w:rsidRPr="003C684F">
              <w:rPr>
                <w:rFonts w:ascii="仿宋" w:hAnsi="仿宋" w:eastAsia="仿宋" w:cs="仿宋"/>
              </w:rPr>
              <w:t>0/1</w:t>
            </w:r>
            <w:r w:rsidRPr="003C684F">
              <w:rPr>
                <w:rFonts w:hint="eastAsia" w:ascii="仿宋" w:hAnsi="仿宋" w:eastAsia="仿宋" w:cs="仿宋"/>
              </w:rPr>
              <w:t>级</w:t>
            </w:r>
            <w:r w:rsidRPr="003C684F">
              <w:rPr>
                <w:rFonts w:ascii="仿宋" w:hAnsi="仿宋" w:eastAsia="仿宋" w:cs="仿宋"/>
                <w:vertAlign w:val="superscript"/>
              </w:rPr>
              <w:t>b</w:t>
            </w:r>
          </w:p>
        </w:tc>
        <w:tc>
          <w:tcPr>
            <w:tcW w:w="2551" w:type="dxa"/>
          </w:tcPr>
          <w:p w:rsidRPr="003C684F" w:rsidR="009730C1" w:rsidP="00AC2BEC" w:rsidRDefault="00A315B9" w14:paraId="163AD43D" w14:textId="77777777">
            <w:pPr>
              <w:tabs>
                <w:tab w:val="left" w:pos="567"/>
              </w:tabs>
              <w:snapToGrid w:val="0"/>
              <w:spacing w:before="156" w:beforeLines="50" w:after="156" w:afterLines="50" w:line="360" w:lineRule="auto"/>
              <w:rPr>
                <w:rFonts w:ascii="仿宋" w:hAnsi="仿宋" w:eastAsia="仿宋" w:cs="Times New Roman"/>
              </w:rPr>
            </w:pPr>
            <w:r w:rsidRPr="003C684F">
              <w:rPr>
                <w:rFonts w:hint="eastAsia" w:ascii="仿宋" w:hAnsi="仿宋" w:eastAsia="仿宋" w:cs="仿宋"/>
              </w:rPr>
              <w:t>以减量</w:t>
            </w:r>
            <w:r w:rsidRPr="003C684F">
              <w:rPr>
                <w:rFonts w:ascii="仿宋" w:hAnsi="仿宋" w:eastAsia="仿宋" w:cs="仿宋"/>
              </w:rPr>
              <w:t>10mg</w:t>
            </w:r>
            <w:r w:rsidRPr="003C684F">
              <w:rPr>
                <w:rFonts w:hint="eastAsia" w:ascii="仿宋" w:hAnsi="仿宋" w:eastAsia="仿宋" w:cs="仿宋"/>
              </w:rPr>
              <w:t>递减继续</w:t>
            </w:r>
            <w:r w:rsidRPr="003C684F">
              <w:rPr>
                <w:rFonts w:ascii="仿宋" w:hAnsi="仿宋" w:eastAsia="仿宋" w:cs="仿宋"/>
                <w:vertAlign w:val="superscript"/>
              </w:rPr>
              <w:t>d</w:t>
            </w:r>
          </w:p>
        </w:tc>
      </w:tr>
    </w:tbl>
    <w:p w:rsidRPr="003C684F" w:rsidR="009730C1" w:rsidP="00AC2BEC" w:rsidRDefault="00A315B9" w14:paraId="43029C3A" w14:textId="38C086A3">
      <w:pPr>
        <w:tabs>
          <w:tab w:val="left" w:pos="1930"/>
        </w:tabs>
        <w:snapToGrid w:val="0"/>
        <w:spacing w:before="156" w:beforeLines="50" w:after="156" w:afterLines="50" w:line="360" w:lineRule="auto"/>
        <w:ind w:firstLine="360" w:firstLineChars="200"/>
        <w:rPr>
          <w:rFonts w:ascii="仿宋" w:hAnsi="仿宋" w:eastAsia="仿宋" w:cs="Times New Roman"/>
          <w:sz w:val="18"/>
          <w:szCs w:val="18"/>
          <w:vertAlign w:val="superscript"/>
        </w:rPr>
      </w:pPr>
      <w:r w:rsidRPr="003C684F">
        <w:rPr>
          <w:rFonts w:ascii="仿宋" w:hAnsi="仿宋" w:eastAsia="仿宋" w:cs="仿宋"/>
          <w:sz w:val="18"/>
          <w:szCs w:val="18"/>
          <w:vertAlign w:val="superscript"/>
        </w:rPr>
        <w:t>a</w:t>
      </w:r>
      <w:r w:rsidRPr="003C684F">
        <w:rPr>
          <w:rFonts w:hint="eastAsia" w:ascii="仿宋" w:hAnsi="仿宋" w:eastAsia="仿宋" w:cs="仿宋"/>
          <w:sz w:val="18"/>
          <w:szCs w:val="18"/>
        </w:rPr>
        <w:t>美国国立癌症研究所（</w:t>
      </w:r>
      <w:r w:rsidRPr="003C684F">
        <w:rPr>
          <w:rFonts w:ascii="仿宋" w:hAnsi="仿宋" w:eastAsia="仿宋" w:cs="仿宋"/>
          <w:sz w:val="18"/>
          <w:szCs w:val="18"/>
        </w:rPr>
        <w:t>NCI</w:t>
      </w:r>
      <w:r w:rsidRPr="003C684F">
        <w:rPr>
          <w:rFonts w:hint="eastAsia" w:ascii="仿宋" w:hAnsi="仿宋" w:eastAsia="仿宋" w:cs="仿宋"/>
          <w:sz w:val="18"/>
          <w:szCs w:val="18"/>
        </w:rPr>
        <w:t>）不良事件通用术语标准</w:t>
      </w:r>
      <w:r w:rsidRPr="003C684F" w:rsidR="008203A3">
        <w:rPr>
          <w:rFonts w:hint="eastAsia" w:ascii="仿宋" w:hAnsi="仿宋" w:eastAsia="仿宋" w:cs="仿宋"/>
          <w:sz w:val="18"/>
          <w:szCs w:val="18"/>
        </w:rPr>
        <w:t>5</w:t>
      </w:r>
      <w:r w:rsidRPr="003C684F">
        <w:rPr>
          <w:rFonts w:ascii="仿宋" w:hAnsi="仿宋" w:eastAsia="仿宋" w:cs="仿宋"/>
          <w:sz w:val="18"/>
          <w:szCs w:val="18"/>
        </w:rPr>
        <w:t>.0</w:t>
      </w:r>
      <w:r w:rsidRPr="003C684F">
        <w:rPr>
          <w:rFonts w:hint="eastAsia" w:ascii="仿宋" w:hAnsi="仿宋" w:eastAsia="仿宋" w:cs="仿宋"/>
          <w:sz w:val="18"/>
          <w:szCs w:val="18"/>
        </w:rPr>
        <w:t>版。</w:t>
      </w:r>
    </w:p>
    <w:p w:rsidRPr="003C684F" w:rsidR="009730C1" w:rsidP="00AC2BEC" w:rsidRDefault="00A315B9" w14:paraId="56302CDE" w14:textId="77777777">
      <w:pPr>
        <w:widowControl/>
        <w:tabs>
          <w:tab w:val="left" w:pos="567"/>
        </w:tabs>
        <w:snapToGrid w:val="0"/>
        <w:spacing w:before="156" w:beforeLines="50" w:after="156" w:afterLines="50" w:line="360" w:lineRule="auto"/>
        <w:ind w:firstLine="360" w:firstLineChars="200"/>
        <w:jc w:val="left"/>
        <w:rPr>
          <w:rFonts w:ascii="仿宋" w:hAnsi="仿宋" w:eastAsia="仿宋" w:cs="Times New Roman"/>
          <w:kern w:val="0"/>
          <w:sz w:val="18"/>
          <w:szCs w:val="18"/>
          <w:lang w:val="en-GB"/>
        </w:rPr>
      </w:pPr>
      <w:r w:rsidRPr="003C684F">
        <w:rPr>
          <w:rFonts w:ascii="仿宋" w:hAnsi="仿宋" w:eastAsia="仿宋" w:cs="仿宋"/>
          <w:kern w:val="0"/>
          <w:sz w:val="18"/>
          <w:szCs w:val="18"/>
          <w:vertAlign w:val="superscript"/>
          <w:lang w:val="en-GB"/>
        </w:rPr>
        <w:t>b</w:t>
      </w:r>
      <w:r w:rsidRPr="003C684F">
        <w:rPr>
          <w:rFonts w:hint="eastAsia" w:ascii="仿宋" w:hAnsi="仿宋" w:eastAsia="仿宋" w:cs="仿宋"/>
          <w:kern w:val="0"/>
          <w:sz w:val="18"/>
          <w:szCs w:val="18"/>
          <w:lang w:val="en-GB"/>
        </w:rPr>
        <w:t>发生腹泻时，应立即使用抗腹泻药物（如洛哌丁胺），并且对于持续腹泻的情况应继续用药直到腹泻停止。</w:t>
      </w:r>
    </w:p>
    <w:p w:rsidRPr="003C684F" w:rsidR="009730C1" w:rsidP="00AC2BEC" w:rsidRDefault="00A315B9" w14:paraId="11362BA6" w14:textId="77777777">
      <w:pPr>
        <w:snapToGrid w:val="0"/>
        <w:spacing w:before="156" w:beforeLines="50" w:after="156" w:afterLines="50" w:line="360" w:lineRule="auto"/>
        <w:ind w:firstLine="360" w:firstLineChars="200"/>
        <w:rPr>
          <w:rFonts w:ascii="仿宋" w:hAnsi="仿宋" w:eastAsia="仿宋" w:cs="Times New Roman"/>
          <w:sz w:val="18"/>
          <w:szCs w:val="18"/>
        </w:rPr>
      </w:pPr>
      <w:r w:rsidRPr="003C684F">
        <w:rPr>
          <w:rFonts w:ascii="仿宋" w:hAnsi="仿宋" w:eastAsia="仿宋" w:cs="仿宋"/>
          <w:sz w:val="18"/>
          <w:szCs w:val="18"/>
          <w:vertAlign w:val="superscript"/>
        </w:rPr>
        <w:t>c</w:t>
      </w:r>
      <w:r w:rsidRPr="003C684F">
        <w:rPr>
          <w:rFonts w:hint="eastAsia" w:ascii="仿宋" w:hAnsi="仿宋" w:eastAsia="仿宋" w:cs="仿宋"/>
          <w:sz w:val="18"/>
          <w:szCs w:val="18"/>
        </w:rPr>
        <w:t>腹泻＞</w:t>
      </w:r>
      <w:r w:rsidRPr="003C684F">
        <w:rPr>
          <w:rFonts w:ascii="仿宋" w:hAnsi="仿宋" w:eastAsia="仿宋" w:cs="仿宋"/>
          <w:sz w:val="18"/>
          <w:szCs w:val="18"/>
        </w:rPr>
        <w:t>48</w:t>
      </w:r>
      <w:r w:rsidRPr="003C684F">
        <w:rPr>
          <w:rFonts w:hint="eastAsia" w:ascii="仿宋" w:hAnsi="仿宋" w:eastAsia="仿宋" w:cs="仿宋"/>
          <w:sz w:val="18"/>
          <w:szCs w:val="18"/>
        </w:rPr>
        <w:t>小时和</w:t>
      </w:r>
      <w:r w:rsidRPr="003C684F">
        <w:rPr>
          <w:rFonts w:ascii="仿宋" w:hAnsi="仿宋" w:eastAsia="仿宋" w:cs="仿宋"/>
          <w:sz w:val="18"/>
          <w:szCs w:val="18"/>
        </w:rPr>
        <w:t>/</w:t>
      </w:r>
      <w:r w:rsidRPr="003C684F">
        <w:rPr>
          <w:rFonts w:hint="eastAsia" w:ascii="仿宋" w:hAnsi="仿宋" w:eastAsia="仿宋" w:cs="仿宋"/>
          <w:sz w:val="18"/>
          <w:szCs w:val="18"/>
        </w:rPr>
        <w:t>或皮疹＞</w:t>
      </w:r>
      <w:r w:rsidRPr="003C684F">
        <w:rPr>
          <w:rFonts w:ascii="仿宋" w:hAnsi="仿宋" w:eastAsia="仿宋" w:cs="仿宋"/>
          <w:sz w:val="18"/>
          <w:szCs w:val="18"/>
        </w:rPr>
        <w:t>7</w:t>
      </w:r>
      <w:r w:rsidRPr="003C684F">
        <w:rPr>
          <w:rFonts w:hint="eastAsia" w:ascii="仿宋" w:hAnsi="仿宋" w:eastAsia="仿宋" w:cs="仿宋"/>
          <w:sz w:val="18"/>
          <w:szCs w:val="18"/>
        </w:rPr>
        <w:t>天。</w:t>
      </w:r>
    </w:p>
    <w:p w:rsidRPr="003C684F" w:rsidR="009730C1" w:rsidP="00AC2BEC" w:rsidRDefault="00A315B9" w14:paraId="66354177" w14:textId="77777777">
      <w:pPr>
        <w:tabs>
          <w:tab w:val="left" w:pos="1930"/>
        </w:tabs>
        <w:snapToGrid w:val="0"/>
        <w:spacing w:before="156" w:beforeLines="50" w:after="156" w:afterLines="50" w:line="360" w:lineRule="auto"/>
        <w:ind w:firstLine="360" w:firstLineChars="200"/>
        <w:rPr>
          <w:rFonts w:ascii="仿宋" w:hAnsi="仿宋" w:eastAsia="仿宋" w:cs="Times New Roman"/>
        </w:rPr>
      </w:pPr>
      <w:r w:rsidRPr="003C684F">
        <w:rPr>
          <w:rFonts w:ascii="仿宋" w:hAnsi="仿宋" w:eastAsia="仿宋" w:cs="仿宋"/>
          <w:sz w:val="18"/>
          <w:szCs w:val="18"/>
          <w:vertAlign w:val="superscript"/>
        </w:rPr>
        <w:t>d</w:t>
      </w:r>
      <w:r w:rsidRPr="003C684F">
        <w:rPr>
          <w:rFonts w:hint="eastAsia" w:ascii="仿宋" w:hAnsi="仿宋" w:eastAsia="仿宋" w:cs="仿宋"/>
          <w:sz w:val="18"/>
          <w:szCs w:val="18"/>
        </w:rPr>
        <w:t>如果患者不能耐受每天</w:t>
      </w:r>
      <w:r w:rsidRPr="003C684F">
        <w:rPr>
          <w:rFonts w:ascii="仿宋" w:hAnsi="仿宋" w:eastAsia="仿宋" w:cs="仿宋"/>
          <w:sz w:val="18"/>
          <w:szCs w:val="18"/>
        </w:rPr>
        <w:t>20mg</w:t>
      </w:r>
      <w:r w:rsidRPr="003C684F">
        <w:rPr>
          <w:rFonts w:hint="eastAsia" w:ascii="仿宋" w:hAnsi="仿宋" w:eastAsia="仿宋" w:cs="仿宋"/>
          <w:sz w:val="18"/>
          <w:szCs w:val="18"/>
        </w:rPr>
        <w:t>，应考虑永久停用本品。</w:t>
      </w:r>
    </w:p>
    <w:p w:rsidRPr="003C684F" w:rsidR="009730C1" w:rsidRDefault="00A315B9" w14:paraId="241D5AFB" w14:textId="36EB6ADB">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lastRenderedPageBreak/>
        <w:t>5.</w:t>
      </w:r>
      <w:r w:rsidRPr="003C684F">
        <w:rPr>
          <w:rFonts w:hint="eastAsia" w:ascii="仿宋" w:hAnsi="仿宋" w:eastAsia="仿宋" w:cs="仿宋"/>
          <w:sz w:val="32"/>
          <w:szCs w:val="32"/>
        </w:rPr>
        <w:t>对于临床医生评价为耐受性差的患者，</w:t>
      </w:r>
      <w:r w:rsidRPr="003C684F" w:rsidR="00824B15">
        <w:rPr>
          <w:rFonts w:hint="eastAsia" w:ascii="仿宋" w:hAnsi="仿宋" w:eastAsia="仿宋" w:cs="仿宋"/>
          <w:sz w:val="32"/>
          <w:szCs w:val="32"/>
        </w:rPr>
        <w:t>推荐剂量为</w:t>
      </w:r>
      <w:r w:rsidRPr="003C684F">
        <w:rPr>
          <w:rFonts w:ascii="仿宋" w:hAnsi="仿宋" w:eastAsia="仿宋" w:cs="仿宋"/>
          <w:sz w:val="32"/>
          <w:szCs w:val="32"/>
        </w:rPr>
        <w:t>30mg</w:t>
      </w:r>
      <w:r w:rsidRPr="003C684F" w:rsidR="00891127">
        <w:rPr>
          <w:rFonts w:hint="eastAsia" w:ascii="仿宋" w:hAnsi="仿宋" w:eastAsia="仿宋" w:cs="仿宋"/>
          <w:sz w:val="32"/>
          <w:szCs w:val="32"/>
        </w:rPr>
        <w:t>/次，每天一次，口服</w:t>
      </w:r>
      <w:r w:rsidRPr="003C684F">
        <w:rPr>
          <w:rFonts w:hint="eastAsia" w:ascii="仿宋" w:hAnsi="仿宋" w:eastAsia="仿宋" w:cs="仿宋"/>
          <w:sz w:val="32"/>
          <w:szCs w:val="32"/>
        </w:rPr>
        <w:t>。</w:t>
      </w:r>
    </w:p>
    <w:p w:rsidRPr="003C684F" w:rsidR="009730C1" w:rsidRDefault="00A315B9" w14:paraId="1538267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阿法替尼不应与食物同服，应当在进食后至少</w:t>
      </w:r>
      <w:r w:rsidRPr="003C684F">
        <w:rPr>
          <w:rFonts w:ascii="仿宋" w:hAnsi="仿宋" w:eastAsia="仿宋" w:cs="仿宋"/>
          <w:sz w:val="32"/>
          <w:szCs w:val="32"/>
        </w:rPr>
        <w:t>3</w:t>
      </w:r>
      <w:r w:rsidRPr="003C684F">
        <w:rPr>
          <w:rFonts w:hint="eastAsia" w:ascii="仿宋" w:hAnsi="仿宋" w:eastAsia="仿宋" w:cs="仿宋"/>
          <w:sz w:val="32"/>
          <w:szCs w:val="32"/>
        </w:rPr>
        <w:t>小时或进食前至少</w:t>
      </w:r>
      <w:r w:rsidRPr="003C684F">
        <w:rPr>
          <w:rFonts w:ascii="仿宋" w:hAnsi="仿宋" w:eastAsia="仿宋" w:cs="仿宋"/>
          <w:sz w:val="32"/>
          <w:szCs w:val="32"/>
        </w:rPr>
        <w:t>1</w:t>
      </w:r>
      <w:r w:rsidRPr="003C684F">
        <w:rPr>
          <w:rFonts w:hint="eastAsia" w:ascii="仿宋" w:hAnsi="仿宋" w:eastAsia="仿宋" w:cs="仿宋"/>
          <w:sz w:val="32"/>
          <w:szCs w:val="32"/>
        </w:rPr>
        <w:t>小时服用。</w:t>
      </w:r>
    </w:p>
    <w:p w:rsidRPr="003C684F" w:rsidR="009730C1" w:rsidRDefault="00A315B9" w14:paraId="2628E140"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7.</w:t>
      </w:r>
      <w:r w:rsidRPr="003C684F">
        <w:rPr>
          <w:rFonts w:hint="eastAsia" w:ascii="仿宋" w:hAnsi="仿宋" w:eastAsia="仿宋" w:cs="仿宋"/>
          <w:sz w:val="32"/>
          <w:szCs w:val="32"/>
        </w:rPr>
        <w:t>用药期间必须注意腹泻、皮肤相关不良反应、间质性肺炎等不良事件。</w:t>
      </w:r>
    </w:p>
    <w:p w:rsidRPr="003C684F" w:rsidR="009730C1" w:rsidRDefault="00A315B9" w14:paraId="0956204E"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8.</w:t>
      </w:r>
      <w:r w:rsidRPr="003C684F">
        <w:rPr>
          <w:rFonts w:hint="eastAsia" w:ascii="仿宋" w:hAnsi="仿宋" w:eastAsia="仿宋" w:cs="仿宋"/>
          <w:sz w:val="32"/>
          <w:szCs w:val="32"/>
        </w:rPr>
        <w:t>如需要使用</w:t>
      </w:r>
      <w:r w:rsidRPr="003C684F">
        <w:rPr>
          <w:rFonts w:ascii="仿宋" w:hAnsi="仿宋" w:eastAsia="仿宋" w:cs="仿宋"/>
          <w:sz w:val="32"/>
          <w:szCs w:val="32"/>
        </w:rPr>
        <w:t>P-糖蛋白</w:t>
      </w:r>
      <w:r w:rsidRPr="003C684F">
        <w:rPr>
          <w:rFonts w:hint="eastAsia" w:ascii="仿宋" w:hAnsi="仿宋" w:eastAsia="仿宋" w:cs="仿宋"/>
          <w:sz w:val="32"/>
          <w:szCs w:val="32"/>
        </w:rPr>
        <w:t>抑制剂，应采用交错剂量给药，尽可能延长与阿法替尼给药的间隔时间。P-糖蛋白抑制剂应在阿法替尼给药后间隔6小时（P-糖蛋白抑制剂每天两次给药）或12小时（P-糖蛋白抑制剂每天一次给药）给药。</w:t>
      </w:r>
    </w:p>
    <w:p w:rsidRPr="003C684F" w:rsidR="009730C1" w:rsidRDefault="00A315B9" w14:paraId="482211D3" w14:textId="73A19CAB">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9</w:t>
      </w:r>
      <w:r w:rsidRPr="003C684F">
        <w:rPr>
          <w:rFonts w:hint="eastAsia" w:ascii="仿宋" w:hAnsi="仿宋" w:eastAsia="仿宋" w:cs="仿宋"/>
          <w:sz w:val="32"/>
          <w:szCs w:val="32"/>
        </w:rPr>
        <w:t>.阿法替尼不通过CYP酶系代谢，体外实验研究显示与CYP抑制剂或诱导剂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时，对阿法替尼的暴露量无明显影响。</w:t>
      </w:r>
    </w:p>
    <w:p w:rsidRPr="003C684F" w:rsidR="009730C1" w:rsidRDefault="00A315B9" w14:paraId="5E129C0D"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10.本品含有乳糖，患有罕见遗传性半乳糖不耐症、乳糖酶缺乏症或葡萄糖-半乳糖吸收不良的患者不应服用此药品。</w:t>
      </w:r>
    </w:p>
    <w:p w:rsidRPr="003C684F" w:rsidR="009730C1" w:rsidP="0037660B" w:rsidRDefault="00A315B9" w14:paraId="0AF974BE"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五、达可替尼 Dacomitinib</w:t>
      </w:r>
    </w:p>
    <w:p w:rsidRPr="003C684F" w:rsidR="009730C1" w:rsidRDefault="00A315B9" w14:paraId="1F006495" w14:textId="39A6292C">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w:t>
      </w:r>
      <w:r w:rsidRPr="003C684F" w:rsidR="00046D31">
        <w:rPr>
          <w:rFonts w:hint="eastAsia" w:ascii="仿宋" w:hAnsi="仿宋" w:eastAsia="仿宋"/>
          <w:color w:val="000000"/>
          <w:sz w:val="32"/>
          <w:szCs w:val="32"/>
        </w:rPr>
        <w:t>15mg、45mg</w:t>
      </w:r>
    </w:p>
    <w:p w:rsidRPr="003C684F" w:rsidR="009730C1" w:rsidRDefault="00A315B9" w14:paraId="6D1F6D8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单药用于EGFR19外显子缺失突变或21外显子L858R置换突变的局部晚期或转移性NSCLC患者的一线治疗。</w:t>
      </w:r>
    </w:p>
    <w:p w:rsidRPr="003C684F" w:rsidR="009730C1" w:rsidRDefault="00A315B9" w14:paraId="69B91C12"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7D76C483"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1.用药前必须明确有经国家药品监督管理局批准的</w:t>
      </w:r>
      <w:r w:rsidRPr="003C684F">
        <w:rPr>
          <w:rFonts w:hint="eastAsia" w:ascii="仿宋" w:hAnsi="仿宋" w:eastAsia="仿宋"/>
          <w:color w:val="000000"/>
          <w:sz w:val="32"/>
          <w:szCs w:val="32"/>
        </w:rPr>
        <w:lastRenderedPageBreak/>
        <w:t>EGFR基因检测方法检测到的EGFR19外显子缺失突变或21外显子L858R置换突变阳性的患者。</w:t>
      </w:r>
    </w:p>
    <w:p w:rsidRPr="003C684F" w:rsidR="009730C1" w:rsidRDefault="00A315B9" w14:paraId="505DDDF5" w14:textId="77777777">
      <w:pPr>
        <w:spacing w:line="360" w:lineRule="auto"/>
        <w:ind w:firstLine="640" w:firstLineChars="200"/>
        <w:rPr>
          <w:rFonts w:ascii="微软雅黑" w:hAnsi="微软雅黑" w:eastAsia="微软雅黑"/>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对于21外显子L858R置换突变阳性患者，优先推荐达可替尼。</w:t>
      </w:r>
    </w:p>
    <w:p w:rsidRPr="003C684F" w:rsidR="009730C1" w:rsidRDefault="00BC5AA8" w14:paraId="3C18F052" w14:textId="6A444BF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r w:rsidRPr="003C684F" w:rsidR="00A315B9">
        <w:rPr>
          <w:rFonts w:hint="eastAsia" w:ascii="仿宋" w:hAnsi="仿宋" w:eastAsia="仿宋"/>
          <w:color w:val="000000"/>
          <w:sz w:val="32"/>
          <w:szCs w:val="32"/>
        </w:rPr>
        <w:t>.推荐剂量为45mg</w:t>
      </w:r>
      <w:r w:rsidRPr="003C684F" w:rsidR="00820D7B">
        <w:rPr>
          <w:rFonts w:hint="eastAsia" w:ascii="仿宋" w:hAnsi="仿宋" w:eastAsia="仿宋"/>
          <w:color w:val="000000"/>
          <w:sz w:val="32"/>
          <w:szCs w:val="32"/>
        </w:rPr>
        <w:t>/次</w:t>
      </w:r>
      <w:r w:rsidRPr="003C684F" w:rsidR="00A315B9">
        <w:rPr>
          <w:rFonts w:hint="eastAsia" w:ascii="仿宋" w:hAnsi="仿宋" w:eastAsia="仿宋"/>
          <w:color w:val="000000"/>
          <w:sz w:val="32"/>
          <w:szCs w:val="32"/>
        </w:rPr>
        <w:t>，每天一次，</w:t>
      </w:r>
      <w:r w:rsidRPr="003C684F" w:rsidR="00820D7B">
        <w:rPr>
          <w:rFonts w:hint="eastAsia" w:ascii="仿宋" w:hAnsi="仿宋" w:eastAsia="仿宋"/>
          <w:color w:val="000000"/>
          <w:sz w:val="32"/>
          <w:szCs w:val="32"/>
        </w:rPr>
        <w:t>口服，</w:t>
      </w:r>
      <w:r w:rsidRPr="003C684F" w:rsidR="00A315B9">
        <w:rPr>
          <w:rFonts w:hint="eastAsia" w:ascii="仿宋" w:hAnsi="仿宋" w:eastAsia="仿宋"/>
          <w:color w:val="000000"/>
          <w:sz w:val="32"/>
          <w:szCs w:val="32"/>
        </w:rPr>
        <w:t>可与食物同服</w:t>
      </w:r>
      <w:r w:rsidRPr="003C684F" w:rsidR="0037581D">
        <w:rPr>
          <w:rFonts w:hint="eastAsia" w:ascii="仿宋" w:hAnsi="仿宋" w:eastAsia="仿宋"/>
          <w:color w:val="000000"/>
          <w:sz w:val="32"/>
          <w:szCs w:val="32"/>
        </w:rPr>
        <w:t>或不</w:t>
      </w:r>
      <w:r w:rsidRPr="003C684F" w:rsidR="00A315B9">
        <w:rPr>
          <w:rFonts w:hint="eastAsia" w:ascii="仿宋" w:hAnsi="仿宋" w:eastAsia="仿宋"/>
          <w:color w:val="000000"/>
          <w:sz w:val="32"/>
          <w:szCs w:val="32"/>
        </w:rPr>
        <w:t>同服。对于临床医生评价为耐受性差的年老体弱患者，起始剂量可</w:t>
      </w:r>
      <w:r w:rsidRPr="003C684F" w:rsidR="00820D7B">
        <w:rPr>
          <w:rFonts w:hint="eastAsia" w:ascii="仿宋" w:hAnsi="仿宋" w:eastAsia="仿宋"/>
          <w:color w:val="000000"/>
          <w:sz w:val="32"/>
          <w:szCs w:val="32"/>
        </w:rPr>
        <w:t>为</w:t>
      </w:r>
      <w:r w:rsidRPr="003C684F" w:rsidR="00A315B9">
        <w:rPr>
          <w:rFonts w:hint="eastAsia" w:ascii="仿宋" w:hAnsi="仿宋" w:eastAsia="仿宋"/>
          <w:color w:val="000000"/>
          <w:sz w:val="32"/>
          <w:szCs w:val="32"/>
        </w:rPr>
        <w:t>30mg</w:t>
      </w:r>
      <w:r w:rsidRPr="003C684F" w:rsidR="00820D7B">
        <w:rPr>
          <w:rFonts w:hint="eastAsia" w:ascii="仿宋" w:hAnsi="仿宋" w:eastAsia="仿宋"/>
          <w:color w:val="000000"/>
          <w:sz w:val="32"/>
          <w:szCs w:val="32"/>
        </w:rPr>
        <w:t>/次，每天一次，口服</w:t>
      </w:r>
      <w:r w:rsidRPr="003C684F" w:rsidR="00A315B9">
        <w:rPr>
          <w:rFonts w:hint="eastAsia" w:ascii="仿宋" w:hAnsi="仿宋" w:eastAsia="仿宋"/>
          <w:color w:val="000000"/>
          <w:sz w:val="32"/>
          <w:szCs w:val="32"/>
        </w:rPr>
        <w:t>。</w:t>
      </w:r>
    </w:p>
    <w:p w:rsidRPr="003C684F" w:rsidR="009730C1" w:rsidRDefault="00BC5AA8" w14:paraId="23C85E58" w14:textId="7B6B6523">
      <w:pPr>
        <w:spacing w:line="360" w:lineRule="auto"/>
        <w:ind w:firstLine="640" w:firstLineChars="200"/>
        <w:rPr>
          <w:rFonts w:ascii="仿宋" w:hAnsi="仿宋" w:eastAsia="仿宋" w:cs="Times New Roman"/>
          <w:sz w:val="32"/>
          <w:szCs w:val="32"/>
        </w:rPr>
      </w:pPr>
      <w:r w:rsidRPr="003C684F">
        <w:rPr>
          <w:rFonts w:hint="eastAsia" w:ascii="仿宋" w:hAnsi="仿宋" w:eastAsia="仿宋"/>
          <w:color w:val="000000"/>
          <w:sz w:val="32"/>
          <w:szCs w:val="32"/>
        </w:rPr>
        <w:t>4</w:t>
      </w:r>
      <w:r w:rsidRPr="003C684F" w:rsidR="00A315B9">
        <w:rPr>
          <w:rFonts w:hint="eastAsia" w:ascii="仿宋" w:hAnsi="仿宋" w:eastAsia="仿宋"/>
          <w:color w:val="000000"/>
          <w:sz w:val="32"/>
          <w:szCs w:val="32"/>
        </w:rPr>
        <w:t>.达可替尼常见不良反应为腹泻、皮疹、甲沟炎、口腔黏膜炎、皮肤干燥</w:t>
      </w:r>
      <w:r w:rsidRPr="003C684F" w:rsidR="00F41B60">
        <w:rPr>
          <w:rFonts w:hint="eastAsia" w:ascii="仿宋" w:hAnsi="仿宋" w:eastAsia="仿宋"/>
          <w:color w:val="000000"/>
          <w:sz w:val="32"/>
          <w:szCs w:val="32"/>
        </w:rPr>
        <w:t>等，应特别</w:t>
      </w:r>
      <w:r w:rsidRPr="003C684F" w:rsidR="0037581D">
        <w:rPr>
          <w:rFonts w:hint="eastAsia" w:ascii="仿宋" w:hAnsi="仿宋" w:eastAsia="仿宋"/>
          <w:color w:val="000000"/>
          <w:sz w:val="32"/>
          <w:szCs w:val="32"/>
        </w:rPr>
        <w:t>注意间质性肺炎</w:t>
      </w:r>
      <w:r w:rsidRPr="003C684F" w:rsidR="00F41B60">
        <w:rPr>
          <w:rFonts w:hint="eastAsia" w:ascii="仿宋" w:hAnsi="仿宋" w:eastAsia="仿宋"/>
          <w:color w:val="000000"/>
          <w:sz w:val="32"/>
          <w:szCs w:val="32"/>
        </w:rPr>
        <w:t>的发生。</w:t>
      </w:r>
    </w:p>
    <w:p w:rsidRPr="003C684F" w:rsidR="009730C1" w:rsidRDefault="00BC5AA8" w14:paraId="58D826AA" w14:textId="253FF29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w:t>
      </w:r>
      <w:r w:rsidRPr="003C684F" w:rsidR="00A315B9">
        <w:rPr>
          <w:rFonts w:hint="eastAsia" w:ascii="仿宋" w:hAnsi="仿宋" w:eastAsia="仿宋"/>
          <w:color w:val="000000"/>
          <w:sz w:val="32"/>
          <w:szCs w:val="32"/>
        </w:rPr>
        <w:t>.如果出现不良反应，应根据患者的耐受性，以每次减量15mg的方式逐步降低本品的剂量：（1）首次减量至30mg</w:t>
      </w:r>
      <w:r w:rsidRPr="003C684F" w:rsidR="00820D7B">
        <w:rPr>
          <w:rFonts w:hint="eastAsia" w:ascii="仿宋" w:hAnsi="仿宋" w:eastAsia="仿宋"/>
          <w:color w:val="000000"/>
          <w:sz w:val="32"/>
          <w:szCs w:val="32"/>
        </w:rPr>
        <w:t>/次，每天一次，口服</w:t>
      </w:r>
      <w:r w:rsidRPr="003C684F" w:rsidR="00A315B9">
        <w:rPr>
          <w:rFonts w:hint="eastAsia" w:ascii="仿宋" w:hAnsi="仿宋" w:eastAsia="仿宋"/>
          <w:color w:val="000000"/>
          <w:sz w:val="32"/>
          <w:szCs w:val="32"/>
        </w:rPr>
        <w:t>。（2）第2次减量至15mg</w:t>
      </w:r>
      <w:r w:rsidRPr="003C684F" w:rsidR="00820D7B">
        <w:rPr>
          <w:rFonts w:hint="eastAsia" w:ascii="仿宋" w:hAnsi="仿宋" w:eastAsia="仿宋"/>
          <w:color w:val="000000"/>
          <w:sz w:val="32"/>
          <w:szCs w:val="32"/>
        </w:rPr>
        <w:t>/次，每天一次，口服</w:t>
      </w:r>
      <w:r w:rsidRPr="003C684F" w:rsidR="00A315B9">
        <w:rPr>
          <w:rFonts w:hint="eastAsia" w:ascii="仿宋" w:hAnsi="仿宋" w:eastAsia="仿宋"/>
          <w:color w:val="000000"/>
          <w:sz w:val="32"/>
          <w:szCs w:val="32"/>
        </w:rPr>
        <w:t>。如果患者不耐受15mg</w:t>
      </w:r>
      <w:r w:rsidRPr="003C684F" w:rsidR="00820D7B">
        <w:rPr>
          <w:rFonts w:hint="eastAsia" w:ascii="仿宋" w:hAnsi="仿宋" w:eastAsia="仿宋"/>
          <w:color w:val="000000"/>
          <w:sz w:val="32"/>
          <w:szCs w:val="32"/>
        </w:rPr>
        <w:t>/次，每天一次</w:t>
      </w:r>
      <w:r w:rsidRPr="003C684F" w:rsidR="00A315B9">
        <w:rPr>
          <w:rFonts w:hint="eastAsia" w:ascii="仿宋" w:hAnsi="仿宋" w:eastAsia="仿宋"/>
          <w:color w:val="000000"/>
          <w:sz w:val="32"/>
          <w:szCs w:val="32"/>
        </w:rPr>
        <w:t>的给药剂量，</w:t>
      </w:r>
      <w:r w:rsidRPr="003C684F" w:rsidR="00373DC1">
        <w:rPr>
          <w:rFonts w:hint="eastAsia" w:ascii="仿宋" w:hAnsi="仿宋" w:eastAsia="仿宋"/>
          <w:color w:val="000000"/>
          <w:sz w:val="32"/>
          <w:szCs w:val="32"/>
        </w:rPr>
        <w:t>应永久停用</w:t>
      </w:r>
      <w:r w:rsidRPr="003C684F" w:rsidR="00A315B9">
        <w:rPr>
          <w:rFonts w:hint="eastAsia" w:ascii="仿宋" w:hAnsi="仿宋" w:eastAsia="仿宋"/>
          <w:color w:val="000000"/>
          <w:sz w:val="32"/>
          <w:szCs w:val="32"/>
        </w:rPr>
        <w:t>。</w:t>
      </w:r>
    </w:p>
    <w:p w:rsidRPr="003C684F" w:rsidR="009730C1" w:rsidRDefault="00BC5AA8" w14:paraId="775039A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w:t>
      </w:r>
      <w:r w:rsidRPr="003C684F" w:rsidR="00A315B9">
        <w:rPr>
          <w:rFonts w:hint="eastAsia" w:ascii="仿宋" w:hAnsi="仿宋" w:eastAsia="仿宋"/>
          <w:color w:val="000000"/>
          <w:sz w:val="32"/>
          <w:szCs w:val="32"/>
        </w:rPr>
        <w:t>.不建议对轻中重度肝功能或轻中度肾功能损伤的患者调整剂量。尚未确定重度肾功能损伤患者的本品推荐剂量。</w:t>
      </w:r>
    </w:p>
    <w:p w:rsidRPr="003C684F" w:rsidR="009730C1" w:rsidRDefault="00BC5AA8" w14:paraId="5BC072BD"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w:t>
      </w:r>
      <w:r w:rsidRPr="003C684F" w:rsidR="00A315B9">
        <w:rPr>
          <w:rFonts w:hint="eastAsia" w:ascii="仿宋" w:hAnsi="仿宋" w:eastAsia="仿宋"/>
          <w:color w:val="000000"/>
          <w:sz w:val="32"/>
          <w:szCs w:val="32"/>
        </w:rPr>
        <w:t>.服用本品时，避免同时使用质子泵抑制剂。可使用局部作用的抗酸剂或H</w:t>
      </w:r>
      <w:r w:rsidRPr="003C684F" w:rsidR="00A315B9">
        <w:rPr>
          <w:rFonts w:hint="eastAsia" w:ascii="仿宋" w:hAnsi="仿宋" w:eastAsia="仿宋"/>
          <w:color w:val="000000"/>
          <w:sz w:val="32"/>
          <w:szCs w:val="32"/>
          <w:vertAlign w:val="subscript"/>
        </w:rPr>
        <w:t>2</w:t>
      </w:r>
      <w:r w:rsidRPr="003C684F" w:rsidR="00A315B9">
        <w:rPr>
          <w:rFonts w:hint="eastAsia" w:ascii="仿宋" w:hAnsi="仿宋" w:eastAsia="仿宋"/>
          <w:color w:val="000000"/>
          <w:sz w:val="32"/>
          <w:szCs w:val="32"/>
        </w:rPr>
        <w:t>受体拮抗剂代替质子泵抑制剂；必须临时服用H</w:t>
      </w:r>
      <w:r w:rsidRPr="003C684F" w:rsidR="00A315B9">
        <w:rPr>
          <w:rFonts w:hint="eastAsia" w:ascii="仿宋" w:hAnsi="仿宋" w:eastAsia="仿宋"/>
          <w:color w:val="000000"/>
          <w:sz w:val="32"/>
          <w:szCs w:val="32"/>
          <w:vertAlign w:val="subscript"/>
        </w:rPr>
        <w:t>2</w:t>
      </w:r>
      <w:r w:rsidRPr="003C684F" w:rsidR="00A315B9">
        <w:rPr>
          <w:rFonts w:hint="eastAsia" w:ascii="仿宋" w:hAnsi="仿宋" w:eastAsia="仿宋"/>
          <w:color w:val="000000"/>
          <w:sz w:val="32"/>
          <w:szCs w:val="32"/>
        </w:rPr>
        <w:t>受体拮抗剂的情况下，至少提前6小时或滞后10小时后给予本品。</w:t>
      </w:r>
    </w:p>
    <w:p w:rsidRPr="003C684F" w:rsidR="009730C1" w:rsidRDefault="00BC5AA8" w14:paraId="00FEA9FC"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A315B9">
        <w:rPr>
          <w:rFonts w:hint="eastAsia" w:ascii="仿宋" w:hAnsi="仿宋" w:eastAsia="仿宋"/>
          <w:color w:val="000000"/>
          <w:sz w:val="32"/>
          <w:szCs w:val="32"/>
        </w:rPr>
        <w:t>.达可替尼主要通过CYP2D6代谢，服用本品时，避免同时使用CYP2D6底物。</w:t>
      </w:r>
    </w:p>
    <w:p w:rsidRPr="003C684F" w:rsidR="009730C1" w:rsidP="0037660B" w:rsidRDefault="00A315B9" w14:paraId="44CBDC8C" w14:textId="77777777">
      <w:pPr>
        <w:widowControl/>
        <w:autoSpaceDE w:val="0"/>
        <w:autoSpaceDN w:val="0"/>
        <w:adjustRightInd w:val="0"/>
        <w:spacing w:line="360" w:lineRule="auto"/>
        <w:ind w:firstLine="640" w:firstLineChars="200"/>
        <w:jc w:val="left"/>
        <w:outlineLvl w:val="0"/>
        <w:rPr>
          <w:rFonts w:ascii="黑体" w:hAnsi="黑体" w:eastAsia="黑体" w:cs="Times New Roman"/>
          <w:color w:val="000000"/>
          <w:kern w:val="0"/>
          <w:sz w:val="32"/>
          <w:szCs w:val="32"/>
          <w:lang w:val="it-IT"/>
        </w:rPr>
      </w:pPr>
      <w:r w:rsidRPr="003C684F">
        <w:rPr>
          <w:rFonts w:hint="eastAsia" w:ascii="黑体" w:hAnsi="黑体" w:eastAsia="黑体" w:cs="黑体"/>
          <w:sz w:val="32"/>
          <w:szCs w:val="32"/>
          <w:lang w:val="it-IT"/>
        </w:rPr>
        <w:lastRenderedPageBreak/>
        <w:t>六、</w:t>
      </w:r>
      <w:r w:rsidRPr="003C684F">
        <w:rPr>
          <w:rFonts w:hint="eastAsia" w:ascii="黑体" w:hAnsi="黑体" w:eastAsia="黑体" w:cs="黑体"/>
          <w:sz w:val="32"/>
          <w:szCs w:val="32"/>
        </w:rPr>
        <w:t>奥希替尼 O</w:t>
      </w:r>
      <w:r w:rsidRPr="003C684F">
        <w:rPr>
          <w:rFonts w:ascii="黑体" w:hAnsi="黑体" w:eastAsia="黑体" w:cs="黑体"/>
          <w:sz w:val="32"/>
          <w:szCs w:val="32"/>
        </w:rPr>
        <w:t>simertinib</w:t>
      </w:r>
    </w:p>
    <w:p w:rsidRPr="003C684F" w:rsidR="009730C1" w:rsidRDefault="00A315B9" w14:paraId="5BD8C2F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40mg</w:t>
      </w:r>
      <w:r w:rsidRPr="003C684F">
        <w:rPr>
          <w:rFonts w:hint="eastAsia" w:ascii="仿宋" w:hAnsi="仿宋" w:eastAsia="仿宋" w:cs="仿宋"/>
          <w:sz w:val="32"/>
          <w:szCs w:val="32"/>
        </w:rPr>
        <w:t>、</w:t>
      </w:r>
      <w:r w:rsidRPr="003C684F">
        <w:rPr>
          <w:rFonts w:ascii="仿宋" w:hAnsi="仿宋" w:eastAsia="仿宋" w:cs="仿宋"/>
          <w:sz w:val="32"/>
          <w:szCs w:val="32"/>
        </w:rPr>
        <w:t>80mg</w:t>
      </w:r>
    </w:p>
    <w:p w:rsidRPr="003C684F" w:rsidR="009730C1" w:rsidRDefault="00A315B9" w14:paraId="25BBAC49"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RDefault="00A315B9" w14:paraId="2BCD355A" w14:textId="77777777">
      <w:pPr>
        <w:spacing w:line="360" w:lineRule="auto"/>
        <w:ind w:firstLine="640" w:firstLineChars="200"/>
        <w:rPr>
          <w:rFonts w:ascii="仿宋" w:hAnsi="仿宋" w:eastAsia="仿宋" w:cs="仿宋"/>
          <w:bCs/>
          <w:sz w:val="32"/>
          <w:szCs w:val="32"/>
        </w:rPr>
      </w:pPr>
      <w:r w:rsidRPr="003C684F">
        <w:rPr>
          <w:rFonts w:hint="eastAsia" w:ascii="仿宋" w:hAnsi="仿宋" w:eastAsia="仿宋" w:cs="仿宋"/>
          <w:bCs/>
          <w:sz w:val="32"/>
          <w:szCs w:val="32"/>
        </w:rPr>
        <w:t>1.用于ⅠB～ⅢA期EGFR19外显子缺失突变或21外显子L858R置换突变的NSCLC患者的术后辅助治疗，并由医生决定接受或不接受辅助化疗（</w:t>
      </w:r>
      <w:r w:rsidRPr="003C684F">
        <w:rPr>
          <w:rFonts w:hint="eastAsia" w:ascii="仿宋" w:hAnsi="仿宋" w:eastAsia="仿宋"/>
          <w:color w:val="000000"/>
          <w:sz w:val="32"/>
          <w:szCs w:val="32"/>
        </w:rPr>
        <w:t>国际抗癌联盟/美国癌症联合会分期系统IASLC/AJCC第7版分期</w:t>
      </w:r>
      <w:r w:rsidRPr="003C684F">
        <w:rPr>
          <w:rFonts w:hint="eastAsia" w:ascii="仿宋" w:hAnsi="仿宋" w:eastAsia="仿宋" w:cs="仿宋"/>
          <w:bCs/>
          <w:sz w:val="32"/>
          <w:szCs w:val="32"/>
        </w:rPr>
        <w:t>）。</w:t>
      </w:r>
    </w:p>
    <w:p w:rsidRPr="003C684F" w:rsidR="009730C1" w:rsidRDefault="00A315B9" w14:paraId="7A848673" w14:textId="77777777">
      <w:pPr>
        <w:spacing w:line="360" w:lineRule="auto"/>
        <w:ind w:firstLine="640" w:firstLineChars="200"/>
        <w:rPr>
          <w:rFonts w:ascii="仿宋" w:hAnsi="仿宋" w:eastAsia="仿宋" w:cs="仿宋"/>
          <w:bCs/>
          <w:sz w:val="32"/>
          <w:szCs w:val="32"/>
        </w:rPr>
      </w:pPr>
      <w:r w:rsidRPr="003C684F">
        <w:rPr>
          <w:rFonts w:hint="eastAsia" w:ascii="仿宋" w:hAnsi="仿宋" w:eastAsia="仿宋" w:cs="仿宋"/>
          <w:bCs/>
          <w:sz w:val="32"/>
          <w:szCs w:val="32"/>
        </w:rPr>
        <w:t>2.具有</w:t>
      </w:r>
      <w:r w:rsidRPr="003C684F">
        <w:rPr>
          <w:rFonts w:hint="eastAsia" w:ascii="仿宋" w:hAnsi="仿宋" w:eastAsia="仿宋"/>
          <w:color w:val="000000"/>
          <w:sz w:val="32"/>
          <w:szCs w:val="32"/>
        </w:rPr>
        <w:t>EGFR19外显子缺失突变或21外显子L858R置换突变</w:t>
      </w:r>
      <w:r w:rsidRPr="003C684F">
        <w:rPr>
          <w:rFonts w:ascii="仿宋" w:hAnsi="仿宋" w:eastAsia="仿宋" w:cs="仿宋"/>
          <w:bCs/>
          <w:sz w:val="32"/>
          <w:szCs w:val="32"/>
        </w:rPr>
        <w:t>的局部晚期或转移性NSCLC成人患者的一线治疗。</w:t>
      </w:r>
    </w:p>
    <w:p w:rsidRPr="003C684F" w:rsidR="009730C1" w:rsidRDefault="00A315B9" w14:paraId="4926D1ED"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.既往经</w:t>
      </w:r>
      <w:r w:rsidRPr="003C684F">
        <w:rPr>
          <w:rFonts w:ascii="仿宋" w:hAnsi="仿宋" w:eastAsia="仿宋" w:cs="仿宋"/>
          <w:sz w:val="32"/>
          <w:szCs w:val="32"/>
        </w:rPr>
        <w:t>EGFR-TKI</w:t>
      </w:r>
      <w:r w:rsidRPr="003C684F">
        <w:rPr>
          <w:rFonts w:hint="eastAsia" w:ascii="仿宋" w:hAnsi="仿宋" w:eastAsia="仿宋" w:cs="仿宋"/>
          <w:sz w:val="32"/>
          <w:szCs w:val="32"/>
        </w:rPr>
        <w:t>治疗时或治疗后出现疾病进展，并且经检测确认存在</w:t>
      </w:r>
      <w:r w:rsidRPr="003C684F">
        <w:rPr>
          <w:rFonts w:ascii="仿宋" w:hAnsi="仿宋" w:eastAsia="仿宋" w:cs="仿宋"/>
          <w:sz w:val="32"/>
          <w:szCs w:val="32"/>
        </w:rPr>
        <w:t>EGFR T790M</w:t>
      </w:r>
      <w:r w:rsidRPr="003C684F">
        <w:rPr>
          <w:rFonts w:hint="eastAsia" w:ascii="仿宋" w:hAnsi="仿宋" w:eastAsia="仿宋" w:cs="仿宋"/>
          <w:sz w:val="32"/>
          <w:szCs w:val="32"/>
        </w:rPr>
        <w:t>突变阳性</w:t>
      </w:r>
      <w:r w:rsidRPr="003C684F">
        <w:rPr>
          <w:rFonts w:hint="eastAsia" w:ascii="仿宋" w:hAnsi="仿宋" w:eastAsia="仿宋" w:cs="仿宋"/>
          <w:w w:val="98"/>
          <w:sz w:val="32"/>
          <w:szCs w:val="32"/>
        </w:rPr>
        <w:t>的局部晚期或转移性</w:t>
      </w:r>
      <w:r w:rsidRPr="003C684F">
        <w:rPr>
          <w:rFonts w:ascii="仿宋" w:hAnsi="仿宋" w:eastAsia="仿宋" w:cs="仿宋"/>
          <w:w w:val="98"/>
          <w:sz w:val="32"/>
          <w:szCs w:val="32"/>
        </w:rPr>
        <w:t>NSCLC</w:t>
      </w:r>
      <w:r w:rsidRPr="003C684F">
        <w:rPr>
          <w:rFonts w:hint="eastAsia" w:ascii="仿宋" w:hAnsi="仿宋" w:eastAsia="仿宋" w:cs="仿宋"/>
          <w:w w:val="98"/>
          <w:sz w:val="32"/>
          <w:szCs w:val="32"/>
        </w:rPr>
        <w:t>成人患者的治疗。</w:t>
      </w:r>
    </w:p>
    <w:p w:rsidRPr="003C684F" w:rsidR="009730C1" w:rsidRDefault="00A315B9" w14:paraId="71505D84"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3208ACA"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术后辅助用药或一线用药前必须明确有经国家药品监督管理局批准的EGFR基因检测方法检测到的EGFR19外显子缺失突变或21外显子L858R置换突变阳性的患者。</w:t>
      </w:r>
    </w:p>
    <w:p w:rsidRPr="003C684F" w:rsidR="009730C1" w:rsidRDefault="00A315B9" w14:paraId="0279285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2.对于既往经EGFR-TKI治疗时或治疗后出现疾病进展的局部晚期或转移性患者，用药前必须明确有经国家药品监督管理局批准的检测方法检测到EGFR T790M突变。</w:t>
      </w:r>
    </w:p>
    <w:p w:rsidRPr="003C684F" w:rsidR="009730C1" w:rsidRDefault="00A315B9" w14:paraId="7D0DA450"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3.EGFR基因敏感突变的ⅠB～</w:t>
      </w:r>
      <w:r w:rsidRPr="003C684F">
        <w:rPr>
          <w:rFonts w:hint="eastAsia" w:ascii="仿宋" w:hAnsi="仿宋" w:eastAsia="仿宋"/>
          <w:color w:val="000000"/>
          <w:sz w:val="32"/>
          <w:szCs w:val="32"/>
        </w:rPr>
        <w:t>Ⅲ</w:t>
      </w:r>
      <w:r w:rsidRPr="003C684F">
        <w:rPr>
          <w:rFonts w:hint="eastAsia" w:ascii="仿宋" w:hAnsi="仿宋" w:eastAsia="仿宋" w:cs="Times New Roman"/>
          <w:sz w:val="32"/>
          <w:szCs w:val="32"/>
        </w:rPr>
        <w:t>A期NSCLC患者完全肿瘤切除术后推荐</w:t>
      </w:r>
      <w:r w:rsidRPr="003C684F">
        <w:rPr>
          <w:rFonts w:hint="eastAsia" w:ascii="仿宋" w:hAnsi="仿宋" w:eastAsia="仿宋" w:cs="仿宋"/>
          <w:sz w:val="32"/>
          <w:szCs w:val="32"/>
        </w:rPr>
        <w:t>奥希替尼</w:t>
      </w:r>
      <w:r w:rsidRPr="003C684F">
        <w:rPr>
          <w:rFonts w:hint="eastAsia" w:ascii="仿宋" w:hAnsi="仿宋" w:eastAsia="仿宋" w:cs="Times New Roman"/>
          <w:sz w:val="32"/>
          <w:szCs w:val="32"/>
        </w:rPr>
        <w:t>辅助治疗（国际抗癌联盟/美国癌症联合会分期系统IASLC/AJCC第7版分期）。</w:t>
      </w:r>
    </w:p>
    <w:p w:rsidRPr="003C684F" w:rsidR="009730C1" w:rsidRDefault="00A315B9" w14:paraId="0F6583EF"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lastRenderedPageBreak/>
        <w:t>4.基于与一代EGFR-TKI对比的随机对照临床试验结果，</w:t>
      </w:r>
      <w:r w:rsidRPr="003C684F">
        <w:rPr>
          <w:rFonts w:ascii="仿宋" w:hAnsi="仿宋" w:eastAsia="仿宋" w:cs="仿宋"/>
          <w:sz w:val="32"/>
          <w:szCs w:val="32"/>
        </w:rPr>
        <w:t>EGFR</w:t>
      </w:r>
      <w:r w:rsidRPr="003C684F">
        <w:rPr>
          <w:rFonts w:hint="eastAsia" w:ascii="仿宋" w:hAnsi="仿宋" w:eastAsia="仿宋" w:cs="仿宋"/>
          <w:sz w:val="32"/>
          <w:szCs w:val="32"/>
        </w:rPr>
        <w:t>突变阳性的脑转移或脑膜转移患者推荐优先使用三代EGFR-TKI。本条标准适用于奥希替尼、阿美替尼和伏美替尼。</w:t>
      </w:r>
    </w:p>
    <w:p w:rsidRPr="003C684F" w:rsidR="009730C1" w:rsidRDefault="00A315B9" w14:paraId="44831D66" w14:textId="5452E0C2">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5.奥希替尼推荐剂量为80mg</w:t>
      </w:r>
      <w:r w:rsidRPr="003C684F" w:rsidR="00CF525E">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CF525E">
        <w:rPr>
          <w:rFonts w:hint="eastAsia" w:ascii="仿宋" w:hAnsi="仿宋" w:eastAsia="仿宋" w:cs="仿宋"/>
          <w:sz w:val="32"/>
          <w:szCs w:val="32"/>
        </w:rPr>
        <w:t>口服，</w:t>
      </w:r>
      <w:r w:rsidRPr="003C684F">
        <w:rPr>
          <w:rFonts w:hint="eastAsia" w:ascii="仿宋" w:hAnsi="仿宋" w:eastAsia="仿宋" w:cs="仿宋"/>
          <w:sz w:val="32"/>
          <w:szCs w:val="32"/>
        </w:rPr>
        <w:t>进餐或空腹时服用均可。根据患者个体的安全性和耐受性，可暂停用药或减量。如果需要减量，则剂量应减至40mg</w:t>
      </w:r>
      <w:r w:rsidRPr="003C684F" w:rsidR="00CF525E">
        <w:rPr>
          <w:rFonts w:hint="eastAsia" w:ascii="仿宋" w:hAnsi="仿宋" w:eastAsia="仿宋" w:cs="仿宋"/>
          <w:sz w:val="32"/>
          <w:szCs w:val="32"/>
        </w:rPr>
        <w:t>/次，每天一次，口服</w:t>
      </w:r>
      <w:r w:rsidRPr="003C684F">
        <w:rPr>
          <w:rFonts w:hint="eastAsia" w:ascii="仿宋" w:hAnsi="仿宋" w:eastAsia="仿宋" w:cs="仿宋"/>
          <w:sz w:val="32"/>
          <w:szCs w:val="32"/>
        </w:rPr>
        <w:t>。</w:t>
      </w:r>
    </w:p>
    <w:p w:rsidRPr="003C684F" w:rsidR="009730C1" w:rsidRDefault="00A315B9" w14:paraId="750BA705"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用药期间必须注意常见的皮肤反应和腹泻，需注意</w:t>
      </w:r>
      <w:r w:rsidRPr="003C684F">
        <w:rPr>
          <w:rFonts w:ascii="仿宋" w:hAnsi="仿宋" w:eastAsia="仿宋" w:cs="仿宋"/>
          <w:sz w:val="32"/>
          <w:szCs w:val="32"/>
        </w:rPr>
        <w:t>心电图</w:t>
      </w:r>
      <w:r w:rsidRPr="003C684F">
        <w:rPr>
          <w:rFonts w:hint="eastAsia" w:ascii="仿宋" w:hAnsi="仿宋" w:eastAsia="仿宋" w:cs="仿宋"/>
          <w:sz w:val="32"/>
          <w:szCs w:val="32"/>
        </w:rPr>
        <w:t>QTc间期延长，应特别注意间质性肺炎的发生。</w:t>
      </w:r>
    </w:p>
    <w:p w:rsidRPr="003C684F" w:rsidR="009730C1" w:rsidRDefault="00A315B9" w14:paraId="5B136A45"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仿宋"/>
          <w:sz w:val="32"/>
          <w:szCs w:val="32"/>
        </w:rPr>
        <w:t>避免与</w:t>
      </w:r>
      <w:r w:rsidRPr="003C684F">
        <w:rPr>
          <w:rFonts w:ascii="仿宋" w:hAnsi="仿宋" w:eastAsia="仿宋" w:cs="仿宋"/>
          <w:sz w:val="32"/>
          <w:szCs w:val="32"/>
        </w:rPr>
        <w:t>CYP3A4</w:t>
      </w:r>
      <w:r w:rsidRPr="003C684F">
        <w:rPr>
          <w:rFonts w:hint="eastAsia" w:ascii="仿宋" w:hAnsi="仿宋" w:eastAsia="仿宋" w:cs="仿宋"/>
          <w:sz w:val="32"/>
          <w:szCs w:val="32"/>
        </w:rPr>
        <w:t>强效诱导剂、乳腺癌耐药蛋白底物以及P-糖蛋白底物联合使用。</w:t>
      </w:r>
    </w:p>
    <w:p w:rsidRPr="003C684F" w:rsidR="009730C1" w:rsidRDefault="00A315B9" w14:paraId="12E0B1DC"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2022 NCCN指南及2022 ESMO《EGFR突变阳性NSCLC管理共识》推荐奥希替尼用于EGFR少见突变（S768I，L861Q，或G719X突变）晚期或转移性NSCLC患者的治疗。</w:t>
      </w:r>
    </w:p>
    <w:p w:rsidRPr="003C684F" w:rsidR="009730C1" w:rsidRDefault="00A315B9" w14:paraId="511401C3" w14:textId="77777777">
      <w:pPr>
        <w:spacing w:line="360" w:lineRule="auto"/>
        <w:ind w:firstLine="643" w:firstLineChars="200"/>
        <w:rPr>
          <w:rFonts w:ascii="仿宋" w:hAnsi="仿宋" w:eastAsia="仿宋"/>
          <w:color w:val="000000"/>
          <w:sz w:val="32"/>
          <w:szCs w:val="32"/>
        </w:rPr>
      </w:pPr>
      <w:r w:rsidRPr="003C684F">
        <w:rPr>
          <w:rFonts w:hint="eastAsia" w:ascii="黑体" w:hAnsi="黑体" w:eastAsia="黑体"/>
          <w:b/>
          <w:color w:val="000000"/>
          <w:sz w:val="32"/>
          <w:szCs w:val="32"/>
        </w:rPr>
        <w:t>七</w:t>
      </w:r>
      <w:r w:rsidRPr="003C684F">
        <w:rPr>
          <w:rFonts w:hint="eastAsia" w:ascii="黑体" w:hAnsi="黑体" w:eastAsia="黑体"/>
          <w:color w:val="000000"/>
          <w:sz w:val="32"/>
          <w:szCs w:val="32"/>
        </w:rPr>
        <w:t>、阿美替尼 Almonertinib</w:t>
      </w:r>
    </w:p>
    <w:p w:rsidRPr="003C684F" w:rsidR="009730C1" w:rsidRDefault="00A315B9" w14:paraId="07948291"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片剂：55mg</w:t>
      </w:r>
    </w:p>
    <w:p w:rsidRPr="003C684F" w:rsidR="009730C1" w:rsidRDefault="00A315B9" w14:paraId="6761974A"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25F5EEF1" w14:textId="77777777">
      <w:pPr>
        <w:spacing w:line="360" w:lineRule="auto"/>
        <w:ind w:firstLine="640" w:firstLineChars="200"/>
        <w:rPr>
          <w:rFonts w:ascii="仿宋" w:hAnsi="仿宋" w:eastAsia="仿宋"/>
          <w:b/>
          <w:color w:val="000000"/>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具有EGFR19外显子缺失突变或</w:t>
      </w:r>
      <w:r w:rsidRPr="003C684F">
        <w:rPr>
          <w:rFonts w:hint="eastAsia" w:ascii="仿宋" w:hAnsi="仿宋" w:eastAsia="仿宋" w:cs="仿宋"/>
          <w:sz w:val="32"/>
          <w:szCs w:val="32"/>
        </w:rPr>
        <w:t>21外显子L858R</w:t>
      </w:r>
      <w:r w:rsidRPr="003C684F">
        <w:rPr>
          <w:rFonts w:hint="eastAsia" w:ascii="仿宋" w:hAnsi="仿宋" w:eastAsia="仿宋"/>
          <w:color w:val="000000"/>
          <w:sz w:val="32"/>
          <w:szCs w:val="32"/>
        </w:rPr>
        <w:t>置换突变的局部晚期或转移性NSCLC成人患者的一线治疗。</w:t>
      </w:r>
    </w:p>
    <w:p w:rsidRPr="003C684F" w:rsidR="009730C1" w:rsidRDefault="00A315B9" w14:paraId="66DC4D18"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既往经EGFR-TKI治疗时或治疗后出现疾病进展，并且经检测确认存在</w:t>
      </w:r>
      <w:r w:rsidRPr="003C684F" w:rsidR="00D50B37">
        <w:rPr>
          <w:rFonts w:hint="eastAsia" w:ascii="仿宋" w:hAnsi="仿宋" w:eastAsia="仿宋"/>
          <w:color w:val="000000"/>
          <w:sz w:val="32"/>
          <w:szCs w:val="32"/>
        </w:rPr>
        <w:t>EGFRT 790M</w:t>
      </w:r>
      <w:r w:rsidRPr="003C684F">
        <w:rPr>
          <w:rFonts w:hint="eastAsia" w:ascii="仿宋" w:hAnsi="仿宋" w:eastAsia="仿宋"/>
          <w:color w:val="000000"/>
          <w:sz w:val="32"/>
          <w:szCs w:val="32"/>
        </w:rPr>
        <w:t>突变阳性的局部晚期或转移性NSCLC成人患者的治疗。</w:t>
      </w:r>
    </w:p>
    <w:p w:rsidRPr="003C684F" w:rsidR="009730C1" w:rsidRDefault="00A315B9" w14:paraId="2C867EBE"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lastRenderedPageBreak/>
        <w:t>合理用药要点：</w:t>
      </w:r>
    </w:p>
    <w:p w:rsidRPr="003C684F" w:rsidR="009730C1" w:rsidRDefault="00A315B9" w14:paraId="3EB8FD84" w14:textId="51C674D0">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1.阿美替尼推荐剂量为110mg</w:t>
      </w:r>
      <w:r w:rsidRPr="003C684F" w:rsidR="00147EDB">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空腹或餐后服用均可，整片吞服，</w:t>
      </w:r>
      <w:r w:rsidRPr="003C684F" w:rsidR="00584CC8">
        <w:rPr>
          <w:rFonts w:hint="eastAsia" w:ascii="仿宋" w:hAnsi="仿宋" w:eastAsia="仿宋"/>
          <w:color w:val="000000"/>
          <w:sz w:val="32"/>
          <w:szCs w:val="32"/>
        </w:rPr>
        <w:t>不应咀嚼、压碎或掰断药片。</w:t>
      </w:r>
      <w:r w:rsidRPr="003C684F">
        <w:rPr>
          <w:rFonts w:hint="eastAsia" w:ascii="仿宋" w:hAnsi="仿宋" w:eastAsia="仿宋"/>
          <w:color w:val="000000"/>
          <w:sz w:val="32"/>
          <w:szCs w:val="32"/>
        </w:rPr>
        <w:t>对于无法整片吞咽药物和需经鼻胃管喂饲的患者，可将药片直接溶于不含碳酸盐的饮用水中完全分散后服用。</w:t>
      </w:r>
    </w:p>
    <w:p w:rsidRPr="003C684F" w:rsidR="009730C1" w:rsidRDefault="00A315B9" w14:paraId="59E27729" w14:textId="77777777">
      <w:pPr>
        <w:spacing w:line="360" w:lineRule="auto"/>
        <w:ind w:firstLine="640" w:firstLineChars="200"/>
        <w:rPr>
          <w:rFonts w:ascii="仿宋" w:hAnsi="仿宋" w:eastAsia="仿宋"/>
          <w:b/>
          <w:color w:val="000000"/>
          <w:sz w:val="32"/>
          <w:szCs w:val="32"/>
        </w:rPr>
      </w:pPr>
      <w:r w:rsidRPr="003C684F">
        <w:rPr>
          <w:rFonts w:hint="eastAsia" w:ascii="仿宋" w:hAnsi="仿宋" w:eastAsia="仿宋"/>
          <w:color w:val="000000"/>
          <w:sz w:val="32"/>
          <w:szCs w:val="32"/>
        </w:rPr>
        <w:t>2.一线用药前必须明确有经国家药品监督管理局批准的检测方法检测到EGFR19外显子缺失突变或</w:t>
      </w:r>
      <w:r w:rsidRPr="003C684F">
        <w:rPr>
          <w:rFonts w:hint="eastAsia" w:ascii="仿宋" w:hAnsi="仿宋" w:eastAsia="仿宋" w:cs="仿宋"/>
          <w:sz w:val="32"/>
          <w:szCs w:val="32"/>
        </w:rPr>
        <w:t>21外显子L858R</w:t>
      </w:r>
      <w:r w:rsidRPr="003C684F">
        <w:rPr>
          <w:rFonts w:hint="eastAsia" w:ascii="仿宋" w:hAnsi="仿宋" w:eastAsia="仿宋"/>
          <w:color w:val="000000"/>
          <w:sz w:val="32"/>
          <w:szCs w:val="32"/>
        </w:rPr>
        <w:t>置换突变。</w:t>
      </w:r>
    </w:p>
    <w:p w:rsidRPr="003C684F" w:rsidR="009730C1" w:rsidRDefault="00A315B9" w14:paraId="6002414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3.对于既往经EGFR-TKI治疗时或治疗后出现疾病进展的局部晚期或转移性患者，用药前必须明确有经国家药品监督管理局批准的检测方法检测到</w:t>
      </w:r>
      <w:r w:rsidRPr="003C684F" w:rsidR="00D50B37">
        <w:rPr>
          <w:rFonts w:hint="eastAsia" w:ascii="仿宋" w:hAnsi="仿宋" w:eastAsia="仿宋"/>
          <w:color w:val="000000"/>
          <w:sz w:val="32"/>
          <w:szCs w:val="32"/>
        </w:rPr>
        <w:t>EGFRT 790M</w:t>
      </w:r>
      <w:r w:rsidRPr="003C684F">
        <w:rPr>
          <w:rFonts w:hint="eastAsia" w:ascii="仿宋" w:hAnsi="仿宋" w:eastAsia="仿宋"/>
          <w:color w:val="000000"/>
          <w:sz w:val="32"/>
          <w:szCs w:val="32"/>
        </w:rPr>
        <w:t>突变。</w:t>
      </w:r>
    </w:p>
    <w:p w:rsidRPr="003C684F" w:rsidR="009730C1" w:rsidRDefault="00A315B9" w14:paraId="519005E8" w14:textId="133BA54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4.阿美替尼常见不良反应为皮疹、血肌酸磷酸激酶升高和瘙痒等，腹泻的发生率相对较低。</w:t>
      </w:r>
      <w:r w:rsidRPr="003C684F" w:rsidR="00E775AD">
        <w:rPr>
          <w:rFonts w:hint="eastAsia" w:ascii="仿宋" w:hAnsi="仿宋" w:eastAsia="仿宋"/>
          <w:color w:val="000000"/>
          <w:sz w:val="32"/>
          <w:szCs w:val="32"/>
        </w:rPr>
        <w:t>需警惕间质性肺炎的发生</w:t>
      </w:r>
      <w:r w:rsidRPr="003C684F">
        <w:rPr>
          <w:rFonts w:hint="eastAsia" w:ascii="仿宋" w:hAnsi="仿宋" w:eastAsia="仿宋"/>
          <w:color w:val="000000"/>
          <w:sz w:val="32"/>
          <w:szCs w:val="32"/>
        </w:rPr>
        <w:t>。</w:t>
      </w:r>
    </w:p>
    <w:p w:rsidRPr="003C684F" w:rsidR="009730C1" w:rsidRDefault="00A315B9" w14:paraId="1D3F7471" w14:textId="55A2CBD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5.避免与CYP3A4强效诱导剂</w:t>
      </w:r>
      <w:r w:rsidRPr="003C684F" w:rsidR="00783329">
        <w:rPr>
          <w:rFonts w:hint="eastAsia" w:ascii="仿宋" w:hAnsi="仿宋" w:eastAsia="仿宋"/>
          <w:color w:val="000000"/>
          <w:sz w:val="32"/>
          <w:szCs w:val="32"/>
        </w:rPr>
        <w:t>或</w:t>
      </w:r>
      <w:r w:rsidRPr="003C684F">
        <w:rPr>
          <w:rFonts w:hint="eastAsia" w:ascii="仿宋" w:hAnsi="仿宋" w:eastAsia="仿宋"/>
          <w:color w:val="000000"/>
          <w:sz w:val="32"/>
          <w:szCs w:val="32"/>
        </w:rPr>
        <w:t>抑制剂联合使用，应慎用乳腺癌耐药蛋白和P-糖蛋白敏感底物的窄治疗窗药物。避免与升高血肌酸磷酸激酶的药物（如他汀类药物）联合使用。</w:t>
      </w:r>
    </w:p>
    <w:p w:rsidRPr="003C684F" w:rsidR="009730C1" w:rsidRDefault="00A315B9" w14:paraId="2662E0C1"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八、伏美替尼 Furmonertinib</w:t>
      </w:r>
    </w:p>
    <w:p w:rsidRPr="003C684F" w:rsidR="009730C1" w:rsidRDefault="00A315B9" w14:paraId="3A550D74"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片剂：40mg</w:t>
      </w:r>
    </w:p>
    <w:p w:rsidRPr="003C684F" w:rsidR="009730C1" w:rsidRDefault="00A315B9" w14:paraId="6BF1DD9A"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38CF3B3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1.具有EGFR19外显子缺失突变或</w:t>
      </w:r>
      <w:r w:rsidRPr="003C684F">
        <w:rPr>
          <w:rFonts w:hint="eastAsia" w:ascii="仿宋" w:hAnsi="仿宋" w:eastAsia="仿宋" w:cs="仿宋"/>
          <w:sz w:val="32"/>
          <w:szCs w:val="32"/>
        </w:rPr>
        <w:t>21外显子L858R置换突变</w:t>
      </w:r>
      <w:r w:rsidRPr="003C684F">
        <w:rPr>
          <w:rFonts w:hint="eastAsia" w:ascii="仿宋" w:hAnsi="仿宋" w:eastAsia="仿宋"/>
          <w:color w:val="000000"/>
          <w:sz w:val="32"/>
          <w:szCs w:val="32"/>
        </w:rPr>
        <w:t>的局部晚期或转移性</w:t>
      </w:r>
      <w:r w:rsidRPr="003C684F">
        <w:rPr>
          <w:rFonts w:ascii="仿宋" w:hAnsi="仿宋" w:eastAsia="仿宋"/>
          <w:color w:val="000000"/>
          <w:sz w:val="32"/>
          <w:szCs w:val="32"/>
        </w:rPr>
        <w:t>NSCLC</w:t>
      </w:r>
      <w:r w:rsidRPr="003C684F">
        <w:rPr>
          <w:rFonts w:hint="eastAsia" w:ascii="仿宋" w:hAnsi="仿宋" w:eastAsia="仿宋"/>
          <w:color w:val="000000"/>
          <w:sz w:val="32"/>
          <w:szCs w:val="32"/>
        </w:rPr>
        <w:t>成人患者的一线治疗。</w:t>
      </w:r>
    </w:p>
    <w:p w:rsidRPr="003C684F" w:rsidR="009730C1" w:rsidRDefault="00A315B9" w14:paraId="011F2737"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lastRenderedPageBreak/>
        <w:t>2.</w:t>
      </w:r>
      <w:r w:rsidRPr="003C684F">
        <w:rPr>
          <w:rFonts w:hint="eastAsia" w:ascii="仿宋" w:hAnsi="仿宋" w:eastAsia="仿宋"/>
          <w:color w:val="000000"/>
          <w:sz w:val="32"/>
          <w:szCs w:val="32"/>
        </w:rPr>
        <w:t>既往经EGFR-TKI治疗时或治疗后出现疾病进展，并且经检测确认存在</w:t>
      </w:r>
      <w:r w:rsidRPr="003C684F" w:rsidR="00D50B37">
        <w:rPr>
          <w:rFonts w:hint="eastAsia" w:ascii="仿宋" w:hAnsi="仿宋" w:eastAsia="仿宋"/>
          <w:color w:val="000000"/>
          <w:sz w:val="32"/>
          <w:szCs w:val="32"/>
        </w:rPr>
        <w:t>EGFRT 790M</w:t>
      </w:r>
      <w:r w:rsidRPr="003C684F">
        <w:rPr>
          <w:rFonts w:hint="eastAsia" w:ascii="仿宋" w:hAnsi="仿宋" w:eastAsia="仿宋"/>
          <w:color w:val="000000"/>
          <w:sz w:val="32"/>
          <w:szCs w:val="32"/>
        </w:rPr>
        <w:t>突变阳性的局部晚期或转移性NSCLC成人患者的治疗。</w:t>
      </w:r>
    </w:p>
    <w:p w:rsidRPr="003C684F" w:rsidR="009730C1" w:rsidRDefault="00A315B9" w14:paraId="23301CFC"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07D4A546"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1.一线用药前必须明确有经国家药品监督管理局批准的检测方法检测到EGFR19外显子缺失突变或</w:t>
      </w:r>
      <w:r w:rsidRPr="003C684F">
        <w:rPr>
          <w:rFonts w:hint="eastAsia" w:ascii="仿宋" w:hAnsi="仿宋" w:eastAsia="仿宋" w:cs="仿宋"/>
          <w:sz w:val="32"/>
          <w:szCs w:val="32"/>
        </w:rPr>
        <w:t>21外显子L858R置换突变</w:t>
      </w:r>
      <w:r w:rsidRPr="003C684F">
        <w:rPr>
          <w:rFonts w:hint="eastAsia" w:ascii="仿宋" w:hAnsi="仿宋" w:eastAsia="仿宋"/>
          <w:color w:val="000000"/>
          <w:sz w:val="32"/>
          <w:szCs w:val="32"/>
        </w:rPr>
        <w:t>。</w:t>
      </w:r>
    </w:p>
    <w:p w:rsidRPr="003C684F" w:rsidR="009730C1" w:rsidRDefault="00A315B9" w14:paraId="03D5367A"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2.对于既往经EGFR-TKI治疗时或治疗后出现疾病进展的局部晚期或转移性患者，用药前必须明确有经国家药品监督管理局批准的检测方法检测到</w:t>
      </w:r>
      <w:r w:rsidRPr="003C684F" w:rsidR="00D50B37">
        <w:rPr>
          <w:rFonts w:hint="eastAsia" w:ascii="仿宋" w:hAnsi="仿宋" w:eastAsia="仿宋"/>
          <w:color w:val="000000"/>
          <w:sz w:val="32"/>
          <w:szCs w:val="32"/>
        </w:rPr>
        <w:t>EGFRT 790M</w:t>
      </w:r>
      <w:r w:rsidRPr="003C684F">
        <w:rPr>
          <w:rFonts w:hint="eastAsia" w:ascii="仿宋" w:hAnsi="仿宋" w:eastAsia="仿宋"/>
          <w:color w:val="000000"/>
          <w:sz w:val="32"/>
          <w:szCs w:val="32"/>
        </w:rPr>
        <w:t>突变。</w:t>
      </w:r>
    </w:p>
    <w:p w:rsidRPr="003C684F" w:rsidR="009730C1" w:rsidRDefault="00A315B9" w14:paraId="25979F74" w14:textId="12F67E5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3.推荐剂量为80mg</w:t>
      </w:r>
      <w:r w:rsidRPr="003C684F" w:rsidR="007B4287">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7B4287">
        <w:rPr>
          <w:rFonts w:hint="eastAsia" w:ascii="仿宋" w:hAnsi="仿宋" w:eastAsia="仿宋"/>
          <w:color w:val="000000"/>
          <w:sz w:val="32"/>
          <w:szCs w:val="32"/>
        </w:rPr>
        <w:t>，</w:t>
      </w:r>
      <w:r w:rsidRPr="003C684F">
        <w:rPr>
          <w:rFonts w:hint="eastAsia" w:ascii="仿宋" w:hAnsi="仿宋" w:eastAsia="仿宋"/>
          <w:color w:val="000000"/>
          <w:sz w:val="32"/>
          <w:szCs w:val="32"/>
        </w:rPr>
        <w:t>空腹口服。</w:t>
      </w:r>
      <w:r w:rsidRPr="003C684F" w:rsidR="007B4287">
        <w:rPr>
          <w:rFonts w:hint="eastAsia" w:ascii="仿宋" w:hAnsi="仿宋" w:eastAsia="仿宋"/>
          <w:color w:val="000000"/>
          <w:sz w:val="32"/>
          <w:szCs w:val="32"/>
        </w:rPr>
        <w:t>使用本品过程中如出现不良事件，可根据具体情况暂停给药、降低剂量或永久停用。如果需要减量，则剂量可减至40mg/次，每天一次。</w:t>
      </w:r>
    </w:p>
    <w:p w:rsidRPr="003C684F" w:rsidR="009730C1" w:rsidRDefault="00A315B9" w14:paraId="44CCFF04" w14:textId="0C9496AF">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4.伏美替尼常见不良反应（超过20%）为丙氨酸氨基转移酶（ALT）/</w:t>
      </w:r>
      <w:r w:rsidRPr="003C684F" w:rsidR="00E67031">
        <w:rPr>
          <w:rFonts w:hint="eastAsia" w:ascii="仿宋" w:hAnsi="仿宋" w:eastAsia="仿宋"/>
          <w:color w:val="000000"/>
          <w:sz w:val="32"/>
          <w:szCs w:val="32"/>
        </w:rPr>
        <w:t>天</w:t>
      </w:r>
      <w:r w:rsidRPr="003C684F">
        <w:rPr>
          <w:rFonts w:hint="eastAsia" w:ascii="仿宋" w:hAnsi="仿宋" w:eastAsia="仿宋"/>
          <w:color w:val="000000"/>
          <w:sz w:val="32"/>
          <w:szCs w:val="32"/>
        </w:rPr>
        <w:t>门冬氨酸氨基转移酶（AST）升高。需警惕间质性肺炎的发生。</w:t>
      </w:r>
    </w:p>
    <w:p w:rsidRPr="003C684F" w:rsidR="009730C1" w:rsidRDefault="00A315B9" w14:paraId="076024CB" w14:textId="6172FA3A">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5.避免与CYP3A4强效诱导剂或抑制剂联合使用。</w:t>
      </w:r>
    </w:p>
    <w:p w:rsidRPr="003C684F" w:rsidR="009730C1" w:rsidP="0037660B" w:rsidRDefault="00A315B9" w14:paraId="0E7043EF" w14:textId="77777777">
      <w:pPr>
        <w:spacing w:line="360" w:lineRule="auto"/>
        <w:ind w:firstLine="640" w:firstLineChars="200"/>
        <w:outlineLvl w:val="0"/>
        <w:rPr>
          <w:rFonts w:ascii="黑体" w:hAnsi="黑体" w:eastAsia="黑体" w:cs="Times New Roman"/>
          <w:sz w:val="32"/>
          <w:szCs w:val="32"/>
          <w:lang w:val="fr-FR"/>
        </w:rPr>
      </w:pPr>
      <w:r w:rsidRPr="003C684F">
        <w:rPr>
          <w:rFonts w:hint="eastAsia" w:ascii="黑体" w:hAnsi="黑体" w:eastAsia="黑体" w:cs="黑体"/>
          <w:sz w:val="32"/>
          <w:szCs w:val="32"/>
          <w:lang w:val="fr-FR"/>
        </w:rPr>
        <w:t>九、</w:t>
      </w:r>
      <w:r w:rsidRPr="003C684F">
        <w:rPr>
          <w:rFonts w:hint="eastAsia" w:ascii="黑体" w:hAnsi="黑体" w:eastAsia="黑体" w:cs="黑体"/>
          <w:sz w:val="32"/>
          <w:szCs w:val="32"/>
        </w:rPr>
        <w:t>克唑替尼 C</w:t>
      </w:r>
      <w:r w:rsidRPr="003C684F">
        <w:rPr>
          <w:rFonts w:ascii="黑体" w:hAnsi="黑体" w:eastAsia="黑体" w:cs="黑体"/>
          <w:sz w:val="32"/>
          <w:szCs w:val="32"/>
        </w:rPr>
        <w:t>rizotinib</w:t>
      </w:r>
    </w:p>
    <w:p w:rsidRPr="003C684F" w:rsidR="009730C1" w:rsidRDefault="00A315B9" w14:paraId="03EAE68B"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200mg</w:t>
      </w:r>
      <w:r w:rsidRPr="003C684F">
        <w:rPr>
          <w:rFonts w:hint="eastAsia" w:ascii="仿宋" w:hAnsi="仿宋" w:eastAsia="仿宋" w:cs="仿宋"/>
          <w:sz w:val="32"/>
          <w:szCs w:val="32"/>
        </w:rPr>
        <w:t>、</w:t>
      </w:r>
      <w:r w:rsidRPr="003C684F">
        <w:rPr>
          <w:rFonts w:ascii="仿宋" w:hAnsi="仿宋" w:eastAsia="仿宋" w:cs="仿宋"/>
          <w:sz w:val="32"/>
          <w:szCs w:val="32"/>
        </w:rPr>
        <w:t>250mg</w:t>
      </w:r>
    </w:p>
    <w:p w:rsidRPr="003C684F" w:rsidR="009730C1" w:rsidRDefault="00A315B9" w14:paraId="659B173E"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09D7A0E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间变性淋巴瘤激酶（ALK）阳性的局部晚期或转移性</w:t>
      </w:r>
      <w:r w:rsidRPr="003C684F">
        <w:rPr>
          <w:rFonts w:ascii="仿宋" w:hAnsi="仿宋" w:eastAsia="仿宋" w:cs="仿宋"/>
          <w:sz w:val="32"/>
          <w:szCs w:val="32"/>
        </w:rPr>
        <w:lastRenderedPageBreak/>
        <w:t>NSCLC</w:t>
      </w:r>
      <w:r w:rsidRPr="003C684F">
        <w:rPr>
          <w:rFonts w:hint="eastAsia" w:ascii="仿宋" w:hAnsi="仿宋" w:eastAsia="仿宋" w:cs="仿宋"/>
          <w:sz w:val="32"/>
          <w:szCs w:val="32"/>
        </w:rPr>
        <w:t>患者的治疗。</w:t>
      </w:r>
    </w:p>
    <w:p w:rsidRPr="003C684F" w:rsidR="009730C1" w:rsidRDefault="00A315B9" w14:paraId="3045AA8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2.ROS1</w:t>
      </w:r>
      <w:r w:rsidRPr="003C684F">
        <w:rPr>
          <w:rFonts w:hint="eastAsia" w:ascii="仿宋" w:hAnsi="仿宋" w:eastAsia="仿宋" w:cs="仿宋"/>
          <w:sz w:val="32"/>
          <w:szCs w:val="32"/>
        </w:rPr>
        <w:t>阳性的晚期</w:t>
      </w:r>
      <w:r w:rsidRPr="003C684F">
        <w:rPr>
          <w:rFonts w:ascii="仿宋" w:hAnsi="仿宋" w:eastAsia="仿宋" w:cs="仿宋"/>
          <w:sz w:val="32"/>
          <w:szCs w:val="32"/>
        </w:rPr>
        <w:t>NSCLC</w:t>
      </w:r>
      <w:r w:rsidRPr="003C684F">
        <w:rPr>
          <w:rFonts w:hint="eastAsia" w:ascii="仿宋" w:hAnsi="仿宋" w:eastAsia="仿宋" w:cs="仿宋"/>
          <w:sz w:val="32"/>
          <w:szCs w:val="32"/>
        </w:rPr>
        <w:t>患者的治疗。</w:t>
      </w:r>
    </w:p>
    <w:p w:rsidRPr="003C684F" w:rsidR="009730C1" w:rsidRDefault="00A315B9" w14:paraId="7BAB84E8"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E16BB41" w14:textId="59502C08">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用药前必须明确有经国家药品监督管理局批准的检测方法检测到的</w:t>
      </w:r>
      <w:r w:rsidRPr="003C684F">
        <w:rPr>
          <w:rFonts w:ascii="仿宋" w:hAnsi="仿宋" w:eastAsia="仿宋" w:cs="仿宋"/>
          <w:sz w:val="32"/>
          <w:szCs w:val="32"/>
        </w:rPr>
        <w:t>ROS1</w:t>
      </w:r>
      <w:r w:rsidRPr="003C684F">
        <w:rPr>
          <w:rFonts w:hint="eastAsia" w:ascii="仿宋" w:hAnsi="仿宋" w:eastAsia="仿宋" w:cs="仿宋"/>
          <w:sz w:val="32"/>
          <w:szCs w:val="32"/>
        </w:rPr>
        <w:t>阳性</w:t>
      </w:r>
      <w:r w:rsidRPr="003C684F" w:rsidR="00DB4978">
        <w:rPr>
          <w:rFonts w:hint="eastAsia" w:ascii="仿宋" w:hAnsi="仿宋" w:eastAsia="仿宋" w:cs="仿宋"/>
          <w:sz w:val="32"/>
          <w:szCs w:val="32"/>
        </w:rPr>
        <w:t>或</w:t>
      </w:r>
      <w:r w:rsidRPr="003C684F">
        <w:rPr>
          <w:rFonts w:hint="eastAsia" w:ascii="仿宋" w:hAnsi="仿宋" w:eastAsia="仿宋" w:cs="仿宋"/>
          <w:sz w:val="32"/>
          <w:szCs w:val="32"/>
        </w:rPr>
        <w:t>ALK阳性。</w:t>
      </w:r>
    </w:p>
    <w:p w:rsidRPr="003C684F" w:rsidR="009730C1" w:rsidRDefault="00A315B9" w14:paraId="491A99EF" w14:textId="3947479B">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用药期间必须注意常见的</w:t>
      </w:r>
      <w:r w:rsidRPr="003C684F" w:rsidR="0047380C">
        <w:rPr>
          <w:rFonts w:hint="eastAsia" w:ascii="仿宋" w:hAnsi="仿宋" w:eastAsia="仿宋" w:cs="仿宋"/>
          <w:sz w:val="32"/>
          <w:szCs w:val="32"/>
        </w:rPr>
        <w:t>肝功能损伤</w:t>
      </w:r>
      <w:r w:rsidRPr="003C684F">
        <w:rPr>
          <w:rFonts w:hint="eastAsia" w:ascii="仿宋" w:hAnsi="仿宋" w:eastAsia="仿宋" w:cs="仿宋"/>
          <w:sz w:val="32"/>
          <w:szCs w:val="32"/>
        </w:rPr>
        <w:t>和视觉异常</w:t>
      </w:r>
      <w:r w:rsidR="00797587">
        <w:rPr>
          <w:rFonts w:hint="eastAsia" w:ascii="仿宋" w:hAnsi="仿宋" w:eastAsia="仿宋" w:cs="仿宋"/>
          <w:sz w:val="32"/>
          <w:szCs w:val="32"/>
        </w:rPr>
        <w:t>。</w:t>
      </w:r>
      <w:r w:rsidRPr="003C684F">
        <w:rPr>
          <w:rFonts w:hint="eastAsia" w:ascii="仿宋" w:hAnsi="仿宋" w:eastAsia="仿宋" w:cs="仿宋"/>
          <w:sz w:val="32"/>
          <w:szCs w:val="32"/>
        </w:rPr>
        <w:t>在治疗开始的最初两个月应每周检测一次，之后每月检测一次患者的肝功能，肝功能损伤患者应谨慎使用克唑替尼进行治疗。</w:t>
      </w:r>
    </w:p>
    <w:p w:rsidRPr="003C684F" w:rsidR="009730C1" w:rsidRDefault="00A315B9" w14:paraId="1C904044" w14:textId="1FACB7FD">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推荐剂量为250mg</w:t>
      </w:r>
      <w:r w:rsidRPr="003C684F" w:rsidR="00D93712">
        <w:rPr>
          <w:rFonts w:hint="eastAsia" w:ascii="仿宋" w:hAnsi="仿宋" w:eastAsia="仿宋"/>
          <w:color w:val="000000"/>
          <w:sz w:val="32"/>
          <w:szCs w:val="32"/>
        </w:rPr>
        <w:t>/次，每天两次，口服，</w:t>
      </w:r>
      <w:r w:rsidRPr="003C684F">
        <w:rPr>
          <w:rFonts w:hint="eastAsia" w:ascii="仿宋" w:hAnsi="仿宋" w:eastAsia="仿宋" w:cs="仿宋"/>
          <w:sz w:val="32"/>
          <w:szCs w:val="32"/>
        </w:rPr>
        <w:t>与食物同服或不同服。如果出现</w:t>
      </w:r>
      <w:r w:rsidRPr="003C684F">
        <w:rPr>
          <w:rFonts w:ascii="仿宋" w:hAnsi="仿宋" w:eastAsia="仿宋" w:cs="仿宋"/>
          <w:sz w:val="32"/>
          <w:szCs w:val="32"/>
        </w:rPr>
        <w:t>CTCAE</w:t>
      </w:r>
      <w:r w:rsidRPr="003C684F">
        <w:rPr>
          <w:rFonts w:hint="eastAsia" w:ascii="仿宋" w:hAnsi="仿宋" w:eastAsia="仿宋" w:cs="仿宋"/>
          <w:sz w:val="32"/>
          <w:szCs w:val="32"/>
        </w:rPr>
        <w:t>（</w:t>
      </w:r>
      <w:r w:rsidRPr="003C684F" w:rsidR="00713DB2">
        <w:rPr>
          <w:rFonts w:hint="eastAsia" w:ascii="仿宋" w:hAnsi="仿宋" w:eastAsia="仿宋" w:cs="仿宋"/>
          <w:sz w:val="32"/>
          <w:szCs w:val="32"/>
        </w:rPr>
        <w:t>5</w:t>
      </w:r>
      <w:r w:rsidRPr="003C684F">
        <w:rPr>
          <w:rFonts w:ascii="仿宋" w:hAnsi="仿宋" w:eastAsia="仿宋" w:cs="仿宋"/>
          <w:sz w:val="32"/>
          <w:szCs w:val="32"/>
        </w:rPr>
        <w:t>.0</w:t>
      </w:r>
      <w:r w:rsidRPr="003C684F">
        <w:rPr>
          <w:rFonts w:hint="eastAsia" w:ascii="仿宋" w:hAnsi="仿宋" w:eastAsia="仿宋" w:cs="仿宋"/>
          <w:sz w:val="32"/>
          <w:szCs w:val="32"/>
        </w:rPr>
        <w:t>版）</w:t>
      </w:r>
      <w:r w:rsidRPr="003C684F">
        <w:rPr>
          <w:rFonts w:ascii="仿宋" w:hAnsi="仿宋" w:eastAsia="仿宋" w:cs="仿宋"/>
          <w:sz w:val="32"/>
          <w:szCs w:val="32"/>
        </w:rPr>
        <w:t>3</w:t>
      </w:r>
      <w:r w:rsidRPr="003C684F">
        <w:rPr>
          <w:rFonts w:hint="eastAsia" w:ascii="仿宋" w:hAnsi="仿宋" w:eastAsia="仿宋" w:cs="仿宋"/>
          <w:sz w:val="32"/>
          <w:szCs w:val="32"/>
        </w:rPr>
        <w:t>级或</w:t>
      </w:r>
      <w:r w:rsidRPr="003C684F">
        <w:rPr>
          <w:rFonts w:ascii="仿宋" w:hAnsi="仿宋" w:eastAsia="仿宋" w:cs="仿宋"/>
          <w:sz w:val="32"/>
          <w:szCs w:val="32"/>
        </w:rPr>
        <w:t>4</w:t>
      </w:r>
      <w:r w:rsidRPr="003C684F">
        <w:rPr>
          <w:rFonts w:hint="eastAsia" w:ascii="仿宋" w:hAnsi="仿宋" w:eastAsia="仿宋" w:cs="仿宋"/>
          <w:sz w:val="32"/>
          <w:szCs w:val="32"/>
        </w:rPr>
        <w:t>级的不良事件，需按以下方法减少剂量：（</w:t>
      </w:r>
      <w:r w:rsidRPr="003C684F">
        <w:rPr>
          <w:rFonts w:ascii="仿宋" w:hAnsi="仿宋" w:eastAsia="仿宋" w:cs="仿宋"/>
          <w:sz w:val="32"/>
          <w:szCs w:val="32"/>
        </w:rPr>
        <w:t>1</w:t>
      </w:r>
      <w:r w:rsidRPr="003C684F">
        <w:rPr>
          <w:rFonts w:hint="eastAsia" w:ascii="仿宋" w:hAnsi="仿宋" w:eastAsia="仿宋" w:cs="仿宋"/>
          <w:sz w:val="32"/>
          <w:szCs w:val="32"/>
        </w:rPr>
        <w:t>）第1次减少剂量：</w:t>
      </w:r>
      <w:r w:rsidRPr="003C684F">
        <w:rPr>
          <w:rFonts w:ascii="仿宋" w:hAnsi="仿宋" w:eastAsia="仿宋" w:cs="仿宋"/>
          <w:sz w:val="32"/>
          <w:szCs w:val="32"/>
        </w:rPr>
        <w:t>200mg</w:t>
      </w:r>
      <w:r w:rsidRPr="003C684F" w:rsidR="00D93712">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D93712">
        <w:rPr>
          <w:rFonts w:hint="eastAsia" w:ascii="仿宋" w:hAnsi="仿宋" w:eastAsia="仿宋" w:cs="仿宋"/>
          <w:sz w:val="32"/>
          <w:szCs w:val="32"/>
        </w:rPr>
        <w:t>，口服</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）第2次减少剂量：</w:t>
      </w:r>
      <w:r w:rsidRPr="003C684F">
        <w:rPr>
          <w:rFonts w:ascii="仿宋" w:hAnsi="仿宋" w:eastAsia="仿宋" w:cs="仿宋"/>
          <w:sz w:val="32"/>
          <w:szCs w:val="32"/>
        </w:rPr>
        <w:t>250mg</w:t>
      </w:r>
      <w:r w:rsidRPr="003C684F" w:rsidR="00D93712">
        <w:rPr>
          <w:rFonts w:hint="eastAsia" w:ascii="仿宋" w:hAnsi="仿宋" w:eastAsia="仿宋"/>
          <w:color w:val="000000"/>
          <w:sz w:val="32"/>
          <w:szCs w:val="32"/>
        </w:rPr>
        <w:t>/次，每天一次，口服</w:t>
      </w:r>
      <w:r w:rsidRPr="003C684F">
        <w:rPr>
          <w:rFonts w:hint="eastAsia" w:ascii="仿宋" w:hAnsi="仿宋" w:eastAsia="仿宋" w:cs="仿宋"/>
          <w:sz w:val="32"/>
          <w:szCs w:val="32"/>
        </w:rPr>
        <w:t>；如果仍无法耐受，</w:t>
      </w:r>
      <w:r w:rsidRPr="003C684F" w:rsidR="00373DC1">
        <w:rPr>
          <w:rFonts w:hint="eastAsia" w:ascii="仿宋" w:hAnsi="仿宋" w:eastAsia="仿宋" w:cs="仿宋"/>
          <w:sz w:val="32"/>
          <w:szCs w:val="32"/>
        </w:rPr>
        <w:t>应永久停用</w:t>
      </w:r>
      <w:r w:rsidRPr="003C684F">
        <w:rPr>
          <w:rFonts w:hint="eastAsia" w:ascii="仿宋" w:hAnsi="仿宋" w:eastAsia="仿宋" w:cs="仿宋"/>
          <w:sz w:val="32"/>
          <w:szCs w:val="32"/>
        </w:rPr>
        <w:t>。</w:t>
      </w:r>
    </w:p>
    <w:p w:rsidRPr="003C684F" w:rsidR="009730C1" w:rsidRDefault="00A315B9" w14:paraId="64FE2D65" w14:textId="55555D50">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应避免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使用CYP3A强效抑制剂或CYP3A强效诱导剂，如果无法避免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使用CYP3A强效抑制剂，应减少克唑替尼的剂量。应谨慎与CYP3A</w:t>
      </w:r>
      <w:r w:rsidRPr="003C684F" w:rsidR="00391D3E">
        <w:rPr>
          <w:rFonts w:hint="eastAsia" w:ascii="仿宋" w:hAnsi="仿宋" w:eastAsia="仿宋" w:cs="仿宋"/>
          <w:sz w:val="32"/>
          <w:szCs w:val="32"/>
        </w:rPr>
        <w:t>中</w:t>
      </w:r>
      <w:r w:rsidRPr="003C684F" w:rsidR="002731EE">
        <w:rPr>
          <w:rFonts w:hint="eastAsia" w:ascii="仿宋" w:hAnsi="仿宋" w:eastAsia="仿宋" w:cs="仿宋"/>
          <w:sz w:val="32"/>
          <w:szCs w:val="32"/>
        </w:rPr>
        <w:t>效</w:t>
      </w:r>
      <w:r w:rsidRPr="003C684F">
        <w:rPr>
          <w:rFonts w:hint="eastAsia" w:ascii="仿宋" w:hAnsi="仿宋" w:eastAsia="仿宋" w:cs="仿宋"/>
          <w:sz w:val="32"/>
          <w:szCs w:val="32"/>
        </w:rPr>
        <w:t>抑制剂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。克唑替尼胶囊可延长QTc间期，避免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使用可延长QTc间期的药物。克唑替尼胶囊可引起心动过缓，避免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使用可引起心动过缓的药物。</w:t>
      </w:r>
    </w:p>
    <w:p w:rsidRPr="003C684F" w:rsidR="009730C1" w:rsidRDefault="00A315B9" w14:paraId="06205A7B" w14:textId="66784A3F">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ascii="仿宋" w:hAnsi="仿宋" w:eastAsia="仿宋" w:cs="仿宋"/>
          <w:sz w:val="32"/>
          <w:szCs w:val="32"/>
        </w:rPr>
        <w:t>5.</w:t>
      </w:r>
      <w:r w:rsidRPr="003C684F" w:rsidR="006E213B">
        <w:rPr>
          <w:rFonts w:hint="eastAsia" w:ascii="仿宋" w:hAnsi="仿宋" w:eastAsia="仿宋" w:cs="仿宋"/>
          <w:sz w:val="32"/>
          <w:szCs w:val="32"/>
        </w:rPr>
        <w:t>2022</w:t>
      </w:r>
      <w:r w:rsidRPr="003C684F" w:rsidR="00713DB2">
        <w:rPr>
          <w:rFonts w:hint="eastAsia" w:ascii="仿宋" w:hAnsi="仿宋" w:eastAsia="仿宋" w:cs="仿宋"/>
          <w:sz w:val="32"/>
          <w:szCs w:val="32"/>
        </w:rPr>
        <w:t>版</w:t>
      </w:r>
      <w:r w:rsidRPr="003C684F" w:rsidR="006E213B">
        <w:rPr>
          <w:rFonts w:hint="eastAsia" w:ascii="仿宋" w:hAnsi="仿宋" w:eastAsia="仿宋" w:cs="仿宋"/>
          <w:sz w:val="32"/>
          <w:szCs w:val="32"/>
        </w:rPr>
        <w:t>NCCN</w:t>
      </w:r>
      <w:r w:rsidRPr="003C684F" w:rsidR="00713DB2">
        <w:rPr>
          <w:rFonts w:hint="eastAsia" w:ascii="仿宋" w:hAnsi="仿宋" w:eastAsia="仿宋" w:cs="仿宋"/>
          <w:sz w:val="32"/>
          <w:szCs w:val="32"/>
        </w:rPr>
        <w:t>指南推荐克唑替尼作为可选药物之一用于</w:t>
      </w:r>
      <w:r w:rsidRPr="003C684F" w:rsidR="006E213B">
        <w:rPr>
          <w:rFonts w:hint="eastAsia" w:ascii="仿宋" w:hAnsi="仿宋" w:eastAsia="仿宋" w:cs="仿宋"/>
          <w:sz w:val="32"/>
          <w:szCs w:val="32"/>
        </w:rPr>
        <w:t>cMET14</w:t>
      </w:r>
      <w:r w:rsidRPr="003C684F" w:rsidR="00713DB2">
        <w:rPr>
          <w:rFonts w:hint="eastAsia" w:ascii="仿宋" w:hAnsi="仿宋" w:eastAsia="仿宋" w:cs="仿宋"/>
          <w:sz w:val="32"/>
          <w:szCs w:val="32"/>
        </w:rPr>
        <w:t>外显子跳跃突变的晚期NSCLC 患者的一线/二线治</w:t>
      </w:r>
      <w:r w:rsidRPr="003C684F" w:rsidR="00713DB2">
        <w:rPr>
          <w:rFonts w:hint="eastAsia" w:ascii="仿宋" w:hAnsi="仿宋" w:eastAsia="仿宋" w:cs="仿宋"/>
          <w:sz w:val="32"/>
          <w:szCs w:val="32"/>
        </w:rPr>
        <w:lastRenderedPageBreak/>
        <w:t>疗。</w:t>
      </w:r>
      <w:r w:rsidRPr="003C684F">
        <w:rPr>
          <w:rFonts w:hint="eastAsia" w:ascii="仿宋" w:hAnsi="仿宋" w:eastAsia="仿宋" w:cs="仿宋"/>
          <w:sz w:val="32"/>
          <w:szCs w:val="32"/>
        </w:rPr>
        <w:t>美国FDA批准的克唑替尼适应</w:t>
      </w:r>
      <w:r w:rsidRPr="003C684F">
        <w:rPr>
          <w:rFonts w:ascii="仿宋" w:hAnsi="仿宋" w:eastAsia="仿宋" w:cs="仿宋"/>
          <w:sz w:val="32"/>
          <w:szCs w:val="32"/>
        </w:rPr>
        <w:t>证</w:t>
      </w:r>
      <w:r w:rsidRPr="003C684F">
        <w:rPr>
          <w:rFonts w:hint="eastAsia" w:ascii="仿宋" w:hAnsi="仿宋" w:eastAsia="仿宋" w:cs="仿宋"/>
          <w:sz w:val="32"/>
          <w:szCs w:val="32"/>
        </w:rPr>
        <w:t>还包括：治疗ALK阳性的复发或难治性的系统性间变大细胞淋巴瘤的1岁及以上的儿童患者及年轻成人患者。目前国内尚未获批此适应证，可在与患者充分沟通的情况下按照FDA批准的方法使用。根据体表面积，推荐剂量为280</w:t>
      </w:r>
      <w:r w:rsidRPr="003C684F">
        <w:rPr>
          <w:rFonts w:ascii="仿宋" w:hAnsi="仿宋" w:eastAsia="仿宋" w:cs="仿宋"/>
          <w:sz w:val="32"/>
          <w:szCs w:val="32"/>
        </w:rPr>
        <w:t>mg</w:t>
      </w:r>
      <w:r w:rsidRPr="003C684F">
        <w:rPr>
          <w:rFonts w:hint="eastAsia" w:ascii="仿宋" w:hAnsi="仿宋" w:eastAsia="仿宋" w:cs="仿宋"/>
          <w:sz w:val="32"/>
          <w:szCs w:val="32"/>
        </w:rPr>
        <w:t>/</w:t>
      </w:r>
      <w:r w:rsidRPr="003C684F">
        <w:rPr>
          <w:rFonts w:ascii="仿宋" w:hAnsi="仿宋" w:eastAsia="仿宋" w:cs="仿宋"/>
          <w:sz w:val="32"/>
          <w:szCs w:val="32"/>
        </w:rPr>
        <w:t>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，每天两次</w:t>
      </w:r>
      <w:r w:rsidRPr="003C684F" w:rsidR="009530AE">
        <w:rPr>
          <w:rFonts w:hint="eastAsia" w:ascii="仿宋" w:hAnsi="仿宋" w:eastAsia="仿宋" w:cs="仿宋"/>
          <w:sz w:val="32"/>
          <w:szCs w:val="32"/>
        </w:rPr>
        <w:t>，</w:t>
      </w:r>
      <w:r w:rsidRPr="003C684F">
        <w:rPr>
          <w:rFonts w:hint="eastAsia" w:ascii="仿宋" w:hAnsi="仿宋" w:eastAsia="仿宋" w:cs="仿宋"/>
          <w:sz w:val="32"/>
          <w:szCs w:val="32"/>
        </w:rPr>
        <w:t>口服。</w:t>
      </w:r>
    </w:p>
    <w:p w:rsidRPr="003C684F" w:rsidR="009730C1" w:rsidP="0037660B" w:rsidRDefault="00A315B9" w14:paraId="223BCB8B"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十、阿来替尼 A</w:t>
      </w:r>
      <w:r w:rsidRPr="003C684F">
        <w:rPr>
          <w:rFonts w:ascii="黑体" w:hAnsi="黑体" w:eastAsia="黑体"/>
          <w:color w:val="000000"/>
          <w:sz w:val="32"/>
          <w:szCs w:val="32"/>
        </w:rPr>
        <w:t>lectinib</w:t>
      </w:r>
    </w:p>
    <w:p w:rsidRPr="003C684F" w:rsidR="009730C1" w:rsidRDefault="00A315B9" w14:paraId="6AFC6970"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胶囊：150mg</w:t>
      </w:r>
    </w:p>
    <w:p w:rsidRPr="003C684F" w:rsidR="009730C1" w:rsidRDefault="00A315B9" w14:paraId="7065D4A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ALK阳性的局部晚期或转移性NSCLC患者的治疗。</w:t>
      </w:r>
    </w:p>
    <w:p w:rsidRPr="003C684F" w:rsidR="009730C1" w:rsidRDefault="00A315B9" w14:paraId="0D9B613C"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CEE038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1.患者用药前必须获得经国家药品监督管理局批准的检测方法证实的ALK阳性结果。</w:t>
      </w:r>
    </w:p>
    <w:p w:rsidRPr="003C684F" w:rsidR="009730C1" w:rsidRDefault="00A315B9" w14:paraId="720B205F" w14:textId="17E6730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2.建议患者接受本药物治疗</w:t>
      </w:r>
      <w:r w:rsidRPr="003C684F" w:rsidR="00703498">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2FE5C8C9" w14:textId="07512244">
      <w:pPr>
        <w:ind w:firstLine="640" w:firstLineChars="200"/>
        <w:rPr>
          <w:rFonts w:ascii="仿宋" w:hAnsi="仿宋" w:eastAsia="仿宋"/>
          <w:color w:val="000000"/>
          <w:sz w:val="32"/>
          <w:szCs w:val="32"/>
        </w:rPr>
      </w:pPr>
      <w:r w:rsidRPr="003C684F">
        <w:rPr>
          <w:rFonts w:ascii="仿宋" w:hAnsi="仿宋" w:eastAsia="仿宋"/>
          <w:color w:val="000000"/>
          <w:sz w:val="32"/>
          <w:szCs w:val="32"/>
        </w:rPr>
        <w:t>3.推荐剂量为600mg</w:t>
      </w:r>
      <w:r w:rsidRPr="003C684F" w:rsidR="00B45CFB">
        <w:rPr>
          <w:rFonts w:hint="eastAsia" w:ascii="仿宋" w:hAnsi="仿宋" w:eastAsia="仿宋"/>
          <w:color w:val="000000"/>
          <w:sz w:val="32"/>
          <w:szCs w:val="32"/>
        </w:rPr>
        <w:t>/次</w:t>
      </w:r>
      <w:r w:rsidRPr="003C684F">
        <w:rPr>
          <w:rFonts w:ascii="仿宋" w:hAnsi="仿宋" w:eastAsia="仿宋"/>
          <w:color w:val="000000"/>
          <w:sz w:val="32"/>
          <w:szCs w:val="32"/>
        </w:rPr>
        <w:t>，每天两次</w:t>
      </w:r>
      <w:r w:rsidRPr="003C684F">
        <w:rPr>
          <w:rFonts w:hint="eastAsia" w:ascii="仿宋" w:hAnsi="仿宋" w:eastAsia="仿宋"/>
          <w:color w:val="000000"/>
          <w:sz w:val="32"/>
          <w:szCs w:val="32"/>
        </w:rPr>
        <w:t>，</w:t>
      </w:r>
      <w:r w:rsidRPr="003C684F">
        <w:rPr>
          <w:rFonts w:ascii="仿宋" w:hAnsi="仿宋" w:eastAsia="仿宋"/>
          <w:color w:val="000000"/>
          <w:sz w:val="32"/>
          <w:szCs w:val="32"/>
        </w:rPr>
        <w:t>随餐口服。如出现不良事件，应根据患者耐受性，以每次减量150mg的方式逐步降低本品的剂量：（1）首次减量：450mg</w:t>
      </w:r>
      <w:r w:rsidRPr="003C684F" w:rsidR="00B45CFB">
        <w:rPr>
          <w:rFonts w:hint="eastAsia" w:ascii="仿宋" w:hAnsi="仿宋" w:eastAsia="仿宋"/>
          <w:color w:val="000000"/>
          <w:sz w:val="32"/>
          <w:szCs w:val="32"/>
        </w:rPr>
        <w:t>/次</w:t>
      </w:r>
      <w:r w:rsidRPr="003C684F">
        <w:rPr>
          <w:rFonts w:ascii="仿宋" w:hAnsi="仿宋" w:eastAsia="仿宋"/>
          <w:color w:val="000000"/>
          <w:sz w:val="32"/>
          <w:szCs w:val="32"/>
        </w:rPr>
        <w:t>，每天两次</w:t>
      </w:r>
      <w:r w:rsidRPr="003C684F" w:rsidR="00B45CFB">
        <w:rPr>
          <w:rFonts w:hint="eastAsia" w:ascii="仿宋" w:hAnsi="仿宋" w:eastAsia="仿宋"/>
          <w:color w:val="000000"/>
          <w:sz w:val="32"/>
          <w:szCs w:val="32"/>
        </w:rPr>
        <w:t>，口服</w:t>
      </w:r>
      <w:r w:rsidRPr="003C684F">
        <w:rPr>
          <w:rFonts w:ascii="仿宋" w:hAnsi="仿宋" w:eastAsia="仿宋"/>
          <w:color w:val="000000"/>
          <w:sz w:val="32"/>
          <w:szCs w:val="32"/>
        </w:rPr>
        <w:t>。（2）第2次减量：300mg</w:t>
      </w:r>
      <w:r w:rsidRPr="003C684F" w:rsidR="00B45CFB">
        <w:rPr>
          <w:rFonts w:hint="eastAsia" w:ascii="仿宋" w:hAnsi="仿宋" w:eastAsia="仿宋"/>
          <w:color w:val="000000"/>
          <w:sz w:val="32"/>
          <w:szCs w:val="32"/>
        </w:rPr>
        <w:t>/次</w:t>
      </w:r>
      <w:r w:rsidRPr="003C684F">
        <w:rPr>
          <w:rFonts w:ascii="仿宋" w:hAnsi="仿宋" w:eastAsia="仿宋"/>
          <w:color w:val="000000"/>
          <w:sz w:val="32"/>
          <w:szCs w:val="32"/>
        </w:rPr>
        <w:t>，每天两次</w:t>
      </w:r>
      <w:r w:rsidRPr="003C684F" w:rsidR="00B45CFB">
        <w:rPr>
          <w:rFonts w:hint="eastAsia" w:ascii="仿宋" w:hAnsi="仿宋" w:eastAsia="仿宋"/>
          <w:color w:val="000000"/>
          <w:sz w:val="32"/>
          <w:szCs w:val="32"/>
        </w:rPr>
        <w:t>，口服</w:t>
      </w:r>
      <w:r w:rsidRPr="003C684F">
        <w:rPr>
          <w:rFonts w:ascii="仿宋" w:hAnsi="仿宋" w:eastAsia="仿宋"/>
          <w:color w:val="000000"/>
          <w:sz w:val="32"/>
          <w:szCs w:val="32"/>
        </w:rPr>
        <w:t>；如果患者</w:t>
      </w:r>
      <w:r w:rsidRPr="003C684F" w:rsidR="00B45CFB">
        <w:rPr>
          <w:rFonts w:hint="eastAsia" w:ascii="仿宋" w:hAnsi="仿宋" w:eastAsia="仿宋"/>
          <w:color w:val="000000"/>
          <w:sz w:val="32"/>
          <w:szCs w:val="32"/>
        </w:rPr>
        <w:t>仍</w:t>
      </w:r>
      <w:r w:rsidRPr="003C684F">
        <w:rPr>
          <w:rFonts w:ascii="仿宋" w:hAnsi="仿宋" w:eastAsia="仿宋"/>
          <w:color w:val="000000"/>
          <w:sz w:val="32"/>
          <w:szCs w:val="32"/>
        </w:rPr>
        <w:t>不能耐受，</w:t>
      </w:r>
      <w:r w:rsidRPr="003C684F" w:rsidR="00373DC1">
        <w:rPr>
          <w:rFonts w:ascii="仿宋" w:hAnsi="仿宋" w:eastAsia="仿宋"/>
          <w:color w:val="000000"/>
          <w:sz w:val="32"/>
          <w:szCs w:val="32"/>
        </w:rPr>
        <w:t>应永久停用</w:t>
      </w:r>
      <w:r w:rsidRPr="003C684F">
        <w:rPr>
          <w:rFonts w:ascii="仿宋" w:hAnsi="仿宋" w:eastAsia="仿宋"/>
          <w:color w:val="000000"/>
          <w:sz w:val="32"/>
          <w:szCs w:val="32"/>
        </w:rPr>
        <w:t>。</w:t>
      </w:r>
    </w:p>
    <w:p w:rsidRPr="003C684F" w:rsidR="009730C1" w:rsidRDefault="00A315B9" w14:paraId="1D548CA1" w14:textId="46F6619B">
      <w:pPr>
        <w:ind w:firstLine="640" w:firstLineChars="200"/>
        <w:rPr>
          <w:rFonts w:ascii="仿宋" w:hAnsi="仿宋" w:eastAsia="仿宋"/>
          <w:color w:val="000000"/>
          <w:sz w:val="32"/>
          <w:szCs w:val="32"/>
        </w:rPr>
      </w:pPr>
      <w:r w:rsidRPr="003C684F">
        <w:rPr>
          <w:rFonts w:ascii="仿宋" w:hAnsi="仿宋" w:eastAsia="仿宋"/>
          <w:color w:val="000000"/>
          <w:sz w:val="32"/>
          <w:szCs w:val="32"/>
        </w:rPr>
        <w:t>4</w:t>
      </w:r>
      <w:r w:rsidRPr="003C684F">
        <w:rPr>
          <w:rFonts w:hint="eastAsia" w:ascii="仿宋" w:hAnsi="仿宋" w:eastAsia="仿宋"/>
          <w:color w:val="000000"/>
          <w:sz w:val="32"/>
          <w:szCs w:val="32"/>
        </w:rPr>
        <w:t>.基线时应监测肝功能，包括ALT、AST和总胆红素，在最初治疗的3个月内每</w:t>
      </w:r>
      <w:r w:rsidRPr="003C684F" w:rsidR="009B5B90">
        <w:rPr>
          <w:rFonts w:hint="eastAsia" w:ascii="仿宋" w:hAnsi="仿宋" w:eastAsia="仿宋"/>
          <w:color w:val="000000"/>
          <w:sz w:val="32"/>
          <w:szCs w:val="32"/>
        </w:rPr>
        <w:t>2周</w:t>
      </w:r>
      <w:r w:rsidRPr="003C684F">
        <w:rPr>
          <w:rFonts w:hint="eastAsia" w:ascii="仿宋" w:hAnsi="仿宋" w:eastAsia="仿宋"/>
          <w:color w:val="000000"/>
          <w:sz w:val="32"/>
          <w:szCs w:val="32"/>
        </w:rPr>
        <w:t>监测一次，之后定期进行监测。</w:t>
      </w:r>
    </w:p>
    <w:p w:rsidRPr="003C684F" w:rsidR="009730C1" w:rsidRDefault="00A315B9" w14:paraId="4FA3CC83" w14:textId="50E9B14F">
      <w:pPr>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.建议患者报告任何原因不明的肌痛、触痛或虚弱，评</w:t>
      </w:r>
      <w:r w:rsidRPr="003C684F">
        <w:rPr>
          <w:rFonts w:hint="eastAsia" w:ascii="仿宋" w:hAnsi="仿宋" w:eastAsia="仿宋"/>
          <w:color w:val="000000"/>
          <w:sz w:val="32"/>
          <w:szCs w:val="32"/>
        </w:rPr>
        <w:lastRenderedPageBreak/>
        <w:t>估肌酸磷酸激酶水平，在第1个月治疗期间每</w:t>
      </w:r>
      <w:r w:rsidRPr="003C684F" w:rsidR="009B5B90">
        <w:rPr>
          <w:rFonts w:hint="eastAsia" w:ascii="仿宋" w:hAnsi="仿宋" w:eastAsia="仿宋"/>
          <w:color w:val="000000"/>
          <w:sz w:val="32"/>
          <w:szCs w:val="32"/>
        </w:rPr>
        <w:t>2周</w:t>
      </w:r>
      <w:r w:rsidRPr="003C684F">
        <w:rPr>
          <w:rFonts w:hint="eastAsia" w:ascii="仿宋" w:hAnsi="仿宋" w:eastAsia="仿宋"/>
          <w:color w:val="000000"/>
          <w:sz w:val="32"/>
          <w:szCs w:val="32"/>
        </w:rPr>
        <w:t>评估一次，随后在临床上根据患者报告的症状按需进行评估。</w:t>
      </w:r>
    </w:p>
    <w:p w:rsidRPr="003C684F" w:rsidR="009730C1" w:rsidRDefault="00A315B9" w14:paraId="59E99721" w14:textId="6D81F3EA">
      <w:pPr>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.确诊患有间质性肺炎/非感染性肺炎的患者应立即中断本品治疗，如果没有发现其他间质性肺炎/非感染性肺炎的潜在病因，</w:t>
      </w:r>
      <w:r w:rsidRPr="003C684F" w:rsidR="00373DC1">
        <w:rPr>
          <w:rFonts w:hint="eastAsia" w:ascii="仿宋" w:hAnsi="仿宋" w:eastAsia="仿宋"/>
          <w:color w:val="000000"/>
          <w:sz w:val="32"/>
          <w:szCs w:val="32"/>
        </w:rPr>
        <w:t>应永久停用</w:t>
      </w:r>
      <w:r w:rsidR="00797587">
        <w:rPr>
          <w:rFonts w:hint="eastAsia" w:ascii="仿宋" w:hAnsi="仿宋" w:eastAsia="仿宋"/>
          <w:color w:val="000000"/>
          <w:sz w:val="32"/>
          <w:szCs w:val="32"/>
        </w:rPr>
        <w:t>本品</w:t>
      </w:r>
      <w:r w:rsidRPr="003C684F">
        <w:rPr>
          <w:rFonts w:hint="eastAsia" w:ascii="仿宋" w:hAnsi="仿宋" w:eastAsia="仿宋"/>
          <w:color w:val="000000"/>
          <w:sz w:val="32"/>
          <w:szCs w:val="32"/>
        </w:rPr>
        <w:t>。</w:t>
      </w:r>
    </w:p>
    <w:p w:rsidRPr="003C684F" w:rsidR="009730C1" w:rsidRDefault="00A315B9" w14:paraId="7157A926" w14:textId="77777777">
      <w:pPr>
        <w:ind w:firstLine="640" w:firstLineChars="200"/>
        <w:rPr>
          <w:rFonts w:ascii="仿宋" w:hAnsi="仿宋" w:eastAsia="仿宋"/>
          <w:color w:val="000000"/>
          <w:sz w:val="32"/>
          <w:szCs w:val="32"/>
        </w:rPr>
      </w:pPr>
      <w:r w:rsidRPr="003C684F">
        <w:rPr>
          <w:rFonts w:ascii="仿宋" w:hAnsi="仿宋" w:eastAsia="仿宋"/>
          <w:color w:val="000000"/>
          <w:sz w:val="32"/>
          <w:szCs w:val="32"/>
        </w:rPr>
        <w:t>7</w:t>
      </w:r>
      <w:r w:rsidRPr="003C684F">
        <w:rPr>
          <w:rFonts w:hint="eastAsia" w:ascii="仿宋" w:hAnsi="仿宋" w:eastAsia="仿宋"/>
          <w:color w:val="000000"/>
          <w:sz w:val="32"/>
          <w:szCs w:val="32"/>
        </w:rPr>
        <w:t>.在服用阿来替尼时及治疗停止后至少7天内，应建议患者避免长时间阳光暴晒。此外，应建议患者使用防紫外线A（UVA）/紫外线B（UVB）的广谱防晒霜和润唇膏（SPF≥50），防止可能的晒伤。</w:t>
      </w:r>
    </w:p>
    <w:p w:rsidRPr="003C684F" w:rsidR="009730C1" w:rsidRDefault="00A315B9" w14:paraId="4B0100AE" w14:textId="5E516CF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8.应根据临床指征监测心率和血压。如果发生无症状心动过缓，则</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调整剂量；如果患者发生症状性心动过缓或危及生命的事件，应对</w:t>
      </w:r>
      <w:r w:rsidRPr="003C684F" w:rsidR="00EE6495">
        <w:rPr>
          <w:rFonts w:hint="eastAsia" w:ascii="仿宋" w:hAnsi="仿宋" w:eastAsia="仿宋"/>
          <w:color w:val="000000"/>
          <w:sz w:val="32"/>
          <w:szCs w:val="32"/>
        </w:rPr>
        <w:t>联合使用</w:t>
      </w:r>
      <w:r w:rsidRPr="003C684F">
        <w:rPr>
          <w:rFonts w:hint="eastAsia" w:ascii="仿宋" w:hAnsi="仿宋" w:eastAsia="仿宋"/>
          <w:color w:val="000000"/>
          <w:sz w:val="32"/>
          <w:szCs w:val="32"/>
        </w:rPr>
        <w:t>中已知引发心动过缓的药物（如降压药）进行评估，并依据说明书调整剂量。</w:t>
      </w:r>
    </w:p>
    <w:p w:rsidRPr="003C684F" w:rsidR="009730C1" w:rsidRDefault="00A315B9" w14:paraId="0083E004" w14:textId="24F80DB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9.当阿来替尼与治疗指数狭窄的P-糖蛋白或乳腺癌耐药蛋白底物（如地高辛、达比加群、甲氨蝶呤）</w:t>
      </w:r>
      <w:r w:rsidRPr="003C684F" w:rsidR="00EE6495">
        <w:rPr>
          <w:rFonts w:hint="eastAsia" w:ascii="仿宋" w:hAnsi="仿宋" w:eastAsia="仿宋"/>
          <w:color w:val="000000"/>
          <w:sz w:val="32"/>
          <w:szCs w:val="32"/>
        </w:rPr>
        <w:t>联合使用</w:t>
      </w:r>
      <w:r w:rsidRPr="003C684F">
        <w:rPr>
          <w:rFonts w:hint="eastAsia" w:ascii="仿宋" w:hAnsi="仿宋" w:eastAsia="仿宋"/>
          <w:color w:val="000000"/>
          <w:sz w:val="32"/>
          <w:szCs w:val="32"/>
        </w:rPr>
        <w:t>时，建议进行适当的监测。</w:t>
      </w:r>
    </w:p>
    <w:p w:rsidRPr="003C684F" w:rsidR="009730C1" w:rsidRDefault="00A315B9" w14:paraId="5E35B3E5" w14:textId="74CF4B2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10.阿来替尼与CYP3A诱导剂或抑制剂</w:t>
      </w:r>
      <w:r w:rsidRPr="003C684F" w:rsidR="00EE6495">
        <w:rPr>
          <w:rFonts w:hint="eastAsia" w:ascii="仿宋" w:hAnsi="仿宋" w:eastAsia="仿宋"/>
          <w:color w:val="000000"/>
          <w:sz w:val="32"/>
          <w:szCs w:val="32"/>
        </w:rPr>
        <w:t>联合使用</w:t>
      </w:r>
      <w:r w:rsidRPr="003C684F">
        <w:rPr>
          <w:rFonts w:hint="eastAsia" w:ascii="仿宋" w:hAnsi="仿宋" w:eastAsia="仿宋"/>
          <w:color w:val="000000"/>
          <w:sz w:val="32"/>
          <w:szCs w:val="32"/>
        </w:rPr>
        <w:t>时</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w:t>
      </w:r>
    </w:p>
    <w:p w:rsidRPr="003C684F" w:rsidR="009730C1" w:rsidRDefault="00A315B9" w14:paraId="4D434C1B" w14:textId="0600F04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11.日本厚生劳动省批准的阿来替尼适应证还包括：治疗复发性或难治性的ALK融合基因阳性间变性大细胞淋巴瘤。目前国内尚未获批此适应证，可在与患者充分沟通的情况下按照日本厚生劳动省批准的方法使用。推荐剂量为600mg</w:t>
      </w:r>
      <w:r w:rsidRPr="003C684F" w:rsidR="00C56430">
        <w:rPr>
          <w:rFonts w:hint="eastAsia" w:ascii="仿宋" w:hAnsi="仿宋" w:eastAsia="仿宋"/>
          <w:color w:val="000000"/>
          <w:sz w:val="32"/>
          <w:szCs w:val="32"/>
        </w:rPr>
        <w:t>/</w:t>
      </w:r>
      <w:r w:rsidRPr="003C684F" w:rsidR="00C56430">
        <w:rPr>
          <w:rFonts w:hint="eastAsia" w:ascii="仿宋" w:hAnsi="仿宋" w:eastAsia="仿宋"/>
          <w:color w:val="000000"/>
          <w:sz w:val="32"/>
          <w:szCs w:val="32"/>
        </w:rPr>
        <w:lastRenderedPageBreak/>
        <w:t>次</w:t>
      </w:r>
      <w:r w:rsidRPr="003C684F">
        <w:rPr>
          <w:rFonts w:hint="eastAsia" w:ascii="仿宋" w:hAnsi="仿宋" w:eastAsia="仿宋"/>
          <w:color w:val="000000"/>
          <w:sz w:val="32"/>
          <w:szCs w:val="32"/>
        </w:rPr>
        <w:t>，每天两次</w:t>
      </w:r>
      <w:r w:rsidRPr="003C684F" w:rsidR="00295CA0">
        <w:rPr>
          <w:rFonts w:hint="eastAsia" w:ascii="仿宋" w:hAnsi="仿宋" w:eastAsia="仿宋"/>
          <w:color w:val="000000"/>
          <w:sz w:val="32"/>
          <w:szCs w:val="32"/>
        </w:rPr>
        <w:t>，</w:t>
      </w:r>
      <w:r w:rsidRPr="003C684F">
        <w:rPr>
          <w:rFonts w:hint="eastAsia" w:ascii="仿宋" w:hAnsi="仿宋" w:eastAsia="仿宋"/>
          <w:color w:val="000000"/>
          <w:sz w:val="32"/>
          <w:szCs w:val="32"/>
        </w:rPr>
        <w:t>口服，与食物一起服用。</w:t>
      </w:r>
    </w:p>
    <w:p w:rsidRPr="003C684F" w:rsidR="009730C1" w:rsidP="0037660B" w:rsidRDefault="00A315B9" w14:paraId="29CB8D0A"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十一、塞瑞替尼 Ceritinib</w:t>
      </w:r>
    </w:p>
    <w:p w:rsidRPr="003C684F" w:rsidR="009730C1" w:rsidRDefault="00A315B9" w14:paraId="00EE7B53"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胶囊：150mg</w:t>
      </w:r>
    </w:p>
    <w:p w:rsidRPr="003C684F" w:rsidR="009730C1" w:rsidRDefault="00A315B9" w14:paraId="57FDC59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ALK阳性的局部晚期或转移性NSCLC患者的治疗。</w:t>
      </w:r>
    </w:p>
    <w:p w:rsidRPr="003C684F" w:rsidR="009730C1" w:rsidRDefault="00A315B9" w14:paraId="3D9212AA"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7E2DCC6"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1.用药前必须明确有经国家药品监督管理局批准的检测方法检测到的ALK阳性。</w:t>
      </w:r>
    </w:p>
    <w:p w:rsidRPr="003C684F" w:rsidR="009730C1" w:rsidRDefault="00A315B9" w14:paraId="453C69AD" w14:textId="1653740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2.本品的推荐剂量为450mg/次，</w:t>
      </w:r>
      <w:r w:rsidRPr="003C684F" w:rsidR="00B80D00">
        <w:rPr>
          <w:rFonts w:hint="eastAsia" w:ascii="仿宋" w:hAnsi="仿宋" w:eastAsia="仿宋"/>
          <w:color w:val="000000"/>
          <w:sz w:val="32"/>
          <w:szCs w:val="32"/>
        </w:rPr>
        <w:t>每天一次，</w:t>
      </w:r>
      <w:r w:rsidRPr="003C684F">
        <w:rPr>
          <w:rFonts w:hint="eastAsia" w:ascii="仿宋" w:hAnsi="仿宋" w:eastAsia="仿宋"/>
          <w:color w:val="000000"/>
          <w:sz w:val="32"/>
          <w:szCs w:val="32"/>
        </w:rPr>
        <w:t>每天在同一时间口服，</w:t>
      </w:r>
      <w:r w:rsidRPr="003C684F" w:rsidR="00C56430">
        <w:rPr>
          <w:rFonts w:hint="eastAsia" w:ascii="仿宋" w:hAnsi="仿宋" w:eastAsia="仿宋"/>
          <w:color w:val="000000"/>
          <w:sz w:val="32"/>
          <w:szCs w:val="32"/>
        </w:rPr>
        <w:t>随餐</w:t>
      </w:r>
      <w:r w:rsidRPr="003C684F">
        <w:rPr>
          <w:rFonts w:hint="eastAsia" w:ascii="仿宋" w:hAnsi="仿宋" w:eastAsia="仿宋"/>
          <w:color w:val="000000"/>
          <w:sz w:val="32"/>
          <w:szCs w:val="32"/>
        </w:rPr>
        <w:t>服用。根据患者个体的安全性或耐受性，在治疗过程中可能需要暂</w:t>
      </w:r>
      <w:r w:rsidRPr="003C684F" w:rsidR="00C56430">
        <w:rPr>
          <w:rFonts w:hint="eastAsia" w:ascii="仿宋" w:hAnsi="仿宋" w:eastAsia="仿宋"/>
          <w:color w:val="000000"/>
          <w:sz w:val="32"/>
          <w:szCs w:val="32"/>
        </w:rPr>
        <w:t>停用药</w:t>
      </w:r>
      <w:r w:rsidRPr="003C684F">
        <w:rPr>
          <w:rFonts w:hint="eastAsia" w:ascii="仿宋" w:hAnsi="仿宋" w:eastAsia="仿宋"/>
          <w:color w:val="000000"/>
          <w:sz w:val="32"/>
          <w:szCs w:val="32"/>
        </w:rPr>
        <w:t>或</w:t>
      </w:r>
      <w:r w:rsidRPr="003C684F" w:rsidR="00DF7B96">
        <w:rPr>
          <w:rFonts w:hint="eastAsia" w:ascii="仿宋" w:hAnsi="仿宋" w:eastAsia="仿宋"/>
          <w:color w:val="000000"/>
          <w:sz w:val="32"/>
          <w:szCs w:val="32"/>
        </w:rPr>
        <w:t>降低剂量</w:t>
      </w:r>
      <w:r w:rsidRPr="003C684F">
        <w:rPr>
          <w:rFonts w:hint="eastAsia" w:ascii="仿宋" w:hAnsi="仿宋" w:eastAsia="仿宋"/>
          <w:color w:val="000000"/>
          <w:sz w:val="32"/>
          <w:szCs w:val="32"/>
        </w:rPr>
        <w:t>，应以150mg的下调幅度逐渐减少本品的日剂量。应注意早期识别药物不良反应并及早给予标准的支持性治疗措施。对于无法耐受每天随餐服用150mg剂量的患者，应停用本品。</w:t>
      </w:r>
    </w:p>
    <w:p w:rsidRPr="003C684F" w:rsidR="00272AE2" w:rsidP="00272AE2" w:rsidRDefault="00A315B9" w14:paraId="39AEF23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r w:rsidRPr="003C684F" w:rsidR="00272AE2">
        <w:rPr>
          <w:rFonts w:hint="eastAsia" w:ascii="仿宋" w:hAnsi="仿宋" w:eastAsia="仿宋"/>
          <w:color w:val="000000"/>
          <w:sz w:val="32"/>
          <w:szCs w:val="32"/>
        </w:rPr>
        <w:t xml:space="preserve">用药期间出现胃肠道不良反应，应根据临床指征，给予患者标准监测及管理，包括止泻、止吐及补液治疗。基于药物不良反应的严重程度，根据说明书进行剂量调整。 </w:t>
      </w:r>
    </w:p>
    <w:p w:rsidRPr="003C684F" w:rsidR="00272AE2" w:rsidP="00272AE2" w:rsidRDefault="00272AE2" w14:paraId="078EA55D"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4.患者开始治疗前应进行肝功能检测（包括ALT、AST和总胆红素），之后每月检测一次。</w:t>
      </w:r>
    </w:p>
    <w:p w:rsidRPr="003C684F" w:rsidR="00272AE2" w:rsidP="00272AE2" w:rsidRDefault="00272AE2" w14:paraId="066A868E" w14:textId="7015BA1A">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5.排除</w:t>
      </w:r>
      <w:r w:rsidRPr="003C684F" w:rsidR="000756CF">
        <w:rPr>
          <w:rFonts w:hint="eastAsia" w:ascii="仿宋" w:hAnsi="仿宋" w:eastAsia="仿宋"/>
          <w:color w:val="000000"/>
          <w:sz w:val="32"/>
          <w:szCs w:val="32"/>
        </w:rPr>
        <w:t>间质性肺炎</w:t>
      </w:r>
      <w:r w:rsidRPr="003C684F">
        <w:rPr>
          <w:rFonts w:hint="eastAsia" w:ascii="仿宋" w:hAnsi="仿宋" w:eastAsia="仿宋"/>
          <w:color w:val="000000"/>
          <w:sz w:val="32"/>
          <w:szCs w:val="32"/>
        </w:rPr>
        <w:t>/非感染性肺炎的其他潜在病因，一旦诊断为治疗相关的任何级别的</w:t>
      </w:r>
      <w:r w:rsidRPr="003C684F" w:rsidR="000756CF">
        <w:rPr>
          <w:rFonts w:hint="eastAsia" w:ascii="仿宋" w:hAnsi="仿宋" w:eastAsia="仿宋"/>
          <w:color w:val="000000"/>
          <w:sz w:val="32"/>
          <w:szCs w:val="32"/>
        </w:rPr>
        <w:t>间质性肺炎</w:t>
      </w:r>
      <w:r w:rsidRPr="003C684F">
        <w:rPr>
          <w:rFonts w:hint="eastAsia" w:ascii="仿宋" w:hAnsi="仿宋" w:eastAsia="仿宋"/>
          <w:color w:val="000000"/>
          <w:sz w:val="32"/>
          <w:szCs w:val="32"/>
        </w:rPr>
        <w:t>/非感染性肺炎，患者</w:t>
      </w:r>
      <w:r w:rsidRPr="003C684F" w:rsidR="00373DC1">
        <w:rPr>
          <w:rFonts w:hint="eastAsia" w:ascii="仿宋" w:hAnsi="仿宋" w:eastAsia="仿宋"/>
          <w:color w:val="000000"/>
          <w:sz w:val="32"/>
          <w:szCs w:val="32"/>
        </w:rPr>
        <w:t>应永久停用</w:t>
      </w:r>
      <w:r w:rsidR="00C46BD8">
        <w:rPr>
          <w:rFonts w:hint="eastAsia" w:ascii="仿宋" w:hAnsi="仿宋" w:eastAsia="仿宋"/>
          <w:color w:val="000000"/>
          <w:sz w:val="32"/>
          <w:szCs w:val="32"/>
        </w:rPr>
        <w:t>本品</w:t>
      </w:r>
      <w:r w:rsidRPr="003C684F">
        <w:rPr>
          <w:rFonts w:hint="eastAsia" w:ascii="仿宋" w:hAnsi="仿宋" w:eastAsia="仿宋"/>
          <w:color w:val="000000"/>
          <w:sz w:val="32"/>
          <w:szCs w:val="32"/>
        </w:rPr>
        <w:t>。</w:t>
      </w:r>
    </w:p>
    <w:p w:rsidRPr="003C684F" w:rsidR="00272AE2" w:rsidP="00272AE2" w:rsidRDefault="00272AE2" w14:paraId="3FB897AE" w14:textId="0375708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6.如发生不危及生命的症状性心动过缓，应暂停本品</w:t>
      </w:r>
      <w:r w:rsidRPr="003C684F" w:rsidR="000756CF">
        <w:rPr>
          <w:rFonts w:hint="eastAsia" w:ascii="仿宋" w:hAnsi="仿宋" w:eastAsia="仿宋"/>
          <w:color w:val="000000"/>
          <w:sz w:val="32"/>
          <w:szCs w:val="32"/>
        </w:rPr>
        <w:t>使用</w:t>
      </w:r>
      <w:r w:rsidRPr="003C684F">
        <w:rPr>
          <w:rFonts w:hint="eastAsia" w:ascii="仿宋" w:hAnsi="仿宋" w:eastAsia="仿宋"/>
          <w:color w:val="000000"/>
          <w:sz w:val="32"/>
          <w:szCs w:val="32"/>
        </w:rPr>
        <w:t>直至恢复至无症状性心动过缓或心率≥60</w:t>
      </w:r>
      <w:r w:rsidRPr="003C684F" w:rsidR="000756CF">
        <w:rPr>
          <w:rFonts w:hint="eastAsia" w:ascii="仿宋" w:hAnsi="仿宋" w:eastAsia="仿宋"/>
          <w:color w:val="000000"/>
          <w:sz w:val="32"/>
          <w:szCs w:val="32"/>
        </w:rPr>
        <w:t>次/min</w:t>
      </w:r>
      <w:r w:rsidRPr="003C684F">
        <w:rPr>
          <w:rFonts w:hint="eastAsia" w:ascii="仿宋" w:hAnsi="仿宋" w:eastAsia="仿宋"/>
          <w:color w:val="000000"/>
          <w:sz w:val="32"/>
          <w:szCs w:val="32"/>
        </w:rPr>
        <w:t>，评估</w:t>
      </w:r>
      <w:r w:rsidRPr="003C684F" w:rsidR="00EE6495">
        <w:rPr>
          <w:rFonts w:hint="eastAsia" w:ascii="仿宋" w:hAnsi="仿宋" w:eastAsia="仿宋"/>
          <w:color w:val="000000"/>
          <w:sz w:val="32"/>
          <w:szCs w:val="32"/>
        </w:rPr>
        <w:t>联合使用药物</w:t>
      </w:r>
      <w:r w:rsidRPr="003C684F">
        <w:rPr>
          <w:rFonts w:hint="eastAsia" w:ascii="仿宋" w:hAnsi="仿宋" w:eastAsia="仿宋"/>
          <w:color w:val="000000"/>
          <w:sz w:val="32"/>
          <w:szCs w:val="32"/>
        </w:rPr>
        <w:t>，并调整本品的剂量。</w:t>
      </w:r>
    </w:p>
    <w:p w:rsidRPr="003C684F" w:rsidR="00272AE2" w:rsidP="00272AE2" w:rsidRDefault="00272AE2" w14:paraId="279FBA7D"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7.治疗开始之前监测空腹血清葡萄糖，之后根据临床指</w:t>
      </w:r>
      <w:r w:rsidRPr="003C684F" w:rsidR="000756CF">
        <w:rPr>
          <w:rFonts w:hint="eastAsia" w:ascii="仿宋" w:hAnsi="仿宋" w:eastAsia="仿宋"/>
          <w:color w:val="000000"/>
          <w:sz w:val="32"/>
          <w:szCs w:val="32"/>
        </w:rPr>
        <w:t>征定期监测，根据指征开始使用或优化降糖药物治疗</w:t>
      </w:r>
      <w:r w:rsidRPr="003C684F">
        <w:rPr>
          <w:rFonts w:hint="eastAsia" w:ascii="仿宋" w:hAnsi="仿宋" w:eastAsia="仿宋"/>
          <w:color w:val="000000"/>
          <w:sz w:val="32"/>
          <w:szCs w:val="32"/>
        </w:rPr>
        <w:t>。</w:t>
      </w:r>
    </w:p>
    <w:p w:rsidRPr="003C684F" w:rsidR="009730C1" w:rsidP="00272AE2" w:rsidRDefault="00272AE2" w14:paraId="35C223CE" w14:textId="03AC0A5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A315B9">
        <w:rPr>
          <w:rFonts w:hint="eastAsia" w:ascii="仿宋" w:hAnsi="仿宋" w:eastAsia="仿宋"/>
          <w:color w:val="000000"/>
          <w:sz w:val="32"/>
          <w:szCs w:val="32"/>
        </w:rPr>
        <w:t>.本品治疗期间应避免联合使用</w:t>
      </w:r>
      <w:r w:rsidRPr="003C684F" w:rsidR="003900BE">
        <w:rPr>
          <w:rFonts w:hint="eastAsia" w:ascii="仿宋" w:hAnsi="仿宋" w:eastAsia="仿宋"/>
          <w:color w:val="000000"/>
          <w:sz w:val="32"/>
          <w:szCs w:val="32"/>
        </w:rPr>
        <w:t>CYP3A强效</w:t>
      </w:r>
      <w:r w:rsidRPr="003C684F" w:rsidR="00A315B9">
        <w:rPr>
          <w:rFonts w:hint="eastAsia" w:ascii="仿宋" w:hAnsi="仿宋" w:eastAsia="仿宋"/>
          <w:color w:val="000000"/>
          <w:sz w:val="32"/>
          <w:szCs w:val="32"/>
        </w:rPr>
        <w:t>抑制剂。如果必须同时使用</w:t>
      </w:r>
      <w:r w:rsidRPr="003C684F" w:rsidR="003900BE">
        <w:rPr>
          <w:rFonts w:hint="eastAsia" w:ascii="仿宋" w:hAnsi="仿宋" w:eastAsia="仿宋"/>
          <w:color w:val="000000"/>
          <w:sz w:val="32"/>
          <w:szCs w:val="32"/>
        </w:rPr>
        <w:t>CYP3A强效</w:t>
      </w:r>
      <w:r w:rsidRPr="003C684F" w:rsidR="00A315B9">
        <w:rPr>
          <w:rFonts w:hint="eastAsia" w:ascii="仿宋" w:hAnsi="仿宋" w:eastAsia="仿宋"/>
          <w:color w:val="000000"/>
          <w:sz w:val="32"/>
          <w:szCs w:val="32"/>
        </w:rPr>
        <w:t>抑制剂（包括但不限于利托那韦、沙奎那韦、泰利霉素、酮康唑、伊曲康唑、伏立康唑、泊沙康唑、奈法唑酮），则应将塞瑞替尼的剂量减少约三分之一，并近似为150mg剂量规格的倍数。当停止给予CYP3A抑制剂后，恢复使用</w:t>
      </w:r>
      <w:r w:rsidRPr="003C684F" w:rsidR="003900BE">
        <w:rPr>
          <w:rFonts w:hint="eastAsia" w:ascii="仿宋" w:hAnsi="仿宋" w:eastAsia="仿宋"/>
          <w:color w:val="000000"/>
          <w:sz w:val="32"/>
          <w:szCs w:val="32"/>
        </w:rPr>
        <w:t>CYP3A强效</w:t>
      </w:r>
      <w:r w:rsidRPr="003C684F" w:rsidR="00A315B9">
        <w:rPr>
          <w:rFonts w:hint="eastAsia" w:ascii="仿宋" w:hAnsi="仿宋" w:eastAsia="仿宋"/>
          <w:color w:val="000000"/>
          <w:sz w:val="32"/>
          <w:szCs w:val="32"/>
        </w:rPr>
        <w:t>抑制剂之前的给药剂量。</w:t>
      </w:r>
    </w:p>
    <w:p w:rsidRPr="003C684F" w:rsidR="009730C1" w:rsidRDefault="00272AE2" w14:paraId="73E459DE"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sidR="00A315B9">
        <w:rPr>
          <w:rFonts w:hint="eastAsia" w:ascii="仿宋" w:hAnsi="仿宋" w:eastAsia="仿宋"/>
          <w:color w:val="000000"/>
          <w:sz w:val="32"/>
          <w:szCs w:val="32"/>
        </w:rPr>
        <w:t>.体外研究数据显示，本品是外排型转运蛋白P-糖蛋白的底物。如果本品与抑制P-糖蛋白的药物联合使用，可能导致本品浓度升高。联合使用P-糖蛋白抑制剂时应谨慎，并小心监测不良反应。</w:t>
      </w:r>
    </w:p>
    <w:p w:rsidRPr="003C684F" w:rsidR="009730C1" w:rsidRDefault="00A315B9" w14:paraId="1A589728"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sidR="00272AE2">
        <w:rPr>
          <w:rFonts w:hint="eastAsia" w:ascii="仿宋" w:hAnsi="仿宋" w:eastAsia="仿宋"/>
          <w:color w:val="000000"/>
          <w:sz w:val="32"/>
          <w:szCs w:val="32"/>
        </w:rPr>
        <w:t>10</w:t>
      </w:r>
      <w:r w:rsidRPr="003C684F">
        <w:rPr>
          <w:rFonts w:hint="eastAsia" w:ascii="仿宋" w:hAnsi="仿宋" w:eastAsia="仿宋"/>
          <w:color w:val="000000"/>
          <w:sz w:val="32"/>
          <w:szCs w:val="32"/>
        </w:rPr>
        <w:t>.2022版NCCN指南基于一项发表于JCO的Ⅱ期临床研究（NCT01964157）推荐塞瑞替尼用于ROS1重排NSCLC一线治疗，无论既往是否接受过克唑替尼治疗。</w:t>
      </w:r>
    </w:p>
    <w:p w:rsidRPr="003C684F" w:rsidR="009730C1" w:rsidRDefault="00A315B9" w14:paraId="53AB9699"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 xml:space="preserve">十二、恩沙替尼 </w:t>
      </w:r>
      <w:r w:rsidRPr="003C684F">
        <w:rPr>
          <w:rFonts w:ascii="黑体" w:hAnsi="黑体" w:eastAsia="黑体"/>
          <w:color w:val="000000"/>
          <w:sz w:val="32"/>
          <w:szCs w:val="32"/>
        </w:rPr>
        <w:t>Ensartinib</w:t>
      </w:r>
    </w:p>
    <w:p w:rsidRPr="003C684F" w:rsidR="009730C1" w:rsidRDefault="00A315B9" w14:paraId="78BD46D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硬胶囊剂：25mg、100mg</w:t>
      </w:r>
    </w:p>
    <w:p w:rsidRPr="003C684F" w:rsidR="009730C1" w:rsidRDefault="00A315B9" w14:paraId="1053AF74"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适用于ALK阳性的局部晚期或转移性的NSCLC患者的治疗。</w:t>
      </w:r>
    </w:p>
    <w:p w:rsidRPr="003C684F" w:rsidR="009730C1" w:rsidRDefault="00A315B9" w14:paraId="757EA6AA"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合理用药要点：</w:t>
      </w:r>
    </w:p>
    <w:p w:rsidRPr="003C684F" w:rsidR="009730C1" w:rsidRDefault="00A315B9" w14:paraId="16CCCA70"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1.用药前必须明确有经国家药品监督管理局批准的检测方法检测到的ALK阳性。</w:t>
      </w:r>
    </w:p>
    <w:p w:rsidRPr="003C684F" w:rsidR="009730C1" w:rsidRDefault="00A315B9" w14:paraId="497ED5C5" w14:textId="2C761BA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2.推荐剂量为225mg</w:t>
      </w:r>
      <w:r w:rsidRPr="003C684F" w:rsidR="00B55E66">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B55E66">
        <w:rPr>
          <w:rFonts w:hint="eastAsia" w:ascii="仿宋" w:hAnsi="仿宋" w:eastAsia="仿宋"/>
          <w:color w:val="000000"/>
          <w:sz w:val="32"/>
          <w:szCs w:val="32"/>
        </w:rPr>
        <w:t>每天一次，</w:t>
      </w:r>
      <w:r w:rsidRPr="003C684F">
        <w:rPr>
          <w:rFonts w:hint="eastAsia" w:ascii="仿宋" w:hAnsi="仿宋" w:eastAsia="仿宋"/>
          <w:color w:val="000000"/>
          <w:sz w:val="32"/>
          <w:szCs w:val="32"/>
        </w:rPr>
        <w:t>每天在同一时间口服，空腹或与食物同服。</w:t>
      </w:r>
    </w:p>
    <w:p w:rsidRPr="003C684F" w:rsidR="009730C1" w:rsidRDefault="00A315B9" w14:paraId="21DBD16B" w14:textId="0D8A7B0B">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3.若本品应用中出现3～4级不良反应，需要调整剂量可参考如下原则：本品起始剂量为225mg</w:t>
      </w:r>
      <w:r w:rsidRPr="003C684F" w:rsidR="00B55E66">
        <w:rPr>
          <w:rFonts w:hint="eastAsia" w:ascii="仿宋" w:hAnsi="仿宋" w:eastAsia="仿宋"/>
          <w:color w:val="000000"/>
          <w:sz w:val="32"/>
          <w:szCs w:val="32"/>
        </w:rPr>
        <w:t>/次</w:t>
      </w:r>
      <w:r w:rsidRPr="003C684F">
        <w:rPr>
          <w:rFonts w:hint="eastAsia" w:ascii="仿宋" w:hAnsi="仿宋" w:eastAsia="仿宋"/>
          <w:color w:val="000000"/>
          <w:sz w:val="32"/>
          <w:szCs w:val="32"/>
        </w:rPr>
        <w:t>，每天一次；首次减量调整为200mg</w:t>
      </w:r>
      <w:r w:rsidRPr="003C684F" w:rsidR="00B55E66">
        <w:rPr>
          <w:rFonts w:hint="eastAsia" w:ascii="仿宋" w:hAnsi="仿宋" w:eastAsia="仿宋"/>
          <w:color w:val="000000"/>
          <w:sz w:val="32"/>
          <w:szCs w:val="32"/>
        </w:rPr>
        <w:t>/次</w:t>
      </w:r>
      <w:r w:rsidRPr="003C684F">
        <w:rPr>
          <w:rFonts w:hint="eastAsia" w:ascii="仿宋" w:hAnsi="仿宋" w:eastAsia="仿宋"/>
          <w:color w:val="000000"/>
          <w:sz w:val="32"/>
          <w:szCs w:val="32"/>
        </w:rPr>
        <w:t>，每天一次；若仍不能耐受，再一次减量调整为150mg</w:t>
      </w:r>
      <w:r w:rsidRPr="003C684F" w:rsidR="00B55E66">
        <w:rPr>
          <w:rFonts w:hint="eastAsia" w:ascii="仿宋" w:hAnsi="仿宋" w:eastAsia="仿宋"/>
          <w:color w:val="000000"/>
          <w:sz w:val="32"/>
          <w:szCs w:val="32"/>
        </w:rPr>
        <w:t>/次</w:t>
      </w:r>
      <w:r w:rsidRPr="003C684F">
        <w:rPr>
          <w:rFonts w:hint="eastAsia" w:ascii="仿宋" w:hAnsi="仿宋" w:eastAsia="仿宋"/>
          <w:color w:val="000000"/>
          <w:sz w:val="32"/>
          <w:szCs w:val="32"/>
        </w:rPr>
        <w:t>，每天一次；150mg</w:t>
      </w:r>
      <w:r w:rsidRPr="003C684F" w:rsidR="00B55E66">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B55E66">
        <w:rPr>
          <w:rFonts w:hint="eastAsia" w:ascii="仿宋" w:hAnsi="仿宋" w:eastAsia="仿宋"/>
          <w:color w:val="000000"/>
          <w:sz w:val="32"/>
          <w:szCs w:val="32"/>
        </w:rPr>
        <w:t>，</w:t>
      </w:r>
      <w:r w:rsidRPr="003C684F">
        <w:rPr>
          <w:rFonts w:hint="eastAsia" w:ascii="仿宋" w:hAnsi="仿宋" w:eastAsia="仿宋"/>
          <w:color w:val="000000"/>
          <w:sz w:val="32"/>
          <w:szCs w:val="32"/>
        </w:rPr>
        <w:t>仍无法耐受，应停用本品。</w:t>
      </w:r>
    </w:p>
    <w:p w:rsidRPr="003C684F" w:rsidR="009730C1" w:rsidRDefault="00A315B9" w14:paraId="08FDAA1A"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4.用药期间主要不良反应为一过性药疹，主要表现为1～2级皮疹和瘙痒症，患者发生皮疹中位持续时间为21.5天。除皮疹外常见不良反应为1～2级ALT/AST升高，以及1～2级胃肠道不适。</w:t>
      </w:r>
    </w:p>
    <w:p w:rsidRPr="003C684F" w:rsidR="009730C1" w:rsidRDefault="00A315B9" w14:paraId="06734BB7" w14:textId="63BA1E20">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5.避免与CYP3A4强效诱导剂或抑制剂联合使用。</w:t>
      </w:r>
    </w:p>
    <w:p w:rsidRPr="003C684F" w:rsidR="009730C1" w:rsidP="0037660B" w:rsidRDefault="00A315B9" w14:paraId="102C5BAA"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十三、布格替尼 Brigatinib</w:t>
      </w:r>
    </w:p>
    <w:p w:rsidRPr="003C684F" w:rsidR="009730C1" w:rsidRDefault="00A315B9" w14:paraId="10C5345F"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片剂：3</w:t>
      </w:r>
      <w:r w:rsidRPr="003C684F">
        <w:rPr>
          <w:rFonts w:ascii="仿宋" w:hAnsi="仿宋" w:eastAsia="仿宋"/>
          <w:color w:val="000000"/>
          <w:sz w:val="32"/>
          <w:szCs w:val="32"/>
        </w:rPr>
        <w:t>0</w:t>
      </w:r>
      <w:r w:rsidRPr="003C684F">
        <w:rPr>
          <w:rFonts w:hint="eastAsia" w:ascii="仿宋" w:hAnsi="仿宋" w:eastAsia="仿宋"/>
          <w:color w:val="000000"/>
          <w:sz w:val="32"/>
          <w:szCs w:val="32"/>
        </w:rPr>
        <w:t>mg、9</w:t>
      </w:r>
      <w:r w:rsidRPr="003C684F">
        <w:rPr>
          <w:rFonts w:ascii="仿宋" w:hAnsi="仿宋" w:eastAsia="仿宋"/>
          <w:color w:val="000000"/>
          <w:sz w:val="32"/>
          <w:szCs w:val="32"/>
        </w:rPr>
        <w:t>0</w:t>
      </w:r>
      <w:r w:rsidRPr="003C684F">
        <w:rPr>
          <w:rFonts w:hint="eastAsia" w:ascii="仿宋" w:hAnsi="仿宋" w:eastAsia="仿宋"/>
          <w:color w:val="000000"/>
          <w:sz w:val="32"/>
          <w:szCs w:val="32"/>
        </w:rPr>
        <w:t>mg、1</w:t>
      </w:r>
      <w:r w:rsidRPr="003C684F">
        <w:rPr>
          <w:rFonts w:ascii="仿宋" w:hAnsi="仿宋" w:eastAsia="仿宋"/>
          <w:color w:val="000000"/>
          <w:sz w:val="32"/>
          <w:szCs w:val="32"/>
        </w:rPr>
        <w:t>80</w:t>
      </w:r>
      <w:r w:rsidRPr="003C684F">
        <w:rPr>
          <w:rFonts w:hint="eastAsia" w:ascii="仿宋" w:hAnsi="仿宋" w:eastAsia="仿宋"/>
          <w:color w:val="000000"/>
          <w:sz w:val="32"/>
          <w:szCs w:val="32"/>
        </w:rPr>
        <w:t>mg</w:t>
      </w:r>
    </w:p>
    <w:p w:rsidRPr="003C684F" w:rsidR="009730C1" w:rsidRDefault="00A315B9" w14:paraId="7876C90B"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适用于ALK阳性的局部晚期或转移性的NSCLC患者的治疗。</w:t>
      </w:r>
    </w:p>
    <w:p w:rsidRPr="003C684F" w:rsidR="009730C1" w:rsidRDefault="00A315B9" w14:paraId="000BB578" w14:textId="77777777">
      <w:pPr>
        <w:spacing w:line="360" w:lineRule="auto"/>
        <w:ind w:left="640"/>
        <w:rPr>
          <w:rFonts w:ascii="仿宋" w:hAnsi="仿宋" w:eastAsia="仿宋"/>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C3D637B" w14:textId="77777777">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1.用药前必须明确有经国家药品监督管理局批准的检测方法检测到的ALK阳性。</w:t>
      </w:r>
    </w:p>
    <w:p w:rsidRPr="003C684F" w:rsidR="009730C1" w:rsidRDefault="00A315B9" w14:paraId="3A1E49F1" w14:textId="231A4A18">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2.推荐剂量：前7天90mg</w:t>
      </w:r>
      <w:r w:rsidRPr="003C684F" w:rsidR="006A00EB">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6A00EB">
        <w:rPr>
          <w:rFonts w:hint="eastAsia" w:ascii="仿宋" w:hAnsi="仿宋" w:eastAsia="仿宋"/>
          <w:color w:val="000000"/>
          <w:sz w:val="32"/>
          <w:szCs w:val="32"/>
        </w:rPr>
        <w:t>，口服</w:t>
      </w:r>
      <w:r w:rsidRPr="003C684F">
        <w:rPr>
          <w:rFonts w:hint="eastAsia" w:ascii="仿宋" w:hAnsi="仿宋" w:eastAsia="仿宋"/>
          <w:color w:val="000000"/>
          <w:sz w:val="32"/>
          <w:szCs w:val="32"/>
        </w:rPr>
        <w:t>；然后增加剂量至180mg</w:t>
      </w:r>
      <w:r w:rsidRPr="003C684F" w:rsidR="006A00EB">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6A00EB">
        <w:rPr>
          <w:rFonts w:hint="eastAsia" w:ascii="仿宋" w:hAnsi="仿宋" w:eastAsia="仿宋"/>
          <w:color w:val="000000"/>
          <w:sz w:val="32"/>
          <w:szCs w:val="32"/>
        </w:rPr>
        <w:t>，口服</w:t>
      </w:r>
      <w:r w:rsidRPr="003C684F">
        <w:rPr>
          <w:rFonts w:hint="eastAsia" w:ascii="仿宋" w:hAnsi="仿宋" w:eastAsia="仿宋"/>
          <w:color w:val="000000"/>
          <w:sz w:val="32"/>
          <w:szCs w:val="32"/>
        </w:rPr>
        <w:t>。</w:t>
      </w:r>
    </w:p>
    <w:p w:rsidRPr="003C684F" w:rsidR="009730C1" w:rsidRDefault="00A315B9" w14:paraId="37076503" w14:textId="54609F4A">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3.如果因不良反应以外的原因中断本品治疗14天或更长时间，则在增加至既往耐受剂量前，以90mg</w:t>
      </w:r>
      <w:r w:rsidRPr="003C684F" w:rsidR="00D77169">
        <w:rPr>
          <w:rFonts w:hint="eastAsia" w:ascii="仿宋" w:hAnsi="仿宋" w:eastAsia="仿宋"/>
          <w:color w:val="000000"/>
          <w:sz w:val="32"/>
          <w:szCs w:val="32"/>
        </w:rPr>
        <w:t>/次，每天一次的</w:t>
      </w:r>
      <w:r w:rsidRPr="003C684F">
        <w:rPr>
          <w:rFonts w:hint="eastAsia" w:ascii="仿宋" w:hAnsi="仿宋" w:eastAsia="仿宋"/>
          <w:color w:val="000000"/>
          <w:sz w:val="32"/>
          <w:szCs w:val="32"/>
        </w:rPr>
        <w:t>剂量恢复治疗，持续7天。本品</w:t>
      </w:r>
      <w:r w:rsidRPr="003C684F" w:rsidR="002A207A">
        <w:rPr>
          <w:rFonts w:hint="eastAsia" w:ascii="仿宋" w:hAnsi="仿宋" w:eastAsia="仿宋"/>
          <w:color w:val="000000"/>
          <w:sz w:val="32"/>
          <w:szCs w:val="32"/>
        </w:rPr>
        <w:t>可</w:t>
      </w:r>
      <w:r w:rsidRPr="003C684F">
        <w:rPr>
          <w:rFonts w:hint="eastAsia" w:ascii="仿宋" w:hAnsi="仿宋" w:eastAsia="仿宋"/>
          <w:color w:val="000000"/>
          <w:sz w:val="32"/>
          <w:szCs w:val="32"/>
        </w:rPr>
        <w:t>与食物同服或不同服。应指导患者整片吞服</w:t>
      </w:r>
      <w:r w:rsidRPr="003C684F" w:rsidR="002A207A">
        <w:rPr>
          <w:rFonts w:hint="eastAsia" w:ascii="仿宋" w:hAnsi="仿宋" w:eastAsia="仿宋"/>
          <w:color w:val="000000"/>
          <w:sz w:val="32"/>
          <w:szCs w:val="32"/>
        </w:rPr>
        <w:t>，</w:t>
      </w:r>
      <w:r w:rsidRPr="003C684F" w:rsidR="00D953FD">
        <w:rPr>
          <w:rFonts w:hint="eastAsia" w:ascii="仿宋" w:hAnsi="仿宋" w:eastAsia="仿宋"/>
          <w:color w:val="000000"/>
          <w:sz w:val="32"/>
          <w:szCs w:val="32"/>
        </w:rPr>
        <w:t>不应咀嚼、压碎、溶解或掰断药片。</w:t>
      </w:r>
    </w:p>
    <w:p w:rsidRPr="003C684F" w:rsidR="009730C1" w:rsidRDefault="00A315B9" w14:paraId="31BB025A" w14:textId="53E21F6C">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4.根据患者个体的耐受性及安全性进行剂量调整，剂量调整方案如下：（1）若90mg</w:t>
      </w:r>
      <w:r w:rsidRPr="003C684F" w:rsidR="004965C0">
        <w:rPr>
          <w:rFonts w:hint="eastAsia" w:ascii="仿宋" w:hAnsi="仿宋" w:eastAsia="仿宋"/>
          <w:color w:val="000000"/>
          <w:sz w:val="32"/>
          <w:szCs w:val="32"/>
        </w:rPr>
        <w:t>/次，每天一次，口服</w:t>
      </w:r>
      <w:r w:rsidRPr="003C684F" w:rsidR="002A207A">
        <w:rPr>
          <w:rFonts w:hint="eastAsia" w:ascii="仿宋" w:hAnsi="仿宋" w:eastAsia="仿宋"/>
          <w:color w:val="000000"/>
          <w:sz w:val="32"/>
          <w:szCs w:val="32"/>
        </w:rPr>
        <w:t>，</w:t>
      </w:r>
      <w:r w:rsidRPr="003C684F">
        <w:rPr>
          <w:rFonts w:hint="eastAsia" w:ascii="仿宋" w:hAnsi="仿宋" w:eastAsia="仿宋"/>
          <w:color w:val="000000"/>
          <w:sz w:val="32"/>
          <w:szCs w:val="32"/>
        </w:rPr>
        <w:t>无法耐受，首次剂量调整为60m</w:t>
      </w:r>
      <w:r w:rsidRPr="003C684F" w:rsidR="000E7D5B">
        <w:rPr>
          <w:rFonts w:ascii="仿宋" w:hAnsi="仿宋" w:eastAsia="仿宋"/>
          <w:color w:val="000000"/>
          <w:sz w:val="32"/>
          <w:szCs w:val="32"/>
        </w:rPr>
        <w:t>g</w:t>
      </w:r>
      <w:r w:rsidRPr="003C684F" w:rsidR="004965C0">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；（2）若</w:t>
      </w:r>
      <w:r w:rsidRPr="003C684F" w:rsidR="007A5335">
        <w:rPr>
          <w:rFonts w:hint="eastAsia" w:ascii="仿宋" w:hAnsi="仿宋" w:eastAsia="仿宋"/>
          <w:color w:val="000000"/>
          <w:sz w:val="32"/>
          <w:szCs w:val="32"/>
        </w:rPr>
        <w:t>增至</w:t>
      </w:r>
      <w:r w:rsidRPr="003C684F">
        <w:rPr>
          <w:rFonts w:hint="eastAsia" w:ascii="仿宋" w:hAnsi="仿宋" w:eastAsia="仿宋"/>
          <w:color w:val="000000"/>
          <w:sz w:val="32"/>
          <w:szCs w:val="32"/>
        </w:rPr>
        <w:t>180mg</w:t>
      </w:r>
      <w:r w:rsidRPr="003C684F" w:rsidR="004965C0">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无法耐受，首次剂量调整为120mg</w:t>
      </w:r>
      <w:r w:rsidRPr="003C684F" w:rsidR="004965C0">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；若仍不能耐受，第2次减量为90mg</w:t>
      </w:r>
      <w:r w:rsidRPr="003C684F" w:rsidR="004965C0">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；若患者还是不能耐受，则第3次减量为60mg</w:t>
      </w:r>
      <w:r w:rsidRPr="003C684F" w:rsidR="004965C0">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。（3）因不良反应减少剂量</w:t>
      </w:r>
      <w:r w:rsidRPr="003C684F" w:rsidR="007A5335">
        <w:rPr>
          <w:rFonts w:hint="eastAsia" w:ascii="仿宋" w:hAnsi="仿宋" w:eastAsia="仿宋"/>
          <w:color w:val="000000"/>
          <w:sz w:val="32"/>
          <w:szCs w:val="32"/>
        </w:rPr>
        <w:t>后</w:t>
      </w:r>
      <w:r w:rsidRPr="003C684F">
        <w:rPr>
          <w:rFonts w:hint="eastAsia" w:ascii="仿宋" w:hAnsi="仿宋" w:eastAsia="仿宋"/>
          <w:color w:val="000000"/>
          <w:sz w:val="32"/>
          <w:szCs w:val="32"/>
        </w:rPr>
        <w:t>，不要</w:t>
      </w:r>
      <w:r w:rsidRPr="003C684F" w:rsidR="007A5335">
        <w:rPr>
          <w:rFonts w:hint="eastAsia" w:ascii="仿宋" w:hAnsi="仿宋" w:eastAsia="仿宋"/>
          <w:color w:val="000000"/>
          <w:sz w:val="32"/>
          <w:szCs w:val="32"/>
        </w:rPr>
        <w:t>随便</w:t>
      </w:r>
      <w:r w:rsidRPr="003C684F">
        <w:rPr>
          <w:rFonts w:hint="eastAsia" w:ascii="仿宋" w:hAnsi="仿宋" w:eastAsia="仿宋"/>
          <w:color w:val="000000"/>
          <w:sz w:val="32"/>
          <w:szCs w:val="32"/>
        </w:rPr>
        <w:t>增加剂量。如果患者不能耐受60mg</w:t>
      </w:r>
      <w:r w:rsidRPr="003C684F" w:rsidR="004965C0">
        <w:rPr>
          <w:rFonts w:hint="eastAsia" w:ascii="仿宋" w:hAnsi="仿宋" w:eastAsia="仿宋"/>
          <w:color w:val="000000"/>
          <w:sz w:val="32"/>
          <w:szCs w:val="32"/>
        </w:rPr>
        <w:t>/次，每天一次</w:t>
      </w:r>
      <w:r w:rsidRPr="003C684F">
        <w:rPr>
          <w:rFonts w:hint="eastAsia" w:ascii="仿宋" w:hAnsi="仿宋" w:eastAsia="仿宋"/>
          <w:color w:val="000000"/>
          <w:sz w:val="32"/>
          <w:szCs w:val="32"/>
        </w:rPr>
        <w:t>的剂量，</w:t>
      </w:r>
      <w:r w:rsidRPr="003C684F" w:rsidR="000B641A">
        <w:rPr>
          <w:rFonts w:hint="eastAsia" w:ascii="仿宋" w:hAnsi="仿宋" w:eastAsia="仿宋" w:cs="仿宋"/>
          <w:sz w:val="32"/>
          <w:szCs w:val="32"/>
        </w:rPr>
        <w:t>永久停用</w:t>
      </w:r>
      <w:r w:rsidRPr="003C684F">
        <w:rPr>
          <w:rFonts w:hint="eastAsia" w:ascii="仿宋" w:hAnsi="仿宋" w:eastAsia="仿宋"/>
          <w:color w:val="000000"/>
          <w:sz w:val="32"/>
          <w:szCs w:val="32"/>
        </w:rPr>
        <w:t>。</w:t>
      </w:r>
    </w:p>
    <w:p w:rsidRPr="003C684F" w:rsidR="00FA2659" w:rsidP="00FA2659" w:rsidRDefault="00A315B9" w14:paraId="6E55FD80" w14:textId="7EDA0858">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w:t>
      </w:r>
      <w:r w:rsidRPr="003C684F" w:rsidR="00FA2659">
        <w:rPr>
          <w:rFonts w:hint="eastAsia" w:ascii="仿宋" w:hAnsi="仿宋" w:eastAsia="仿宋"/>
          <w:color w:val="000000"/>
          <w:sz w:val="32"/>
          <w:szCs w:val="32"/>
        </w:rPr>
        <w:t>本品常见的不良反应为腹泻、肌酸磷酸激酶升高、咳嗽、高血压、恶心等。用药期间应注意间质性肺炎/非感染性肺炎、肌酸磷酸激酶升高、高血压、心动过缓、脂肪酶/淀粉酶升高、血糖升高等不良反应。</w:t>
      </w:r>
    </w:p>
    <w:p w:rsidRPr="003C684F" w:rsidR="00FA2659" w:rsidP="00FA2659" w:rsidRDefault="00FA2659" w14:paraId="73EB0A4A" w14:textId="294D7D9B">
      <w:pPr>
        <w:spacing w:line="360" w:lineRule="auto"/>
        <w:ind w:left="210"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6.应避免布格替尼与CYP3A</w:t>
      </w:r>
      <w:r w:rsidRPr="003C684F" w:rsidR="0029486A">
        <w:rPr>
          <w:rFonts w:hint="eastAsia" w:ascii="仿宋" w:hAnsi="仿宋" w:eastAsia="仿宋"/>
          <w:color w:val="000000"/>
          <w:sz w:val="32"/>
          <w:szCs w:val="32"/>
        </w:rPr>
        <w:t>强效</w:t>
      </w:r>
      <w:r w:rsidRPr="003C684F" w:rsidR="0027238F">
        <w:rPr>
          <w:rFonts w:hint="eastAsia" w:ascii="仿宋" w:hAnsi="仿宋" w:eastAsia="仿宋"/>
          <w:color w:val="000000"/>
          <w:sz w:val="32"/>
          <w:szCs w:val="32"/>
        </w:rPr>
        <w:t>或</w:t>
      </w:r>
      <w:r w:rsidRPr="003C684F" w:rsidR="0029486A">
        <w:rPr>
          <w:rFonts w:hint="eastAsia" w:ascii="仿宋" w:hAnsi="仿宋" w:eastAsia="仿宋"/>
          <w:color w:val="000000"/>
          <w:sz w:val="32"/>
          <w:szCs w:val="32"/>
        </w:rPr>
        <w:t>中效</w:t>
      </w:r>
      <w:r w:rsidRPr="003C684F">
        <w:rPr>
          <w:rFonts w:hint="eastAsia" w:ascii="仿宋" w:hAnsi="仿宋" w:eastAsia="仿宋"/>
          <w:color w:val="000000"/>
          <w:sz w:val="32"/>
          <w:szCs w:val="32"/>
        </w:rPr>
        <w:t>抑制剂</w:t>
      </w:r>
      <w:r w:rsidRPr="003C684F" w:rsidR="0027238F">
        <w:rPr>
          <w:rFonts w:hint="eastAsia" w:ascii="仿宋" w:hAnsi="仿宋" w:eastAsia="仿宋"/>
          <w:color w:val="000000"/>
          <w:sz w:val="32"/>
          <w:szCs w:val="32"/>
        </w:rPr>
        <w:t>和</w:t>
      </w:r>
      <w:r w:rsidRPr="003C684F">
        <w:rPr>
          <w:rFonts w:hint="eastAsia" w:ascii="仿宋" w:hAnsi="仿宋" w:eastAsia="仿宋"/>
          <w:color w:val="000000"/>
          <w:sz w:val="32"/>
          <w:szCs w:val="32"/>
        </w:rPr>
        <w:t>诱导剂联合</w:t>
      </w:r>
      <w:r w:rsidRPr="003C684F" w:rsidR="00130743">
        <w:rPr>
          <w:rFonts w:hint="eastAsia" w:ascii="仿宋" w:hAnsi="仿宋" w:eastAsia="仿宋"/>
          <w:color w:val="000000"/>
          <w:sz w:val="32"/>
          <w:szCs w:val="32"/>
        </w:rPr>
        <w:t>使用</w:t>
      </w:r>
      <w:r w:rsidRPr="003C684F">
        <w:rPr>
          <w:rFonts w:hint="eastAsia" w:ascii="仿宋" w:hAnsi="仿宋" w:eastAsia="仿宋"/>
          <w:color w:val="000000"/>
          <w:sz w:val="32"/>
          <w:szCs w:val="32"/>
        </w:rPr>
        <w:t>，如必须</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，需对药物剂量进行调整。</w:t>
      </w:r>
      <w:r w:rsidRPr="003C684F" w:rsidR="00621CC1">
        <w:rPr>
          <w:rFonts w:hint="eastAsia" w:ascii="仿宋" w:hAnsi="仿宋" w:eastAsia="仿宋"/>
          <w:color w:val="000000"/>
          <w:sz w:val="32"/>
          <w:szCs w:val="32"/>
        </w:rPr>
        <w:lastRenderedPageBreak/>
        <w:t>如果无法避免联合使用CYP3A强效抑制剂，则将本品每天剂量降低约50%（即从180mg降至90mg、90mg降至60mg）。</w:t>
      </w:r>
      <w:r w:rsidRPr="003C684F">
        <w:rPr>
          <w:rFonts w:hint="eastAsia" w:ascii="仿宋" w:hAnsi="仿宋" w:eastAsia="仿宋"/>
          <w:color w:val="000000"/>
          <w:sz w:val="32"/>
          <w:szCs w:val="32"/>
        </w:rPr>
        <w:t>如果无法避免</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CYP3A中效抑制剂，则将本品每天剂量降低约40%（即从180mg降至120mg、120mg降至90mg或从90mg降至60mg）。停用CYP3A</w:t>
      </w:r>
      <w:r w:rsidRPr="003C684F" w:rsidR="00D77169">
        <w:rPr>
          <w:rFonts w:hint="eastAsia" w:ascii="仿宋" w:hAnsi="仿宋" w:eastAsia="仿宋"/>
          <w:color w:val="000000"/>
          <w:sz w:val="32"/>
          <w:szCs w:val="32"/>
        </w:rPr>
        <w:t>强效或中效</w:t>
      </w:r>
      <w:r w:rsidRPr="003C684F">
        <w:rPr>
          <w:rFonts w:hint="eastAsia" w:ascii="仿宋" w:hAnsi="仿宋" w:eastAsia="仿宋"/>
          <w:color w:val="000000"/>
          <w:sz w:val="32"/>
          <w:szCs w:val="32"/>
        </w:rPr>
        <w:t>抑制剂后，恢复使用CYP3A抑制剂前耐受的本品剂量。如果无法避免</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CYP3A中效诱导剂，则在接受当前本品剂量（如耐受）治疗7天后，以30mg</w:t>
      </w:r>
      <w:r w:rsidRPr="003C684F" w:rsidR="00AB5984">
        <w:rPr>
          <w:rFonts w:ascii="仿宋" w:hAnsi="仿宋" w:eastAsia="仿宋"/>
          <w:color w:val="000000"/>
          <w:sz w:val="32"/>
          <w:szCs w:val="32"/>
        </w:rPr>
        <w:t>/</w:t>
      </w:r>
      <w:r w:rsidRPr="003C684F" w:rsidR="00D7796F">
        <w:rPr>
          <w:rFonts w:hint="eastAsia" w:ascii="仿宋" w:hAnsi="仿宋" w:eastAsia="仿宋"/>
          <w:color w:val="000000"/>
          <w:sz w:val="32"/>
          <w:szCs w:val="32"/>
        </w:rPr>
        <w:t>d</w:t>
      </w:r>
      <w:r w:rsidRPr="003C684F">
        <w:rPr>
          <w:rFonts w:hint="eastAsia" w:ascii="仿宋" w:hAnsi="仿宋" w:eastAsia="仿宋"/>
          <w:color w:val="000000"/>
          <w:sz w:val="32"/>
          <w:szCs w:val="32"/>
        </w:rPr>
        <w:t>增量增加本品每天剂量，最多</w:t>
      </w:r>
      <w:r w:rsidRPr="003C684F" w:rsidR="00AB5984">
        <w:rPr>
          <w:rFonts w:hint="eastAsia" w:ascii="仿宋" w:hAnsi="仿宋" w:eastAsia="仿宋"/>
          <w:color w:val="000000"/>
          <w:sz w:val="32"/>
          <w:szCs w:val="32"/>
        </w:rPr>
        <w:t>增至</w:t>
      </w:r>
      <w:r w:rsidRPr="003C684F">
        <w:rPr>
          <w:rFonts w:hint="eastAsia" w:ascii="仿宋" w:hAnsi="仿宋" w:eastAsia="仿宋"/>
          <w:color w:val="000000"/>
          <w:sz w:val="32"/>
          <w:szCs w:val="32"/>
        </w:rPr>
        <w:t>开始CYP3A</w:t>
      </w:r>
      <w:r w:rsidRPr="003C684F" w:rsidR="0029486A">
        <w:rPr>
          <w:rFonts w:hint="eastAsia" w:ascii="仿宋" w:hAnsi="仿宋" w:eastAsia="仿宋"/>
          <w:color w:val="000000"/>
          <w:sz w:val="32"/>
          <w:szCs w:val="32"/>
        </w:rPr>
        <w:t>中效</w:t>
      </w:r>
      <w:r w:rsidRPr="003C684F">
        <w:rPr>
          <w:rFonts w:hint="eastAsia" w:ascii="仿宋" w:hAnsi="仿宋" w:eastAsia="仿宋"/>
          <w:color w:val="000000"/>
          <w:sz w:val="32"/>
          <w:szCs w:val="32"/>
        </w:rPr>
        <w:t>诱导剂前耐受的本品剂量的2倍。停用CYP3A中效诱导剂后，恢复使用CYP3A中效诱导剂前耐受的本品剂量。</w:t>
      </w:r>
    </w:p>
    <w:p w:rsidRPr="003C684F" w:rsidR="009730C1" w:rsidP="0037660B" w:rsidRDefault="00A315B9" w14:paraId="1AF69D37" w14:textId="3C68F539">
      <w:pPr>
        <w:spacing w:line="360" w:lineRule="auto"/>
        <w:ind w:left="210"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十四、洛拉替尼</w:t>
      </w:r>
      <w:r w:rsidRPr="003C684F" w:rsidR="00D25492">
        <w:rPr>
          <w:rFonts w:hint="eastAsia" w:ascii="黑体" w:hAnsi="黑体" w:eastAsia="黑体"/>
          <w:color w:val="000000"/>
          <w:sz w:val="32"/>
          <w:szCs w:val="32"/>
        </w:rPr>
        <w:t xml:space="preserve"> </w:t>
      </w:r>
      <w:r w:rsidRPr="003C684F">
        <w:rPr>
          <w:rFonts w:ascii="黑体" w:hAnsi="黑体" w:eastAsia="黑体"/>
          <w:color w:val="000000"/>
          <w:sz w:val="32"/>
          <w:szCs w:val="32"/>
        </w:rPr>
        <w:t>Lorlatinib</w:t>
      </w:r>
    </w:p>
    <w:p w:rsidRPr="003C684F" w:rsidR="009730C1" w:rsidRDefault="00A315B9" w14:paraId="01FA02DA" w14:textId="77777777">
      <w:pPr>
        <w:spacing w:line="360" w:lineRule="auto"/>
        <w:ind w:left="210" w:firstLine="643" w:firstLineChars="200"/>
        <w:rPr>
          <w:rFonts w:ascii="仿宋" w:hAnsi="仿宋" w:eastAsia="仿宋"/>
          <w:color w:val="000000"/>
          <w:sz w:val="32"/>
          <w:szCs w:val="32"/>
        </w:rPr>
      </w:pPr>
      <w:r w:rsidRPr="003C684F">
        <w:rPr>
          <w:rFonts w:hint="eastAsia" w:ascii="仿宋" w:hAnsi="仿宋" w:eastAsia="仿宋"/>
          <w:b/>
          <w:bCs/>
          <w:color w:val="000000"/>
          <w:sz w:val="32"/>
          <w:szCs w:val="32"/>
        </w:rPr>
        <w:t>制剂与规格：</w:t>
      </w:r>
      <w:r w:rsidRPr="003C684F">
        <w:rPr>
          <w:rFonts w:hint="eastAsia" w:ascii="仿宋" w:hAnsi="仿宋" w:eastAsia="仿宋"/>
          <w:color w:val="000000"/>
          <w:sz w:val="32"/>
          <w:szCs w:val="32"/>
        </w:rPr>
        <w:t>片剂：25mg、100mg</w:t>
      </w:r>
    </w:p>
    <w:p w:rsidRPr="003C684F" w:rsidR="009730C1" w:rsidRDefault="00A315B9" w14:paraId="6F4C1DB0" w14:textId="77777777">
      <w:pPr>
        <w:spacing w:line="360" w:lineRule="auto"/>
        <w:ind w:left="210" w:firstLine="643" w:firstLineChars="200"/>
        <w:rPr>
          <w:rFonts w:ascii="仿宋" w:hAnsi="仿宋" w:eastAsia="仿宋"/>
          <w:color w:val="000000"/>
          <w:sz w:val="32"/>
          <w:szCs w:val="32"/>
        </w:rPr>
      </w:pPr>
      <w:r w:rsidRPr="003C684F">
        <w:rPr>
          <w:rFonts w:hint="eastAsia" w:ascii="仿宋" w:hAnsi="仿宋" w:eastAsia="仿宋"/>
          <w:b/>
          <w:bCs/>
          <w:color w:val="000000"/>
          <w:sz w:val="32"/>
          <w:szCs w:val="32"/>
        </w:rPr>
        <w:t>适应证：</w:t>
      </w:r>
      <w:r w:rsidRPr="003C684F">
        <w:rPr>
          <w:rFonts w:hint="eastAsia" w:ascii="仿宋" w:hAnsi="仿宋" w:eastAsia="仿宋"/>
          <w:color w:val="000000"/>
          <w:sz w:val="32"/>
          <w:szCs w:val="32"/>
        </w:rPr>
        <w:t>适用于ALK阳性的局部晚期或转移性NSCLC患者的治疗。</w:t>
      </w:r>
    </w:p>
    <w:p w:rsidRPr="003C684F" w:rsidR="009730C1" w:rsidRDefault="00A315B9" w14:paraId="561BE77E" w14:textId="77777777">
      <w:pPr>
        <w:spacing w:line="360" w:lineRule="auto"/>
        <w:ind w:left="210" w:firstLine="643" w:firstLineChars="200"/>
        <w:rPr>
          <w:rFonts w:ascii="仿宋" w:hAnsi="仿宋" w:eastAsia="仿宋"/>
          <w:b/>
          <w:bCs/>
          <w:color w:val="000000"/>
          <w:sz w:val="32"/>
          <w:szCs w:val="32"/>
        </w:rPr>
      </w:pPr>
      <w:r w:rsidRPr="003C684F">
        <w:rPr>
          <w:rFonts w:hint="eastAsia" w:ascii="仿宋" w:hAnsi="仿宋" w:eastAsia="仿宋"/>
          <w:b/>
          <w:bCs/>
          <w:color w:val="000000"/>
          <w:sz w:val="32"/>
          <w:szCs w:val="32"/>
        </w:rPr>
        <w:t>合理用药要点：</w:t>
      </w:r>
    </w:p>
    <w:p w:rsidRPr="003C684F" w:rsidR="009730C1" w:rsidRDefault="00A315B9" w14:paraId="078CB59A"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1.用药前必须明确有经国家药品监督管理局批准的检测方法检测到的ALK阳性。</w:t>
      </w:r>
    </w:p>
    <w:p w:rsidRPr="003C684F" w:rsidR="009730C1" w:rsidRDefault="00A315B9" w14:paraId="3C1F8CD8" w14:textId="338446D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2.推荐剂量为100mg</w:t>
      </w:r>
      <w:r w:rsidRPr="003C684F" w:rsidR="001B438B">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与食物同服或不同服；应整片吞服，</w:t>
      </w:r>
      <w:r w:rsidRPr="003C684F" w:rsidR="00D953FD">
        <w:rPr>
          <w:rFonts w:hint="eastAsia" w:ascii="仿宋" w:hAnsi="仿宋" w:eastAsia="仿宋"/>
          <w:color w:val="000000"/>
          <w:sz w:val="32"/>
          <w:szCs w:val="32"/>
        </w:rPr>
        <w:t>不应咀嚼、压碎、溶解或掰断药片。</w:t>
      </w:r>
      <w:r w:rsidRPr="003C684F">
        <w:rPr>
          <w:rFonts w:hint="eastAsia" w:ascii="仿宋" w:hAnsi="仿宋" w:eastAsia="仿宋"/>
          <w:color w:val="000000"/>
          <w:sz w:val="32"/>
          <w:szCs w:val="32"/>
        </w:rPr>
        <w:t>若药片出现破损、裂纹或其他不完整的情况，请勿服用。每天在大致相同的时间服用本品。</w:t>
      </w:r>
    </w:p>
    <w:p w:rsidRPr="003C684F" w:rsidR="009730C1" w:rsidRDefault="00A315B9" w14:paraId="216B0147" w14:textId="5C6F6460">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3.如出现不良事件，应根据患者耐受性，以每次减量25mg的方式逐步降低剂量：（1）第1次降低剂量：75mg</w:t>
      </w:r>
      <w:r w:rsidRPr="003C684F" w:rsidR="001B438B">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。（2）第2次降低剂量：50mg</w:t>
      </w:r>
      <w:r w:rsidRPr="003C684F" w:rsidR="001B438B">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；对于</w:t>
      </w:r>
      <w:r w:rsidRPr="003C684F" w:rsidR="001B438B">
        <w:rPr>
          <w:rFonts w:hint="eastAsia" w:ascii="仿宋" w:hAnsi="仿宋" w:eastAsia="仿宋"/>
          <w:color w:val="000000"/>
          <w:sz w:val="32"/>
          <w:szCs w:val="32"/>
        </w:rPr>
        <w:t>仍</w:t>
      </w:r>
      <w:r w:rsidRPr="003C684F">
        <w:rPr>
          <w:rFonts w:hint="eastAsia" w:ascii="仿宋" w:hAnsi="仿宋" w:eastAsia="仿宋"/>
          <w:color w:val="000000"/>
          <w:sz w:val="32"/>
          <w:szCs w:val="32"/>
        </w:rPr>
        <w:t>不能耐受的患者，</w:t>
      </w:r>
      <w:r w:rsidRPr="003C684F" w:rsidR="00373DC1">
        <w:rPr>
          <w:rFonts w:hint="eastAsia" w:ascii="仿宋" w:hAnsi="仿宋" w:eastAsia="仿宋"/>
          <w:color w:val="000000"/>
          <w:sz w:val="32"/>
          <w:szCs w:val="32"/>
        </w:rPr>
        <w:t>应永久停用</w:t>
      </w:r>
      <w:r w:rsidRPr="003C684F">
        <w:rPr>
          <w:rFonts w:hint="eastAsia" w:ascii="仿宋" w:hAnsi="仿宋" w:eastAsia="仿宋"/>
          <w:color w:val="000000"/>
          <w:sz w:val="32"/>
          <w:szCs w:val="32"/>
        </w:rPr>
        <w:t>。</w:t>
      </w:r>
    </w:p>
    <w:p w:rsidRPr="003C684F" w:rsidR="009730C1" w:rsidRDefault="00A315B9" w14:paraId="211CCD39" w14:textId="2CEFF7B9">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4.B7461006</w:t>
      </w:r>
      <w:r w:rsidRPr="003C684F" w:rsidR="00AB5984">
        <w:rPr>
          <w:rFonts w:hint="eastAsia" w:ascii="仿宋" w:hAnsi="仿宋" w:eastAsia="仿宋"/>
          <w:color w:val="000000"/>
          <w:sz w:val="32"/>
          <w:szCs w:val="32"/>
        </w:rPr>
        <w:t>研究显示</w:t>
      </w:r>
      <w:r w:rsidRPr="003C684F">
        <w:rPr>
          <w:rFonts w:hint="eastAsia" w:ascii="仿宋" w:hAnsi="仿宋" w:eastAsia="仿宋"/>
          <w:color w:val="000000"/>
          <w:sz w:val="32"/>
          <w:szCs w:val="32"/>
        </w:rPr>
        <w:t>，所有等级的高甘油三酯血症和高胆固醇血症的发生率，分别为95%和91%；</w:t>
      </w:r>
      <w:r w:rsidRPr="003C684F" w:rsidR="00406856">
        <w:rPr>
          <w:rFonts w:hint="eastAsia" w:ascii="仿宋" w:hAnsi="仿宋" w:eastAsia="仿宋"/>
          <w:color w:val="000000"/>
          <w:sz w:val="32"/>
          <w:szCs w:val="32"/>
        </w:rPr>
        <w:t>其中</w:t>
      </w:r>
      <w:r w:rsidRPr="003C684F">
        <w:rPr>
          <w:rFonts w:hint="eastAsia" w:ascii="仿宋" w:hAnsi="仿宋" w:eastAsia="仿宋"/>
          <w:color w:val="000000"/>
          <w:sz w:val="32"/>
          <w:szCs w:val="32"/>
        </w:rPr>
        <w:t>3</w:t>
      </w:r>
      <w:r w:rsidRPr="003C684F" w:rsidR="00406856">
        <w:rPr>
          <w:rFonts w:hint="eastAsia" w:ascii="仿宋" w:hAnsi="仿宋" w:eastAsia="仿宋"/>
          <w:color w:val="000000"/>
          <w:sz w:val="32"/>
          <w:szCs w:val="32"/>
        </w:rPr>
        <w:t>级</w:t>
      </w:r>
      <w:r w:rsidRPr="003C684F">
        <w:rPr>
          <w:rFonts w:hint="eastAsia" w:ascii="仿宋" w:hAnsi="仿宋" w:eastAsia="仿宋"/>
          <w:color w:val="000000"/>
          <w:sz w:val="32"/>
          <w:szCs w:val="32"/>
        </w:rPr>
        <w:t>或4级高甘油三酯血症和高胆固醇血症的发生率，分别为22%和19%。在开始服用本品之前，以及在开始服用本品之后第1和第2个月监测血清胆固醇和甘油三酯，并在此后定期监测。降脂药物的选择应避免CYP450代谢途径的他汀类药物。他汀类药物首选瑞舒伐他汀，其次为匹伐他汀或普伐他汀。对第1次出现的血脂升高，可以暂停</w:t>
      </w:r>
      <w:r w:rsidR="00851A08">
        <w:rPr>
          <w:rFonts w:hint="eastAsia" w:ascii="仿宋" w:hAnsi="仿宋" w:eastAsia="仿宋"/>
          <w:color w:val="000000"/>
          <w:sz w:val="32"/>
          <w:szCs w:val="32"/>
        </w:rPr>
        <w:t>后</w:t>
      </w:r>
      <w:r w:rsidRPr="003C684F">
        <w:rPr>
          <w:rFonts w:hint="eastAsia" w:ascii="仿宋" w:hAnsi="仿宋" w:eastAsia="仿宋"/>
          <w:color w:val="000000"/>
          <w:sz w:val="32"/>
          <w:szCs w:val="32"/>
        </w:rPr>
        <w:t>以相同剂量恢复给药；根据严重程度，对复发的情况，以相同剂量或降低一个剂量水平继续给药。</w:t>
      </w:r>
    </w:p>
    <w:p w:rsidRPr="003C684F" w:rsidR="009730C1" w:rsidRDefault="00A315B9" w14:paraId="68F9C1AC" w14:textId="55E9F8E2">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服用本品可能会</w:t>
      </w:r>
      <w:r w:rsidRPr="003C684F" w:rsidR="0079129E">
        <w:rPr>
          <w:rFonts w:hint="eastAsia" w:ascii="仿宋" w:hAnsi="仿宋" w:eastAsia="仿宋"/>
          <w:color w:val="000000"/>
          <w:sz w:val="32"/>
          <w:szCs w:val="32"/>
        </w:rPr>
        <w:t>对</w:t>
      </w:r>
      <w:r w:rsidRPr="003C684F">
        <w:rPr>
          <w:rFonts w:hint="eastAsia" w:ascii="仿宋" w:hAnsi="仿宋" w:eastAsia="仿宋"/>
          <w:color w:val="000000"/>
          <w:sz w:val="32"/>
          <w:szCs w:val="32"/>
        </w:rPr>
        <w:t>各种中枢神经系统</w:t>
      </w:r>
      <w:r w:rsidRPr="003C684F" w:rsidR="0079129E">
        <w:rPr>
          <w:rFonts w:hint="eastAsia" w:ascii="仿宋" w:hAnsi="仿宋" w:eastAsia="仿宋"/>
          <w:color w:val="000000"/>
          <w:sz w:val="32"/>
          <w:szCs w:val="32"/>
        </w:rPr>
        <w:t>产生</w:t>
      </w:r>
      <w:r w:rsidRPr="003C684F">
        <w:rPr>
          <w:rFonts w:hint="eastAsia" w:ascii="仿宋" w:hAnsi="仿宋" w:eastAsia="仿宋"/>
          <w:color w:val="000000"/>
          <w:sz w:val="32"/>
          <w:szCs w:val="32"/>
        </w:rPr>
        <w:t>影响，1级、2级和</w:t>
      </w:r>
      <w:r w:rsidRPr="003C684F">
        <w:rPr>
          <w:rFonts w:ascii="仿宋" w:hAnsi="仿宋" w:eastAsia="仿宋"/>
          <w:color w:val="000000"/>
          <w:sz w:val="32"/>
          <w:szCs w:val="32"/>
        </w:rPr>
        <w:t>3级</w:t>
      </w:r>
      <w:r w:rsidRPr="003C684F">
        <w:rPr>
          <w:rFonts w:hint="eastAsia" w:ascii="仿宋" w:hAnsi="仿宋" w:eastAsia="仿宋"/>
          <w:sz w:val="32"/>
          <w:szCs w:val="32"/>
        </w:rPr>
        <w:t>认知影响的发生率分别为</w:t>
      </w:r>
      <w:r w:rsidRPr="003C684F">
        <w:rPr>
          <w:rFonts w:ascii="仿宋" w:hAnsi="仿宋" w:eastAsia="仿宋"/>
          <w:sz w:val="32"/>
          <w:szCs w:val="32"/>
        </w:rPr>
        <w:t>13%、6%和2%；1级、2级和3级</w:t>
      </w:r>
      <w:r w:rsidRPr="003C684F">
        <w:rPr>
          <w:rFonts w:hint="eastAsia" w:ascii="仿宋" w:hAnsi="仿宋" w:eastAsia="仿宋"/>
          <w:sz w:val="32"/>
          <w:szCs w:val="32"/>
        </w:rPr>
        <w:t>情绪影响</w:t>
      </w:r>
      <w:r w:rsidRPr="003C684F">
        <w:rPr>
          <w:rFonts w:hint="eastAsia" w:ascii="仿宋" w:hAnsi="仿宋" w:eastAsia="仿宋"/>
          <w:color w:val="000000"/>
          <w:sz w:val="32"/>
          <w:szCs w:val="32"/>
        </w:rPr>
        <w:t>的发生率分别为9%、5%和1%。无4</w:t>
      </w:r>
      <w:r w:rsidRPr="003C684F" w:rsidR="002A6861">
        <w:rPr>
          <w:rFonts w:hint="eastAsia" w:ascii="仿宋" w:hAnsi="仿宋" w:eastAsia="仿宋"/>
          <w:color w:val="000000"/>
          <w:sz w:val="32"/>
          <w:szCs w:val="32"/>
        </w:rPr>
        <w:t>级</w:t>
      </w:r>
      <w:r w:rsidRPr="003C684F">
        <w:rPr>
          <w:rFonts w:hint="eastAsia" w:ascii="仿宋" w:hAnsi="仿宋" w:eastAsia="仿宋"/>
          <w:color w:val="000000"/>
          <w:sz w:val="32"/>
          <w:szCs w:val="32"/>
        </w:rPr>
        <w:t>或5级中枢神经系统事件发生。可根据严重程度暂停用药并以相同剂量或降低一个剂量水平恢复给药，</w:t>
      </w:r>
      <w:r w:rsidRPr="003C684F" w:rsidR="00DB4978">
        <w:rPr>
          <w:rFonts w:hint="eastAsia" w:ascii="仿宋" w:hAnsi="仿宋" w:eastAsia="仿宋"/>
          <w:color w:val="000000"/>
          <w:sz w:val="32"/>
          <w:szCs w:val="32"/>
        </w:rPr>
        <w:t>或</w:t>
      </w:r>
      <w:r w:rsidRPr="003C684F" w:rsidR="000B641A">
        <w:rPr>
          <w:rFonts w:hint="eastAsia" w:ascii="仿宋" w:hAnsi="仿宋" w:eastAsia="仿宋" w:cs="仿宋"/>
          <w:sz w:val="32"/>
          <w:szCs w:val="32"/>
        </w:rPr>
        <w:t>永久停用</w:t>
      </w:r>
      <w:r w:rsidRPr="003C684F">
        <w:rPr>
          <w:rFonts w:hint="eastAsia" w:ascii="仿宋" w:hAnsi="仿宋" w:eastAsia="仿宋"/>
          <w:color w:val="000000"/>
          <w:sz w:val="32"/>
          <w:szCs w:val="32"/>
        </w:rPr>
        <w:t>。建议请精神科专科会诊协助治疗。</w:t>
      </w:r>
    </w:p>
    <w:p w:rsidRPr="003C684F" w:rsidR="009730C1" w:rsidRDefault="00A315B9" w14:paraId="5087C5A4" w14:textId="2BB1E98F">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.禁止与</w:t>
      </w:r>
      <w:r w:rsidRPr="003C684F" w:rsidR="000679FC">
        <w:rPr>
          <w:rFonts w:hint="eastAsia" w:ascii="仿宋" w:hAnsi="仿宋" w:eastAsia="仿宋"/>
          <w:color w:val="000000"/>
          <w:sz w:val="32"/>
          <w:szCs w:val="32"/>
        </w:rPr>
        <w:t>CYP3A强效</w:t>
      </w:r>
      <w:r w:rsidRPr="003C684F">
        <w:rPr>
          <w:rFonts w:hint="eastAsia" w:ascii="仿宋" w:hAnsi="仿宋" w:eastAsia="仿宋"/>
          <w:color w:val="000000"/>
          <w:sz w:val="32"/>
          <w:szCs w:val="32"/>
        </w:rPr>
        <w:t>诱导剂联合使用，因为</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可能发生严重肝脏毒性。避免</w:t>
      </w:r>
      <w:r w:rsidRPr="003C684F" w:rsidR="00DF2F6D">
        <w:rPr>
          <w:rFonts w:hint="eastAsia" w:ascii="仿宋" w:hAnsi="仿宋" w:eastAsia="仿宋"/>
          <w:color w:val="000000"/>
          <w:sz w:val="32"/>
          <w:szCs w:val="32"/>
        </w:rPr>
        <w:t>本品</w:t>
      </w:r>
      <w:r w:rsidRPr="003C684F">
        <w:rPr>
          <w:rFonts w:hint="eastAsia" w:ascii="仿宋" w:hAnsi="仿宋" w:eastAsia="仿宋"/>
          <w:color w:val="000000"/>
          <w:sz w:val="32"/>
          <w:szCs w:val="32"/>
        </w:rPr>
        <w:t>与CYP3A</w:t>
      </w:r>
      <w:r w:rsidRPr="003C684F" w:rsidR="00391D3E">
        <w:rPr>
          <w:rFonts w:hint="eastAsia" w:ascii="仿宋" w:hAnsi="仿宋" w:eastAsia="仿宋"/>
          <w:color w:val="000000"/>
          <w:sz w:val="32"/>
          <w:szCs w:val="32"/>
        </w:rPr>
        <w:t>中效</w:t>
      </w:r>
      <w:r w:rsidRPr="003C684F">
        <w:rPr>
          <w:rFonts w:hint="eastAsia" w:ascii="仿宋" w:hAnsi="仿宋" w:eastAsia="仿宋"/>
          <w:color w:val="000000"/>
          <w:sz w:val="32"/>
          <w:szCs w:val="32"/>
        </w:rPr>
        <w:t>诱导剂、</w:t>
      </w:r>
      <w:r w:rsidRPr="003C684F" w:rsidR="000679FC">
        <w:rPr>
          <w:rFonts w:hint="eastAsia" w:ascii="仿宋" w:hAnsi="仿宋" w:eastAsia="仿宋"/>
          <w:color w:val="000000"/>
          <w:sz w:val="32"/>
          <w:szCs w:val="32"/>
        </w:rPr>
        <w:t>CYP3A</w:t>
      </w:r>
      <w:r w:rsidRPr="003C684F" w:rsidR="000679FC">
        <w:rPr>
          <w:rFonts w:hint="eastAsia" w:ascii="仿宋" w:hAnsi="仿宋" w:eastAsia="仿宋"/>
          <w:color w:val="000000"/>
          <w:sz w:val="32"/>
          <w:szCs w:val="32"/>
        </w:rPr>
        <w:lastRenderedPageBreak/>
        <w:t>强效</w:t>
      </w:r>
      <w:r w:rsidRPr="003C684F">
        <w:rPr>
          <w:rFonts w:hint="eastAsia" w:ascii="仿宋" w:hAnsi="仿宋" w:eastAsia="仿宋"/>
          <w:color w:val="000000"/>
          <w:sz w:val="32"/>
          <w:szCs w:val="32"/>
        </w:rPr>
        <w:t>抑制剂</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w:t>
      </w:r>
    </w:p>
    <w:p w:rsidRPr="003C684F" w:rsidR="009730C1" w:rsidRDefault="00A315B9" w14:paraId="03B5FC79"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ascii="仿宋" w:hAnsi="仿宋" w:eastAsia="仿宋"/>
          <w:color w:val="000000"/>
          <w:sz w:val="32"/>
          <w:szCs w:val="32"/>
        </w:rPr>
        <w:t>7</w:t>
      </w:r>
      <w:r w:rsidRPr="003C684F">
        <w:rPr>
          <w:rFonts w:hint="eastAsia" w:ascii="仿宋" w:hAnsi="仿宋" w:eastAsia="仿宋"/>
          <w:color w:val="000000"/>
          <w:sz w:val="32"/>
          <w:szCs w:val="32"/>
        </w:rPr>
        <w:t>.2022版NCCN指南基于一项发表于Lancet Oncology的全球I～Ⅱ期临床研究结果，推荐洛拉替尼用于ROS1 TKI（克唑替尼或塞瑞替尼或恩曲替尼）进展后的ROS1阳性晚期NSCLC患者的治疗。</w:t>
      </w:r>
    </w:p>
    <w:p w:rsidRPr="003C684F" w:rsidR="009730C1" w:rsidP="0037660B" w:rsidRDefault="00A315B9" w14:paraId="77A363E7"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sz w:val="32"/>
          <w:szCs w:val="32"/>
          <w:lang w:val="en-GB"/>
        </w:rPr>
        <w:t>十五、</w:t>
      </w:r>
      <w:r w:rsidRPr="003C684F">
        <w:rPr>
          <w:rFonts w:hint="eastAsia" w:ascii="黑体" w:hAnsi="黑体" w:eastAsia="黑体"/>
          <w:color w:val="000000"/>
          <w:sz w:val="32"/>
          <w:szCs w:val="32"/>
        </w:rPr>
        <w:t>贝伐珠单抗 B</w:t>
      </w:r>
      <w:r w:rsidRPr="003C684F">
        <w:rPr>
          <w:rFonts w:ascii="黑体" w:hAnsi="黑体" w:eastAsia="黑体"/>
          <w:color w:val="000000"/>
          <w:sz w:val="32"/>
          <w:szCs w:val="32"/>
        </w:rPr>
        <w:t>evacizumab</w:t>
      </w:r>
    </w:p>
    <w:p w:rsidRPr="003C684F" w:rsidR="009730C1" w:rsidRDefault="00A315B9" w14:paraId="523C8CBA" w14:textId="63E5C907">
      <w:pPr>
        <w:spacing w:line="360" w:lineRule="auto"/>
        <w:ind w:firstLine="643" w:firstLineChars="200"/>
        <w:rPr>
          <w:rFonts w:ascii="仿宋" w:hAnsi="仿宋" w:eastAsia="仿宋"/>
          <w:color w:val="000000"/>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注射</w:t>
      </w:r>
      <w:r w:rsidRPr="003C684F" w:rsidR="00E275E9">
        <w:rPr>
          <w:rFonts w:hint="eastAsia" w:ascii="仿宋" w:hAnsi="仿宋" w:eastAsia="仿宋"/>
          <w:sz w:val="32"/>
          <w:szCs w:val="32"/>
        </w:rPr>
        <w:t>剂</w:t>
      </w:r>
      <w:r w:rsidRPr="003C684F">
        <w:rPr>
          <w:rFonts w:hint="eastAsia" w:ascii="仿宋" w:hAnsi="仿宋" w:eastAsia="仿宋"/>
          <w:sz w:val="32"/>
          <w:szCs w:val="32"/>
        </w:rPr>
        <w:t>：100mg（4ml）/瓶</w:t>
      </w:r>
      <w:r w:rsidRPr="003C684F" w:rsidR="00742EF8">
        <w:rPr>
          <w:rFonts w:hint="eastAsia" w:ascii="仿宋" w:hAnsi="仿宋" w:eastAsia="仿宋"/>
          <w:sz w:val="32"/>
          <w:szCs w:val="32"/>
        </w:rPr>
        <w:t>、400mg（16ml）/瓶</w:t>
      </w:r>
    </w:p>
    <w:p w:rsidRPr="003C684F" w:rsidR="009730C1" w:rsidRDefault="00A315B9" w14:paraId="77EFA67D"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贝伐珠单抗联合以铂类为基础的化疗用于不可切除的晚期、转移性或复发性非鳞状细胞NSCLC患者的一线治疗。</w:t>
      </w:r>
    </w:p>
    <w:p w:rsidRPr="003C684F" w:rsidR="009730C1" w:rsidRDefault="00A315B9" w14:paraId="3FD31155"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F4CB08A"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1.贝伐珠单抗不适用于晚期肺鳞癌的治疗。</w:t>
      </w:r>
    </w:p>
    <w:p w:rsidRPr="003C684F" w:rsidR="009730C1" w:rsidRDefault="00A315B9" w14:paraId="5C1D5C9F" w14:textId="14A090C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2.有严重出血</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近期曾有咯血、肿瘤侵犯大血管的患者不应接受贝伐珠单抗治疗。</w:t>
      </w:r>
    </w:p>
    <w:p w:rsidRPr="003C684F" w:rsidR="009730C1" w:rsidRDefault="00A315B9" w14:paraId="6D772C55" w14:textId="19B1BF5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3.贝伐珠单抗联合以铂类为基础的化疗最多6个周期，随后给予贝伐珠单抗单药维持治疗或与可用于维持治疗的化疗药物如培美曲塞联合维持治疗，直至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0FEC9A4A" w14:textId="7F4D152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4.贝伐珠单抗推荐剂量为15mg/kg，每3周一次。也可以使用7.5mg/kg，每3周一次</w:t>
      </w:r>
      <w:r w:rsidRPr="003C684F" w:rsidR="00EF75FD">
        <w:rPr>
          <w:rFonts w:hint="eastAsia" w:ascii="仿宋" w:hAnsi="仿宋" w:eastAsia="仿宋"/>
          <w:color w:val="000000"/>
          <w:sz w:val="32"/>
          <w:szCs w:val="32"/>
        </w:rPr>
        <w:t>，静脉输注</w:t>
      </w:r>
      <w:r w:rsidRPr="003C684F">
        <w:rPr>
          <w:rFonts w:hint="eastAsia" w:ascii="仿宋" w:hAnsi="仿宋" w:eastAsia="仿宋"/>
          <w:color w:val="000000"/>
          <w:sz w:val="32"/>
          <w:szCs w:val="32"/>
        </w:rPr>
        <w:t>。</w:t>
      </w:r>
    </w:p>
    <w:p w:rsidRPr="003C684F" w:rsidR="009730C1" w:rsidRDefault="00A315B9" w14:paraId="02E7C17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5.出现以下情况，停止使用贝伐珠单抗：</w:t>
      </w:r>
      <w:r w:rsidRPr="003C684F">
        <w:rPr>
          <w:rFonts w:hint="eastAsia" w:ascii="仿宋" w:hAnsi="仿宋" w:eastAsia="仿宋" w:cs="宋体"/>
          <w:color w:val="000000"/>
          <w:sz w:val="32"/>
          <w:szCs w:val="32"/>
        </w:rPr>
        <w:t>（1）</w:t>
      </w:r>
      <w:r w:rsidRPr="003C684F">
        <w:rPr>
          <w:rFonts w:hint="eastAsia" w:ascii="仿宋" w:hAnsi="仿宋" w:eastAsia="仿宋"/>
          <w:color w:val="000000"/>
          <w:sz w:val="32"/>
          <w:szCs w:val="32"/>
        </w:rPr>
        <w:t>严重胃</w:t>
      </w:r>
      <w:r w:rsidRPr="003C684F">
        <w:rPr>
          <w:rFonts w:hint="eastAsia" w:ascii="仿宋" w:hAnsi="仿宋" w:eastAsia="仿宋"/>
          <w:color w:val="000000"/>
          <w:sz w:val="32"/>
          <w:szCs w:val="32"/>
        </w:rPr>
        <w:lastRenderedPageBreak/>
        <w:t>肠道不良反应（胃肠道穿孔、胃肠道瘘形成、腹腔脓肿），内脏瘘形成。</w:t>
      </w:r>
      <w:r w:rsidRPr="003C684F">
        <w:rPr>
          <w:rFonts w:hint="eastAsia" w:ascii="仿宋" w:hAnsi="仿宋" w:eastAsia="仿宋" w:cs="宋体"/>
          <w:color w:val="000000"/>
          <w:sz w:val="32"/>
          <w:szCs w:val="32"/>
        </w:rPr>
        <w:t>（2）</w:t>
      </w:r>
      <w:r w:rsidRPr="003C684F">
        <w:rPr>
          <w:rFonts w:hint="eastAsia" w:ascii="仿宋" w:hAnsi="仿宋" w:eastAsia="仿宋"/>
          <w:color w:val="000000"/>
          <w:sz w:val="32"/>
          <w:szCs w:val="32"/>
        </w:rPr>
        <w:t>需要干预治疗的伤口裂开以及伤口愈合并发症。</w:t>
      </w:r>
      <w:r w:rsidRPr="003C684F">
        <w:rPr>
          <w:rFonts w:hint="eastAsia" w:ascii="仿宋" w:hAnsi="仿宋" w:eastAsia="仿宋" w:cs="宋体"/>
          <w:color w:val="000000"/>
          <w:sz w:val="32"/>
          <w:szCs w:val="32"/>
        </w:rPr>
        <w:t>（3）</w:t>
      </w:r>
      <w:r w:rsidRPr="003C684F">
        <w:rPr>
          <w:rFonts w:hint="eastAsia" w:ascii="仿宋" w:hAnsi="仿宋" w:eastAsia="仿宋"/>
          <w:color w:val="000000"/>
          <w:sz w:val="32"/>
          <w:szCs w:val="32"/>
        </w:rPr>
        <w:t>重度出血（例如需要干预治疗）</w:t>
      </w:r>
      <w:r w:rsidRPr="003C684F">
        <w:rPr>
          <w:rFonts w:hint="eastAsia" w:ascii="仿宋" w:hAnsi="仿宋" w:eastAsia="仿宋" w:cs="宋体"/>
          <w:color w:val="000000"/>
          <w:sz w:val="32"/>
          <w:szCs w:val="32"/>
        </w:rPr>
        <w:t>。（4）</w:t>
      </w:r>
      <w:r w:rsidRPr="003C684F">
        <w:rPr>
          <w:rFonts w:hint="eastAsia" w:ascii="仿宋" w:hAnsi="仿宋" w:eastAsia="仿宋"/>
          <w:color w:val="000000"/>
          <w:sz w:val="32"/>
          <w:szCs w:val="32"/>
        </w:rPr>
        <w:t>重度动脉血栓事件。（5）危及生命（</w:t>
      </w:r>
      <w:r w:rsidRPr="003C684F">
        <w:rPr>
          <w:rFonts w:ascii="仿宋" w:hAnsi="仿宋" w:eastAsia="仿宋"/>
          <w:color w:val="000000"/>
          <w:sz w:val="32"/>
          <w:szCs w:val="32"/>
        </w:rPr>
        <w:t>4</w:t>
      </w:r>
      <w:r w:rsidRPr="003C684F">
        <w:rPr>
          <w:rFonts w:hint="eastAsia" w:ascii="仿宋" w:hAnsi="仿宋" w:eastAsia="仿宋"/>
          <w:color w:val="000000"/>
          <w:sz w:val="32"/>
          <w:szCs w:val="32"/>
        </w:rPr>
        <w:t>级）的静脉血栓栓塞事件，包括肺栓塞。（6）高血压危象或高血压脑病。（7）可逆性后部脑病综合征。（8）肾病综合征。</w:t>
      </w:r>
    </w:p>
    <w:p w:rsidRPr="003C684F" w:rsidR="009730C1" w:rsidRDefault="00A315B9" w14:paraId="0FF55E4E"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6.如果出现以下状况，需暂停使用贝伐珠单抗：（1）择期手术前</w:t>
      </w:r>
      <w:r w:rsidRPr="003C684F">
        <w:rPr>
          <w:rFonts w:ascii="仿宋" w:hAnsi="仿宋" w:eastAsia="仿宋"/>
          <w:color w:val="000000"/>
          <w:sz w:val="32"/>
          <w:szCs w:val="32"/>
        </w:rPr>
        <w:t>4</w:t>
      </w:r>
      <w:r w:rsidRPr="003C684F">
        <w:rPr>
          <w:rFonts w:hint="eastAsia" w:ascii="仿宋" w:hAnsi="仿宋" w:eastAsia="仿宋"/>
          <w:color w:val="000000"/>
          <w:sz w:val="32"/>
          <w:szCs w:val="32"/>
        </w:rPr>
        <w:t>～6周，手术后至少28天及伤口完全恢复之前。（2）药物控制不良的重度高血压。（3）中度到重度的蛋白尿需要进一步评估。（4）重度输液反应。</w:t>
      </w:r>
    </w:p>
    <w:p w:rsidRPr="003C684F" w:rsidR="009730C1" w:rsidRDefault="00A315B9" w14:paraId="532F7DAD"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7.在欧盟，贝伐珠单抗联合厄洛替尼获批用于EGFR基因具有敏感突变的、不可手术切除的晚期、转移性或复发性非鳞状细胞NSCLC患者的一线治疗，目前国内尚未获批此适应证，可在与患者充分沟通的情况下使用。</w:t>
      </w:r>
    </w:p>
    <w:p w:rsidRPr="003C684F" w:rsidR="009730C1" w:rsidP="0037660B" w:rsidRDefault="00A315B9" w14:paraId="5FF52E30"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十六、重组人血管内皮抑制素 E</w:t>
      </w:r>
      <w:r w:rsidRPr="003C684F">
        <w:rPr>
          <w:rFonts w:ascii="黑体" w:hAnsi="黑体" w:eastAsia="黑体" w:cs="黑体"/>
          <w:sz w:val="32"/>
          <w:szCs w:val="32"/>
        </w:rPr>
        <w:t>ndostatin</w:t>
      </w:r>
    </w:p>
    <w:p w:rsidRPr="003C684F" w:rsidR="009730C1" w:rsidRDefault="00A315B9" w14:paraId="5BF9C73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sidR="00FB2267">
        <w:rPr>
          <w:rFonts w:hint="eastAsia" w:ascii="仿宋" w:hAnsi="仿宋" w:eastAsia="仿宋" w:cs="仿宋"/>
          <w:sz w:val="32"/>
          <w:szCs w:val="32"/>
        </w:rPr>
        <w:t>注射剂</w:t>
      </w:r>
      <w:r w:rsidRPr="003C684F">
        <w:rPr>
          <w:rFonts w:hint="eastAsia" w:ascii="仿宋" w:hAnsi="仿宋" w:eastAsia="仿宋" w:cs="仿宋"/>
          <w:sz w:val="32"/>
          <w:szCs w:val="32"/>
        </w:rPr>
        <w:t>：</w:t>
      </w:r>
      <w:r w:rsidRPr="003C684F">
        <w:rPr>
          <w:rFonts w:ascii="仿宋" w:hAnsi="仿宋" w:eastAsia="仿宋" w:cs="仿宋"/>
          <w:sz w:val="32"/>
          <w:szCs w:val="32"/>
        </w:rPr>
        <w:t>15mg</w:t>
      </w:r>
      <w:r w:rsidRPr="003C684F">
        <w:rPr>
          <w:rFonts w:hint="eastAsia" w:ascii="仿宋" w:hAnsi="仿宋" w:eastAsia="仿宋" w:cs="仿宋"/>
          <w:sz w:val="32"/>
          <w:szCs w:val="32"/>
        </w:rPr>
        <w:t>（</w:t>
      </w:r>
      <w:r w:rsidRPr="003C684F">
        <w:rPr>
          <w:rFonts w:ascii="仿宋" w:hAnsi="仿宋" w:eastAsia="仿宋" w:cs="仿宋"/>
          <w:sz w:val="32"/>
          <w:szCs w:val="32"/>
        </w:rPr>
        <w:t>3ml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9730C1" w:rsidRDefault="00A315B9" w14:paraId="185BA840"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本品联合长春瑞滨/顺铂化疗方案用于治疗初治或复治的Ⅲ～Ⅳ期</w:t>
      </w:r>
      <w:r w:rsidRPr="003C684F">
        <w:rPr>
          <w:rFonts w:ascii="仿宋" w:hAnsi="仿宋" w:eastAsia="仿宋" w:cs="仿宋"/>
          <w:sz w:val="32"/>
          <w:szCs w:val="32"/>
        </w:rPr>
        <w:t>NSCLC</w:t>
      </w:r>
      <w:r w:rsidRPr="003C684F">
        <w:rPr>
          <w:rFonts w:hint="eastAsia" w:ascii="仿宋" w:hAnsi="仿宋" w:eastAsia="仿宋" w:cs="仿宋"/>
          <w:sz w:val="32"/>
          <w:szCs w:val="32"/>
        </w:rPr>
        <w:t>患者。</w:t>
      </w:r>
    </w:p>
    <w:p w:rsidRPr="003C684F" w:rsidR="009730C1" w:rsidRDefault="00A315B9" w14:paraId="0F5265FC"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71F3A01" w14:textId="13DD166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1.重组人血管内皮抑制素与</w:t>
      </w:r>
      <w:r w:rsidRPr="003C684F" w:rsidR="00FA2659">
        <w:rPr>
          <w:rFonts w:hint="eastAsia" w:ascii="仿宋" w:hAnsi="仿宋" w:eastAsia="仿宋" w:cs="仿宋"/>
          <w:sz w:val="32"/>
          <w:szCs w:val="32"/>
        </w:rPr>
        <w:t>长春瑞滨/</w:t>
      </w:r>
      <w:r w:rsidRPr="003C684F">
        <w:rPr>
          <w:rFonts w:hint="eastAsia" w:ascii="仿宋" w:hAnsi="仿宋" w:eastAsia="仿宋" w:cs="仿宋"/>
          <w:sz w:val="32"/>
          <w:szCs w:val="32"/>
        </w:rPr>
        <w:t>顺铂方案联合至4个周期，然后采用本品进行维持治疗。本品适用于初治或复治的Ⅲ～Ⅳ期</w:t>
      </w:r>
      <w:r w:rsidRPr="003C684F">
        <w:rPr>
          <w:rFonts w:ascii="仿宋" w:hAnsi="仿宋" w:eastAsia="仿宋" w:cs="仿宋"/>
          <w:sz w:val="32"/>
          <w:szCs w:val="32"/>
        </w:rPr>
        <w:t>NSCLC</w:t>
      </w:r>
      <w:r w:rsidRPr="003C684F">
        <w:rPr>
          <w:rFonts w:hint="eastAsia" w:ascii="仿宋" w:hAnsi="仿宋" w:eastAsia="仿宋" w:cs="仿宋"/>
          <w:sz w:val="32"/>
          <w:szCs w:val="32"/>
        </w:rPr>
        <w:t>患者。</w:t>
      </w:r>
      <w:r w:rsidRPr="003C684F" w:rsidR="000C7F03">
        <w:rPr>
          <w:rFonts w:hint="eastAsia" w:ascii="仿宋" w:hAnsi="仿宋" w:eastAsia="仿宋" w:cs="仿宋"/>
          <w:sz w:val="32"/>
          <w:szCs w:val="32"/>
        </w:rPr>
        <w:t>与NP化疗方案联合给药时，</w:t>
      </w:r>
      <w:r w:rsidRPr="003C684F" w:rsidR="000C7F03">
        <w:rPr>
          <w:rFonts w:hint="eastAsia" w:ascii="仿宋" w:hAnsi="仿宋" w:eastAsia="仿宋" w:cs="仿宋"/>
          <w:sz w:val="32"/>
          <w:szCs w:val="32"/>
        </w:rPr>
        <w:lastRenderedPageBreak/>
        <w:t>本品在治疗周期的第1～14天，</w:t>
      </w:r>
      <w:r w:rsidRPr="003C684F" w:rsidR="005508B7">
        <w:rPr>
          <w:rFonts w:hint="eastAsia" w:ascii="仿宋" w:hAnsi="仿宋" w:eastAsia="仿宋" w:cs="仿宋"/>
          <w:sz w:val="32"/>
          <w:szCs w:val="32"/>
        </w:rPr>
        <w:t>7.5mg</w:t>
      </w:r>
      <w:r w:rsidRPr="003C684F" w:rsidR="000C7F03">
        <w:rPr>
          <w:rFonts w:hint="eastAsia" w:ascii="仿宋" w:hAnsi="仿宋" w:eastAsia="仿宋" w:cs="仿宋"/>
          <w:sz w:val="32"/>
          <w:szCs w:val="32"/>
        </w:rPr>
        <w:t>/m</w:t>
      </w:r>
      <w:r w:rsidRPr="003C684F" w:rsidR="000C7F03">
        <w:rPr>
          <w:rFonts w:hint="eastAsia" w:ascii="仿宋" w:hAnsi="仿宋" w:eastAsia="仿宋" w:cs="仿宋"/>
          <w:sz w:val="32"/>
          <w:szCs w:val="32"/>
          <w:vertAlign w:val="superscript"/>
        </w:rPr>
        <w:t>2</w:t>
      </w:r>
      <w:r w:rsidRPr="003C684F" w:rsidR="000C7F03">
        <w:rPr>
          <w:rFonts w:hint="eastAsia" w:ascii="仿宋" w:hAnsi="仿宋" w:eastAsia="仿宋" w:cs="仿宋"/>
          <w:sz w:val="32"/>
          <w:szCs w:val="32"/>
        </w:rPr>
        <w:t>（1.2×10</w:t>
      </w:r>
      <w:r w:rsidRPr="003C684F" w:rsidR="000C7F03">
        <w:rPr>
          <w:rFonts w:hint="eastAsia" w:ascii="仿宋" w:hAnsi="仿宋" w:eastAsia="仿宋" w:cs="仿宋"/>
          <w:sz w:val="32"/>
          <w:szCs w:val="32"/>
          <w:vertAlign w:val="superscript"/>
        </w:rPr>
        <w:t>5</w:t>
      </w:r>
      <w:r w:rsidRPr="003C684F" w:rsidR="000C7F03">
        <w:rPr>
          <w:rFonts w:hint="eastAsia" w:ascii="仿宋" w:hAnsi="仿宋" w:eastAsia="仿宋" w:cs="仿宋"/>
          <w:sz w:val="32"/>
          <w:szCs w:val="32"/>
        </w:rPr>
        <w:t>U/m</w:t>
      </w:r>
      <w:r w:rsidRPr="003C684F" w:rsidR="000C7F03">
        <w:rPr>
          <w:rFonts w:hint="eastAsia" w:ascii="仿宋" w:hAnsi="仿宋" w:eastAsia="仿宋" w:cs="仿宋"/>
          <w:sz w:val="32"/>
          <w:szCs w:val="32"/>
          <w:vertAlign w:val="superscript"/>
        </w:rPr>
        <w:t>2</w:t>
      </w:r>
      <w:r w:rsidRPr="003C684F" w:rsidR="000C7F03">
        <w:rPr>
          <w:rFonts w:hint="eastAsia" w:ascii="仿宋" w:hAnsi="仿宋" w:eastAsia="仿宋" w:cs="仿宋"/>
          <w:sz w:val="32"/>
          <w:szCs w:val="32"/>
        </w:rPr>
        <w:t>），每天一次，静脉输注，连续给药14天，休息一周，再继续下一周期治疗。通常可进行2～4个周期的治疗。临用时将本品加入250～</w:t>
      </w:r>
      <w:r w:rsidRPr="003C684F" w:rsidR="005508B7">
        <w:rPr>
          <w:rFonts w:hint="eastAsia" w:ascii="仿宋" w:hAnsi="仿宋" w:eastAsia="仿宋" w:cs="仿宋"/>
          <w:sz w:val="32"/>
          <w:szCs w:val="32"/>
        </w:rPr>
        <w:t>500</w:t>
      </w:r>
      <w:r w:rsidRPr="003C684F" w:rsidR="000C7F03">
        <w:rPr>
          <w:rFonts w:hint="eastAsia" w:ascii="仿宋" w:hAnsi="仿宋" w:eastAsia="仿宋" w:cs="仿宋"/>
          <w:sz w:val="32"/>
          <w:szCs w:val="32"/>
        </w:rPr>
        <w:t>ml生理盐水中，匀速静脉</w:t>
      </w:r>
      <w:r w:rsidRPr="003C684F" w:rsidR="00B66BEB">
        <w:rPr>
          <w:rFonts w:hint="eastAsia" w:ascii="仿宋" w:hAnsi="仿宋" w:eastAsia="仿宋" w:cs="仿宋"/>
          <w:sz w:val="32"/>
          <w:szCs w:val="32"/>
        </w:rPr>
        <w:t>输注</w:t>
      </w:r>
      <w:r w:rsidRPr="003C684F" w:rsidR="000C7F03">
        <w:rPr>
          <w:rFonts w:hint="eastAsia" w:ascii="仿宋" w:hAnsi="仿宋" w:eastAsia="仿宋" w:cs="仿宋"/>
          <w:sz w:val="32"/>
          <w:szCs w:val="32"/>
        </w:rPr>
        <w:t>，</w:t>
      </w:r>
      <w:r w:rsidRPr="003C684F" w:rsidR="00C60E2F">
        <w:rPr>
          <w:rFonts w:hint="eastAsia" w:ascii="仿宋" w:hAnsi="仿宋" w:eastAsia="仿宋" w:cs="仿宋"/>
          <w:sz w:val="32"/>
          <w:szCs w:val="32"/>
        </w:rPr>
        <w:t>输注</w:t>
      </w:r>
      <w:r w:rsidRPr="003C684F" w:rsidR="000C7F03">
        <w:rPr>
          <w:rFonts w:hint="eastAsia" w:ascii="仿宋" w:hAnsi="仿宋" w:eastAsia="仿宋" w:cs="仿宋"/>
          <w:sz w:val="32"/>
          <w:szCs w:val="32"/>
        </w:rPr>
        <w:t>时间3～4小时。临床推荐医师在患者能耐受的情况下可适当延长本品的使用时间。临床实践中还可以采用</w:t>
      </w:r>
      <w:r w:rsidRPr="003C684F" w:rsidR="005508B7">
        <w:rPr>
          <w:rFonts w:hint="eastAsia" w:ascii="仿宋" w:hAnsi="仿宋" w:eastAsia="仿宋" w:cs="仿宋"/>
          <w:sz w:val="32"/>
          <w:szCs w:val="32"/>
        </w:rPr>
        <w:t>210mg</w:t>
      </w:r>
      <w:r w:rsidRPr="003C684F" w:rsidR="000C7F03">
        <w:rPr>
          <w:rFonts w:hint="eastAsia" w:ascii="仿宋" w:hAnsi="仿宋" w:eastAsia="仿宋" w:cs="仿宋"/>
          <w:sz w:val="32"/>
          <w:szCs w:val="32"/>
        </w:rPr>
        <w:t>持续静脉泵注72</w:t>
      </w:r>
      <w:r w:rsidRPr="003C684F" w:rsidR="00FF112C">
        <w:rPr>
          <w:rFonts w:hint="eastAsia" w:ascii="仿宋" w:hAnsi="仿宋" w:eastAsia="仿宋" w:cs="仿宋"/>
          <w:sz w:val="32"/>
          <w:szCs w:val="32"/>
        </w:rPr>
        <w:t>小时</w:t>
      </w:r>
      <w:r w:rsidRPr="003C684F" w:rsidR="000C7F03">
        <w:rPr>
          <w:rFonts w:hint="eastAsia" w:ascii="仿宋" w:hAnsi="仿宋" w:eastAsia="仿宋" w:cs="仿宋"/>
          <w:sz w:val="32"/>
          <w:szCs w:val="32"/>
        </w:rPr>
        <w:t>或120</w:t>
      </w:r>
      <w:r w:rsidRPr="003C684F" w:rsidR="00FF112C">
        <w:rPr>
          <w:rFonts w:hint="eastAsia" w:ascii="仿宋" w:hAnsi="仿宋" w:eastAsia="仿宋" w:cs="仿宋"/>
          <w:sz w:val="32"/>
          <w:szCs w:val="32"/>
        </w:rPr>
        <w:t>小时</w:t>
      </w:r>
      <w:r w:rsidRPr="003C684F" w:rsidR="000C7F03">
        <w:rPr>
          <w:rFonts w:hint="eastAsia" w:ascii="仿宋" w:hAnsi="仿宋" w:eastAsia="仿宋" w:cs="仿宋"/>
          <w:sz w:val="32"/>
          <w:szCs w:val="32"/>
        </w:rPr>
        <w:t>用法。</w:t>
      </w:r>
    </w:p>
    <w:p w:rsidRPr="003C684F" w:rsidR="009730C1" w:rsidRDefault="00A315B9" w14:paraId="340120D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2.如果出现以下状况，需暂停使用重组人血管内皮抑制素：（1）出现相关心脏毒性反应时，如≥3级或≤2级且毒性反应持续存在。（2）≥3级皮肤过敏反应。</w:t>
      </w:r>
    </w:p>
    <w:p w:rsidRPr="003C684F" w:rsidR="009730C1" w:rsidRDefault="00A315B9" w14:paraId="2A54AD58" w14:textId="7EE146F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3.重组人血管内皮抑制素主要相关不良事件发生率：基于Ⅳ期研究结果，心律失常（0.7%）、心功能下降（0.2%）、出血（0.4%）、过敏反应（0.2%）。</w:t>
      </w:r>
    </w:p>
    <w:p w:rsidRPr="003C684F" w:rsidR="009730C1" w:rsidRDefault="00A315B9" w14:paraId="0D8AE462"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过敏体质或对蛋白类生物制品有过敏史者慎用。</w:t>
      </w:r>
    </w:p>
    <w:p w:rsidRPr="003C684F" w:rsidR="009730C1" w:rsidRDefault="00A315B9" w14:paraId="24684E28"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有严重心脏病或病史者慎用，本品临床使用过程中应定期检测心电图。</w:t>
      </w:r>
    </w:p>
    <w:p w:rsidRPr="003C684F" w:rsidR="009730C1" w:rsidRDefault="00A315B9" w14:paraId="508B241B" w14:textId="77777777">
      <w:pPr>
        <w:spacing w:line="360" w:lineRule="auto"/>
        <w:ind w:firstLine="640" w:firstLineChars="200"/>
        <w:rPr>
          <w:rFonts w:ascii="黑体" w:hAnsi="黑体" w:eastAsia="黑体" w:cs="Times New Roman"/>
          <w:sz w:val="32"/>
          <w:szCs w:val="32"/>
          <w:lang w:val="de-DE"/>
        </w:rPr>
      </w:pPr>
      <w:r w:rsidRPr="003C684F">
        <w:rPr>
          <w:rFonts w:hint="eastAsia" w:ascii="黑体" w:hAnsi="黑体" w:eastAsia="黑体" w:cs="黑体"/>
          <w:sz w:val="32"/>
          <w:szCs w:val="32"/>
          <w:lang w:val="de-DE"/>
        </w:rPr>
        <w:t>十七、</w:t>
      </w:r>
      <w:r w:rsidRPr="003C684F">
        <w:rPr>
          <w:rFonts w:hint="eastAsia" w:ascii="黑体" w:hAnsi="黑体" w:eastAsia="黑体" w:cs="黑体"/>
          <w:sz w:val="32"/>
          <w:szCs w:val="32"/>
        </w:rPr>
        <w:t>安罗替尼 A</w:t>
      </w:r>
      <w:r w:rsidRPr="003C684F">
        <w:rPr>
          <w:rFonts w:ascii="黑体" w:hAnsi="黑体" w:eastAsia="黑体" w:cs="黑体"/>
          <w:sz w:val="32"/>
          <w:szCs w:val="32"/>
        </w:rPr>
        <w:t>nlotinib</w:t>
      </w:r>
    </w:p>
    <w:p w:rsidRPr="003C684F" w:rsidR="009730C1" w:rsidRDefault="00A315B9" w14:paraId="04F4F5E8"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8mg</w:t>
      </w:r>
      <w:r w:rsidRPr="003C684F">
        <w:rPr>
          <w:rFonts w:hint="eastAsia" w:ascii="仿宋" w:hAnsi="仿宋" w:eastAsia="仿宋" w:cs="仿宋"/>
          <w:sz w:val="32"/>
          <w:szCs w:val="32"/>
        </w:rPr>
        <w:t>、</w:t>
      </w:r>
      <w:r w:rsidRPr="003C684F">
        <w:rPr>
          <w:rFonts w:ascii="仿宋" w:hAnsi="仿宋" w:eastAsia="仿宋" w:cs="仿宋"/>
          <w:sz w:val="32"/>
          <w:szCs w:val="32"/>
        </w:rPr>
        <w:t>10mg</w:t>
      </w:r>
      <w:r w:rsidRPr="003C684F">
        <w:rPr>
          <w:rFonts w:hint="eastAsia" w:ascii="仿宋" w:hAnsi="仿宋" w:eastAsia="仿宋" w:cs="仿宋"/>
          <w:sz w:val="32"/>
          <w:szCs w:val="32"/>
        </w:rPr>
        <w:t>、</w:t>
      </w:r>
      <w:r w:rsidRPr="003C684F">
        <w:rPr>
          <w:rFonts w:ascii="仿宋" w:hAnsi="仿宋" w:eastAsia="仿宋" w:cs="仿宋"/>
          <w:sz w:val="32"/>
          <w:szCs w:val="32"/>
        </w:rPr>
        <w:t>12mg</w:t>
      </w:r>
    </w:p>
    <w:p w:rsidRPr="003C684F" w:rsidR="009730C1" w:rsidRDefault="00A315B9" w14:paraId="448A6D71"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RDefault="00A315B9" w14:paraId="0D956FAE" w14:textId="77777777">
      <w:pPr>
        <w:tabs>
          <w:tab w:val="left" w:pos="709"/>
          <w:tab w:val="left" w:pos="851"/>
        </w:tabs>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仿宋"/>
          <w:sz w:val="32"/>
          <w:szCs w:val="32"/>
        </w:rPr>
        <w:t>1.本品单药适用于既往至少接受过</w:t>
      </w:r>
      <w:r w:rsidRPr="003C684F">
        <w:rPr>
          <w:rFonts w:ascii="仿宋" w:hAnsi="仿宋" w:eastAsia="仿宋" w:cs="仿宋"/>
          <w:sz w:val="32"/>
          <w:szCs w:val="32"/>
        </w:rPr>
        <w:t>两种</w:t>
      </w:r>
      <w:r w:rsidRPr="003C684F">
        <w:rPr>
          <w:rFonts w:hint="eastAsia" w:ascii="仿宋" w:hAnsi="仿宋" w:eastAsia="仿宋" w:cs="仿宋"/>
          <w:sz w:val="32"/>
          <w:szCs w:val="32"/>
        </w:rPr>
        <w:t>系统化疗后出现进展或复发的局部晚期或转移性</w:t>
      </w:r>
      <w:r w:rsidRPr="003C684F">
        <w:rPr>
          <w:rFonts w:ascii="仿宋" w:hAnsi="仿宋" w:eastAsia="仿宋" w:cs="仿宋"/>
          <w:sz w:val="32"/>
          <w:szCs w:val="32"/>
        </w:rPr>
        <w:t>NSCLC</w:t>
      </w:r>
      <w:r w:rsidRPr="003C684F">
        <w:rPr>
          <w:rFonts w:hint="eastAsia" w:ascii="仿宋" w:hAnsi="仿宋" w:eastAsia="仿宋" w:cs="仿宋"/>
          <w:sz w:val="32"/>
          <w:szCs w:val="32"/>
        </w:rPr>
        <w:t>患者的治疗。对于存在</w:t>
      </w:r>
      <w:r w:rsidRPr="003C684F">
        <w:rPr>
          <w:rFonts w:ascii="仿宋" w:hAnsi="仿宋" w:eastAsia="仿宋" w:cs="仿宋"/>
          <w:sz w:val="32"/>
          <w:szCs w:val="32"/>
        </w:rPr>
        <w:t>EGFR</w:t>
      </w:r>
      <w:r w:rsidRPr="003C684F">
        <w:rPr>
          <w:rFonts w:hint="eastAsia" w:ascii="仿宋" w:hAnsi="仿宋" w:eastAsia="仿宋" w:cs="仿宋"/>
          <w:sz w:val="32"/>
          <w:szCs w:val="32"/>
        </w:rPr>
        <w:t>基因突变或ALK阳性的患者，在开始本品治疗前</w:t>
      </w:r>
      <w:r w:rsidRPr="003C684F">
        <w:rPr>
          <w:rFonts w:hint="eastAsia" w:ascii="仿宋" w:hAnsi="仿宋" w:eastAsia="仿宋" w:cs="仿宋"/>
          <w:sz w:val="32"/>
          <w:szCs w:val="32"/>
        </w:rPr>
        <w:lastRenderedPageBreak/>
        <w:t>应接受相应的靶向药物治疗后进展、且至少接受过</w:t>
      </w:r>
      <w:r w:rsidRPr="003C684F">
        <w:rPr>
          <w:rFonts w:ascii="仿宋" w:hAnsi="仿宋" w:eastAsia="仿宋" w:cs="仿宋"/>
          <w:sz w:val="32"/>
          <w:szCs w:val="32"/>
        </w:rPr>
        <w:t>两种</w:t>
      </w:r>
      <w:r w:rsidRPr="003C684F">
        <w:rPr>
          <w:rFonts w:hint="eastAsia" w:ascii="仿宋" w:hAnsi="仿宋" w:eastAsia="仿宋" w:cs="仿宋"/>
          <w:sz w:val="32"/>
          <w:szCs w:val="32"/>
        </w:rPr>
        <w:t>系统化疗后出现进展或复发。</w:t>
      </w:r>
    </w:p>
    <w:p w:rsidRPr="003C684F" w:rsidR="009730C1" w:rsidRDefault="00A315B9" w14:paraId="38EA21B4" w14:textId="77777777">
      <w:pPr>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2.本品单药适用于既往至少接受过两种化疗方案治疗后进展或复发的小细胞肺癌患者的治疗。</w:t>
      </w:r>
    </w:p>
    <w:p w:rsidRPr="003C684F" w:rsidR="009730C1" w:rsidRDefault="00A315B9" w14:paraId="091BD8C6"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0C57EA5E" w14:textId="139254E0">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使用安罗替尼前</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进行基因检测，但对于存在</w:t>
      </w:r>
      <w:r w:rsidRPr="003C684F">
        <w:rPr>
          <w:rFonts w:ascii="仿宋" w:hAnsi="仿宋" w:eastAsia="仿宋" w:cs="仿宋"/>
          <w:sz w:val="32"/>
          <w:szCs w:val="32"/>
        </w:rPr>
        <w:t>EGFR</w:t>
      </w:r>
      <w:r w:rsidRPr="003C684F">
        <w:rPr>
          <w:rFonts w:hint="eastAsia" w:ascii="仿宋" w:hAnsi="仿宋" w:eastAsia="仿宋" w:cs="仿宋"/>
          <w:sz w:val="32"/>
          <w:szCs w:val="32"/>
        </w:rPr>
        <w:t>基因突变或ALK融合阳性的患者，在开始安罗替尼治疗前应接受相应的标准靶向药物治疗后进展且至少接受过</w:t>
      </w:r>
      <w:r w:rsidRPr="003C684F">
        <w:rPr>
          <w:rFonts w:ascii="仿宋" w:hAnsi="仿宋" w:eastAsia="仿宋" w:cs="仿宋"/>
          <w:sz w:val="32"/>
          <w:szCs w:val="32"/>
        </w:rPr>
        <w:t>两种</w:t>
      </w:r>
      <w:r w:rsidRPr="003C684F">
        <w:rPr>
          <w:rFonts w:hint="eastAsia" w:ascii="仿宋" w:hAnsi="仿宋" w:eastAsia="仿宋" w:cs="仿宋"/>
          <w:sz w:val="32"/>
          <w:szCs w:val="32"/>
        </w:rPr>
        <w:t>系统化疗后出现进展或复发。</w:t>
      </w:r>
    </w:p>
    <w:p w:rsidRPr="003C684F" w:rsidR="009730C1" w:rsidRDefault="00A315B9" w14:paraId="23C6C1BC"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中央型肺鳞癌或具有大咯血风险的患者、重度肝肾功能损伤的患者禁用。</w:t>
      </w:r>
    </w:p>
    <w:p w:rsidRPr="003C684F" w:rsidR="009730C1" w:rsidRDefault="00A315B9" w14:paraId="1B031BD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安罗替尼有增加发生出血事件和发生血栓</w:t>
      </w:r>
      <w:r w:rsidRPr="003C684F">
        <w:rPr>
          <w:rFonts w:ascii="仿宋" w:hAnsi="仿宋" w:eastAsia="仿宋" w:cs="仿宋"/>
          <w:sz w:val="32"/>
          <w:szCs w:val="32"/>
        </w:rPr>
        <w:t>/</w:t>
      </w:r>
      <w:r w:rsidRPr="003C684F">
        <w:rPr>
          <w:rFonts w:hint="eastAsia" w:ascii="仿宋" w:hAnsi="仿宋" w:eastAsia="仿宋" w:cs="仿宋"/>
          <w:sz w:val="32"/>
          <w:szCs w:val="32"/>
        </w:rPr>
        <w:t>栓塞事件的风险，因此，具有出血风险、凝血功能异常的患者、具有血栓</w:t>
      </w:r>
      <w:r w:rsidRPr="003C684F">
        <w:rPr>
          <w:rFonts w:ascii="仿宋" w:hAnsi="仿宋" w:eastAsia="仿宋" w:cs="仿宋"/>
          <w:sz w:val="32"/>
          <w:szCs w:val="32"/>
        </w:rPr>
        <w:t>/</w:t>
      </w:r>
      <w:r w:rsidRPr="003C684F">
        <w:rPr>
          <w:rFonts w:hint="eastAsia" w:ascii="仿宋" w:hAnsi="仿宋" w:eastAsia="仿宋" w:cs="仿宋"/>
          <w:sz w:val="32"/>
          <w:szCs w:val="32"/>
        </w:rPr>
        <w:t>卒中病史的患者以及服用抗凝药物及相关疾病的患者应慎用。</w:t>
      </w:r>
    </w:p>
    <w:p w:rsidRPr="003C684F" w:rsidR="004E6918" w:rsidP="004E6918" w:rsidRDefault="00A315B9" w14:paraId="70F3A1FB" w14:textId="0C29938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推荐剂量为每次12mg</w:t>
      </w:r>
      <w:r w:rsidRPr="003C684F" w:rsidR="00F7079B">
        <w:rPr>
          <w:rFonts w:hint="eastAsia" w:ascii="仿宋" w:hAnsi="仿宋" w:eastAsia="仿宋" w:cs="仿宋"/>
          <w:sz w:val="32"/>
          <w:szCs w:val="32"/>
        </w:rPr>
        <w:t>/次</w:t>
      </w:r>
      <w:r w:rsidRPr="003C684F">
        <w:rPr>
          <w:rFonts w:hint="eastAsia" w:ascii="仿宋" w:hAnsi="仿宋" w:eastAsia="仿宋" w:cs="仿宋"/>
          <w:sz w:val="32"/>
          <w:szCs w:val="32"/>
        </w:rPr>
        <w:t>，每天一次，早餐前口服，连续服药2周，停药1周，即3周为一个疗程。使用过程中要密切监测不良反应，并根据不良反应程度，在医师指导下调整剂量</w:t>
      </w:r>
      <w:r w:rsidRPr="003C684F" w:rsidR="004E6918">
        <w:rPr>
          <w:rFonts w:hint="eastAsia" w:ascii="仿宋" w:hAnsi="仿宋" w:eastAsia="仿宋" w:cs="仿宋"/>
          <w:sz w:val="32"/>
          <w:szCs w:val="32"/>
        </w:rPr>
        <w:t>，第一次调整剂量为10mg/次，第二次调整剂量8mg/次，如8mg/次剂量仍无法耐受，则永久停用。关于剂量调整总原则请参考下表。对于出现2级出血事件的患者应暂停安罗替尼治疗，如两周内恢复至＜2级，则下调一个剂量继续</w:t>
      </w:r>
      <w:r w:rsidRPr="003C684F" w:rsidR="004E6918">
        <w:rPr>
          <w:rFonts w:hint="eastAsia" w:ascii="仿宋" w:hAnsi="仿宋" w:eastAsia="仿宋" w:cs="仿宋"/>
          <w:sz w:val="32"/>
          <w:szCs w:val="32"/>
        </w:rPr>
        <w:lastRenderedPageBreak/>
        <w:t>用药。如再次出血，应永久停用。一旦出现3级或以上的出血事件，则永久停用。</w:t>
      </w:r>
    </w:p>
    <w:p w:rsidRPr="003C684F" w:rsidR="009730C1" w:rsidP="000A37EC" w:rsidRDefault="004E6918" w14:paraId="6150F3EE" w14:textId="37EA315A">
      <w:pPr>
        <w:spacing w:line="360" w:lineRule="auto"/>
        <w:ind w:firstLine="422" w:firstLineChars="200"/>
        <w:jc w:val="center"/>
        <w:rPr>
          <w:rFonts w:ascii="仿宋" w:hAnsi="仿宋" w:eastAsia="仿宋" w:cs="仿宋"/>
          <w:b/>
        </w:rPr>
      </w:pPr>
      <w:r w:rsidRPr="003C684F">
        <w:rPr>
          <w:rFonts w:hint="eastAsia" w:ascii="仿宋" w:hAnsi="仿宋" w:eastAsia="仿宋" w:cs="仿宋"/>
          <w:b/>
        </w:rPr>
        <w:t>表3　安罗替尼根据不良反应级别的剂量调整总原则</w:t>
      </w:r>
    </w:p>
    <w:tbl>
      <w:tblPr>
        <w:tblStyle w:val="ac"/>
        <w:tblW w:w="8613" w:type="dxa"/>
        <w:tblLook w:val="04A0" w:firstRow="1" w:lastRow="0" w:firstColumn="1" w:lastColumn="0" w:noHBand="0" w:noVBand="1"/>
      </w:tblPr>
      <w:tblGrid>
        <w:gridCol w:w="2840"/>
        <w:gridCol w:w="2841"/>
        <w:gridCol w:w="2932"/>
      </w:tblGrid>
      <w:tr w:rsidRPr="003C684F" w:rsidR="004E6918" w:rsidTr="00A24989" w14:paraId="5B8EB954" w14:textId="77777777">
        <w:tc>
          <w:tcPr>
            <w:tcW w:w="2840" w:type="dxa"/>
          </w:tcPr>
          <w:p w:rsidRPr="003C684F" w:rsidR="004E6918" w:rsidP="00A24989" w:rsidRDefault="004E6918" w14:paraId="255F57CA" w14:textId="77777777">
            <w:pPr>
              <w:spacing w:line="360" w:lineRule="auto"/>
              <w:jc w:val="left"/>
              <w:rPr>
                <w:rFonts w:ascii="仿宋" w:hAnsi="仿宋" w:eastAsia="仿宋" w:cs="Times New Roman"/>
                <w:b/>
                <w:color w:val="000000" w:themeColor="text1"/>
                <w:kern w:val="0"/>
              </w:rPr>
            </w:pPr>
            <w:r w:rsidRPr="003C684F">
              <w:rPr>
                <w:rFonts w:ascii="仿宋" w:hAnsi="仿宋" w:eastAsia="仿宋" w:cs="Times New Roman"/>
                <w:b/>
                <w:color w:val="000000" w:themeColor="text1"/>
                <w:kern w:val="0"/>
              </w:rPr>
              <w:t>不良反应级别</w:t>
            </w:r>
          </w:p>
          <w:p w:rsidRPr="003C684F" w:rsidR="004E6918" w:rsidP="00A24989" w:rsidRDefault="004E6918" w14:paraId="55B7B547" w14:textId="77777777">
            <w:pPr>
              <w:spacing w:line="360" w:lineRule="auto"/>
              <w:jc w:val="left"/>
              <w:rPr>
                <w:rFonts w:ascii="仿宋" w:hAnsi="仿宋" w:eastAsia="仿宋" w:cs="Times New Roman"/>
                <w:b/>
                <w:bCs/>
                <w:color w:val="000000" w:themeColor="text1"/>
                <w:kern w:val="0"/>
              </w:rPr>
            </w:pPr>
            <w:r w:rsidRPr="003C684F">
              <w:rPr>
                <w:rFonts w:hint="eastAsia" w:ascii="仿宋" w:hAnsi="仿宋" w:eastAsia="仿宋" w:cs="Times New Roman"/>
                <w:b/>
                <w:color w:val="000000" w:themeColor="text1"/>
                <w:kern w:val="0"/>
              </w:rPr>
              <w:t>（NCI CTCAE 5.0）</w:t>
            </w:r>
          </w:p>
        </w:tc>
        <w:tc>
          <w:tcPr>
            <w:tcW w:w="2841" w:type="dxa"/>
            <w:vAlign w:val="center"/>
          </w:tcPr>
          <w:p w:rsidRPr="003C684F" w:rsidR="004E6918" w:rsidP="00A24989" w:rsidRDefault="004E6918" w14:paraId="03B236EB" w14:textId="77777777">
            <w:pPr>
              <w:spacing w:line="360" w:lineRule="auto"/>
              <w:rPr>
                <w:rFonts w:ascii="仿宋" w:hAnsi="仿宋" w:eastAsia="仿宋" w:cs="Times New Roman"/>
                <w:b/>
                <w:bCs/>
                <w:color w:val="000000" w:themeColor="text1"/>
                <w:kern w:val="0"/>
              </w:rPr>
            </w:pPr>
            <w:r w:rsidRPr="003C684F">
              <w:rPr>
                <w:rFonts w:ascii="仿宋" w:hAnsi="仿宋" w:eastAsia="仿宋" w:cs="Times New Roman"/>
                <w:b/>
                <w:color w:val="000000" w:themeColor="text1"/>
                <w:kern w:val="0"/>
              </w:rPr>
              <w:t>给药时间</w:t>
            </w:r>
          </w:p>
        </w:tc>
        <w:tc>
          <w:tcPr>
            <w:tcW w:w="2932" w:type="dxa"/>
            <w:vAlign w:val="center"/>
          </w:tcPr>
          <w:p w:rsidRPr="003C684F" w:rsidR="004E6918" w:rsidP="00A24989" w:rsidRDefault="004E6918" w14:paraId="66F18BD8" w14:textId="77777777">
            <w:pPr>
              <w:spacing w:line="360" w:lineRule="auto"/>
              <w:rPr>
                <w:rFonts w:ascii="仿宋" w:hAnsi="仿宋" w:eastAsia="仿宋" w:cs="Times New Roman"/>
                <w:b/>
                <w:bCs/>
                <w:color w:val="000000" w:themeColor="text1"/>
                <w:kern w:val="0"/>
              </w:rPr>
            </w:pPr>
            <w:r w:rsidRPr="003C684F">
              <w:rPr>
                <w:rFonts w:ascii="仿宋" w:hAnsi="仿宋" w:eastAsia="仿宋" w:cs="Times New Roman"/>
                <w:b/>
                <w:color w:val="000000" w:themeColor="text1"/>
                <w:kern w:val="0"/>
              </w:rPr>
              <w:t>剂量调整原则</w:t>
            </w:r>
          </w:p>
        </w:tc>
      </w:tr>
      <w:tr w:rsidRPr="003C684F" w:rsidR="004E6918" w:rsidTr="00A24989" w14:paraId="77EF7627" w14:textId="77777777">
        <w:tc>
          <w:tcPr>
            <w:tcW w:w="2840" w:type="dxa"/>
          </w:tcPr>
          <w:p w:rsidRPr="003C684F" w:rsidR="004E6918" w:rsidP="00A24989" w:rsidRDefault="004E6918" w14:paraId="0D68BFE2" w14:textId="77777777">
            <w:pPr>
              <w:spacing w:line="360" w:lineRule="auto"/>
              <w:jc w:val="left"/>
              <w:rPr>
                <w:rFonts w:ascii="仿宋" w:hAnsi="仿宋" w:eastAsia="仿宋" w:cs="Times New Roman"/>
                <w:color w:val="000000" w:themeColor="text1"/>
                <w:kern w:val="0"/>
              </w:rPr>
            </w:pPr>
            <w:r w:rsidRPr="003C684F">
              <w:rPr>
                <w:rFonts w:hint="eastAsia" w:ascii="仿宋" w:hAnsi="仿宋" w:eastAsia="仿宋" w:cs="Times New Roman"/>
                <w:color w:val="000000" w:themeColor="text1"/>
                <w:kern w:val="0"/>
              </w:rPr>
              <w:t>3级</w:t>
            </w:r>
          </w:p>
        </w:tc>
        <w:tc>
          <w:tcPr>
            <w:tcW w:w="2841" w:type="dxa"/>
          </w:tcPr>
          <w:p w:rsidRPr="003C684F" w:rsidR="004E6918" w:rsidP="00A24989" w:rsidRDefault="004E6918" w14:paraId="0695F7F4" w14:textId="3A139E77">
            <w:pPr>
              <w:spacing w:line="360" w:lineRule="auto"/>
              <w:rPr>
                <w:rFonts w:ascii="仿宋" w:hAnsi="仿宋" w:eastAsia="仿宋" w:cs="Times New Roman"/>
                <w:color w:val="000000" w:themeColor="text1"/>
                <w:kern w:val="0"/>
              </w:rPr>
            </w:pPr>
            <w:r w:rsidRPr="003C684F">
              <w:rPr>
                <w:rFonts w:hint="eastAsia" w:ascii="仿宋" w:hAnsi="仿宋" w:eastAsia="仿宋" w:cs="Times New Roman"/>
                <w:color w:val="000000" w:themeColor="text1"/>
                <w:kern w:val="0"/>
              </w:rPr>
              <w:t>暂停</w:t>
            </w:r>
            <w:r w:rsidRPr="003C684F" w:rsidR="000A37EC">
              <w:rPr>
                <w:rFonts w:hint="eastAsia" w:ascii="仿宋" w:hAnsi="仿宋" w:eastAsia="仿宋" w:cs="Times New Roman"/>
                <w:color w:val="000000" w:themeColor="text1"/>
                <w:kern w:val="0"/>
              </w:rPr>
              <w:t>给</w:t>
            </w:r>
            <w:r w:rsidRPr="003C684F">
              <w:rPr>
                <w:rFonts w:hint="eastAsia" w:ascii="仿宋" w:hAnsi="仿宋" w:eastAsia="仿宋" w:cs="Times New Roman"/>
                <w:color w:val="000000" w:themeColor="text1"/>
                <w:kern w:val="0"/>
              </w:rPr>
              <w:t>药，待不良反应恢复到＜2级</w:t>
            </w:r>
          </w:p>
        </w:tc>
        <w:tc>
          <w:tcPr>
            <w:tcW w:w="2932" w:type="dxa"/>
          </w:tcPr>
          <w:p w:rsidRPr="003C684F" w:rsidR="004E6918" w:rsidP="00A24989" w:rsidRDefault="004E6918" w14:paraId="4255FD9E" w14:textId="77777777">
            <w:pPr>
              <w:spacing w:line="360" w:lineRule="auto"/>
              <w:jc w:val="left"/>
              <w:rPr>
                <w:rFonts w:ascii="仿宋" w:hAnsi="仿宋" w:eastAsia="仿宋" w:cs="Times New Roman"/>
                <w:bCs/>
                <w:color w:val="000000" w:themeColor="text1"/>
                <w:kern w:val="0"/>
              </w:rPr>
            </w:pPr>
            <w:r w:rsidRPr="003C684F">
              <w:rPr>
                <w:rFonts w:hint="eastAsia" w:ascii="仿宋" w:hAnsi="仿宋" w:eastAsia="仿宋" w:cs="Times New Roman"/>
                <w:color w:val="000000" w:themeColor="text1"/>
                <w:kern w:val="0"/>
              </w:rPr>
              <w:t>下调一个剂量后继续给药；如2周后仍未恢复，应考虑永久停用</w:t>
            </w:r>
          </w:p>
        </w:tc>
      </w:tr>
      <w:tr w:rsidRPr="003C684F" w:rsidR="004E6918" w:rsidTr="00A24989" w14:paraId="39005B8A" w14:textId="77777777">
        <w:tc>
          <w:tcPr>
            <w:tcW w:w="2840" w:type="dxa"/>
          </w:tcPr>
          <w:p w:rsidRPr="003C684F" w:rsidR="004E6918" w:rsidP="00A24989" w:rsidRDefault="004E6918" w14:paraId="3894BB9E" w14:textId="77777777">
            <w:pPr>
              <w:spacing w:line="360" w:lineRule="auto"/>
              <w:jc w:val="left"/>
              <w:rPr>
                <w:rFonts w:ascii="仿宋" w:hAnsi="仿宋" w:eastAsia="仿宋" w:cs="Times New Roman"/>
                <w:color w:val="000000" w:themeColor="text1"/>
                <w:kern w:val="0"/>
              </w:rPr>
            </w:pPr>
            <w:r w:rsidRPr="003C684F">
              <w:rPr>
                <w:rFonts w:hint="eastAsia" w:ascii="仿宋" w:hAnsi="仿宋" w:eastAsia="仿宋" w:cs="Times New Roman"/>
                <w:color w:val="000000" w:themeColor="text1"/>
                <w:kern w:val="0"/>
              </w:rPr>
              <w:t>4级</w:t>
            </w:r>
          </w:p>
        </w:tc>
        <w:tc>
          <w:tcPr>
            <w:tcW w:w="2841" w:type="dxa"/>
          </w:tcPr>
          <w:p w:rsidRPr="003C684F" w:rsidR="004E6918" w:rsidP="00A24989" w:rsidRDefault="004E6918" w14:paraId="3CEE6335" w14:textId="7A8F8175">
            <w:pPr>
              <w:spacing w:line="360" w:lineRule="auto"/>
              <w:jc w:val="left"/>
              <w:rPr>
                <w:rFonts w:ascii="仿宋" w:hAnsi="仿宋" w:eastAsia="仿宋" w:cs="Times New Roman"/>
                <w:bCs/>
                <w:color w:val="000000" w:themeColor="text1"/>
                <w:kern w:val="0"/>
              </w:rPr>
            </w:pPr>
            <w:r w:rsidRPr="003C684F">
              <w:rPr>
                <w:rFonts w:hint="eastAsia" w:ascii="仿宋" w:hAnsi="仿宋" w:eastAsia="仿宋" w:cs="Times New Roman"/>
                <w:color w:val="000000" w:themeColor="text1"/>
                <w:kern w:val="0"/>
              </w:rPr>
              <w:t>暂停</w:t>
            </w:r>
            <w:r w:rsidRPr="003C684F" w:rsidR="000A37EC">
              <w:rPr>
                <w:rFonts w:hint="eastAsia" w:ascii="仿宋" w:hAnsi="仿宋" w:eastAsia="仿宋" w:cs="Times New Roman"/>
                <w:color w:val="000000" w:themeColor="text1"/>
                <w:kern w:val="0"/>
              </w:rPr>
              <w:t>给</w:t>
            </w:r>
            <w:r w:rsidRPr="003C684F">
              <w:rPr>
                <w:rFonts w:hint="eastAsia" w:ascii="仿宋" w:hAnsi="仿宋" w:eastAsia="仿宋" w:cs="Times New Roman"/>
                <w:color w:val="000000" w:themeColor="text1"/>
                <w:kern w:val="0"/>
              </w:rPr>
              <w:t>药，待不良反应恢复到＜2级</w:t>
            </w:r>
          </w:p>
        </w:tc>
        <w:tc>
          <w:tcPr>
            <w:tcW w:w="2932" w:type="dxa"/>
          </w:tcPr>
          <w:p w:rsidRPr="003C684F" w:rsidR="004E6918" w:rsidP="00A24989" w:rsidRDefault="004E6918" w14:paraId="2060B4AF" w14:textId="77777777">
            <w:pPr>
              <w:spacing w:line="360" w:lineRule="auto"/>
              <w:jc w:val="left"/>
              <w:rPr>
                <w:rFonts w:ascii="仿宋" w:hAnsi="仿宋" w:eastAsia="仿宋" w:cs="Times New Roman"/>
                <w:bCs/>
                <w:color w:val="000000" w:themeColor="text1"/>
                <w:kern w:val="0"/>
              </w:rPr>
            </w:pPr>
            <w:r w:rsidRPr="003C684F">
              <w:rPr>
                <w:rFonts w:hint="eastAsia" w:ascii="仿宋" w:hAnsi="仿宋" w:eastAsia="仿宋" w:cs="Times New Roman"/>
                <w:color w:val="000000" w:themeColor="text1"/>
                <w:kern w:val="0"/>
              </w:rPr>
              <w:t>下调一个剂量后继续给药；如2周后仍未恢复，应考虑永久停用；或根据医师判断考虑永久停用</w:t>
            </w:r>
          </w:p>
        </w:tc>
      </w:tr>
    </w:tbl>
    <w:p w:rsidRPr="003C684F" w:rsidR="004E6918" w:rsidP="000A37EC" w:rsidRDefault="000A37EC" w14:paraId="3460FE55" w14:textId="36AEE6BB">
      <w:pPr>
        <w:spacing w:line="360" w:lineRule="auto"/>
        <w:ind w:firstLine="360" w:firstLineChars="200"/>
        <w:rPr>
          <w:rFonts w:ascii="仿宋" w:hAnsi="仿宋" w:eastAsia="仿宋" w:cs="Times New Roman"/>
          <w:sz w:val="18"/>
          <w:szCs w:val="18"/>
        </w:rPr>
      </w:pPr>
      <w:r w:rsidRPr="003C684F">
        <w:rPr>
          <w:rFonts w:hint="eastAsia" w:ascii="仿宋" w:hAnsi="仿宋" w:eastAsia="仿宋" w:cs="Times New Roman"/>
          <w:sz w:val="18"/>
          <w:szCs w:val="18"/>
        </w:rPr>
        <w:t>NCI CTCAE 5.0：美国国家癌症研究所常见药物毒性反应分级标准5.0版。</w:t>
      </w:r>
    </w:p>
    <w:p w:rsidRPr="003C684F" w:rsidR="009730C1" w:rsidRDefault="00A315B9" w14:paraId="79AADAF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用药期间应密切关注高血压的发生，常规降压药物可有效控制患者血压，</w:t>
      </w:r>
      <w:r w:rsidRPr="003C684F" w:rsidR="00FA2659">
        <w:rPr>
          <w:rFonts w:hint="eastAsia" w:ascii="仿宋" w:hAnsi="仿宋" w:eastAsia="仿宋" w:cs="仿宋"/>
          <w:sz w:val="32"/>
          <w:szCs w:val="32"/>
        </w:rPr>
        <w:t>如血管紧张素转换酶抑制剂、血管紧张素Ⅱ受体拮抗剂、β受体阻滞剂、</w:t>
      </w:r>
      <w:r w:rsidRPr="003C684F" w:rsidR="00601BC5">
        <w:rPr>
          <w:rFonts w:hint="eastAsia" w:ascii="仿宋" w:hAnsi="仿宋" w:eastAsia="仿宋" w:cs="仿宋"/>
          <w:sz w:val="32"/>
          <w:szCs w:val="32"/>
        </w:rPr>
        <w:t>钙离子拮抗剂</w:t>
      </w:r>
      <w:r w:rsidRPr="003C684F" w:rsidR="00FA2659">
        <w:rPr>
          <w:rFonts w:hint="eastAsia" w:ascii="仿宋" w:hAnsi="仿宋" w:eastAsia="仿宋" w:cs="仿宋"/>
          <w:sz w:val="32"/>
          <w:szCs w:val="32"/>
        </w:rPr>
        <w:t>均为可选择的降压药物</w:t>
      </w:r>
      <w:r w:rsidRPr="003C684F">
        <w:rPr>
          <w:rFonts w:hint="eastAsia" w:ascii="仿宋" w:hAnsi="仿宋" w:eastAsia="仿宋" w:cs="仿宋"/>
          <w:sz w:val="32"/>
          <w:szCs w:val="32"/>
        </w:rPr>
        <w:t>（鉴于药物相互作用，对血管紧张素转换酶抑制剂不能控制的高血压可酌情选择钙离子拮抗剂）。</w:t>
      </w:r>
    </w:p>
    <w:p w:rsidRPr="003C684F" w:rsidR="009730C1" w:rsidRDefault="00A315B9" w14:paraId="2A9EDF9E" w14:textId="37C90C50">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避免与</w:t>
      </w:r>
      <w:r w:rsidRPr="003C684F">
        <w:rPr>
          <w:rFonts w:ascii="仿宋" w:hAnsi="仿宋" w:eastAsia="仿宋" w:cs="仿宋"/>
          <w:sz w:val="32"/>
          <w:szCs w:val="32"/>
        </w:rPr>
        <w:t>CYP1A2</w:t>
      </w:r>
      <w:r w:rsidRPr="003C684F">
        <w:rPr>
          <w:rFonts w:hint="eastAsia" w:ascii="仿宋" w:hAnsi="仿宋" w:eastAsia="仿宋" w:cs="仿宋"/>
          <w:sz w:val="32"/>
          <w:szCs w:val="32"/>
        </w:rPr>
        <w:t>和</w:t>
      </w:r>
      <w:r w:rsidRPr="003C684F">
        <w:rPr>
          <w:rFonts w:ascii="仿宋" w:hAnsi="仿宋" w:eastAsia="仿宋" w:cs="仿宋"/>
          <w:sz w:val="32"/>
          <w:szCs w:val="32"/>
        </w:rPr>
        <w:t>CYP3A4</w:t>
      </w:r>
      <w:r w:rsidRPr="003C684F" w:rsidR="007B436F">
        <w:rPr>
          <w:rFonts w:hint="eastAsia" w:ascii="仿宋" w:hAnsi="仿宋" w:eastAsia="仿宋" w:cs="仿宋"/>
          <w:sz w:val="32"/>
          <w:szCs w:val="32"/>
        </w:rPr>
        <w:t>强效</w:t>
      </w:r>
      <w:r w:rsidRPr="003C684F" w:rsidR="0022257B">
        <w:rPr>
          <w:rFonts w:hint="eastAsia" w:ascii="仿宋" w:hAnsi="仿宋" w:eastAsia="仿宋" w:cs="仿宋"/>
          <w:sz w:val="32"/>
          <w:szCs w:val="32"/>
        </w:rPr>
        <w:t>诱导剂或</w:t>
      </w:r>
      <w:r w:rsidRPr="003C684F">
        <w:rPr>
          <w:rFonts w:hint="eastAsia" w:ascii="仿宋" w:hAnsi="仿宋" w:eastAsia="仿宋" w:cs="仿宋"/>
          <w:sz w:val="32"/>
          <w:szCs w:val="32"/>
        </w:rPr>
        <w:t>抑制剂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P="0037660B" w:rsidRDefault="00A315B9" w14:paraId="2BF5788E"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十八、依维莫司 E</w:t>
      </w:r>
      <w:r w:rsidRPr="003C684F">
        <w:rPr>
          <w:rFonts w:ascii="黑体" w:hAnsi="黑体" w:eastAsia="黑体"/>
          <w:color w:val="000000"/>
          <w:sz w:val="32"/>
          <w:szCs w:val="32"/>
        </w:rPr>
        <w:t>verolimus</w:t>
      </w:r>
    </w:p>
    <w:p w:rsidRPr="003C684F" w:rsidR="009730C1" w:rsidRDefault="00A315B9" w14:paraId="031EB65B"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片剂：2.5mg、5mg、10mg</w:t>
      </w:r>
    </w:p>
    <w:p w:rsidRPr="003C684F" w:rsidR="009730C1" w:rsidRDefault="00A315B9" w14:paraId="4C468192"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无法手术切除的、局部晚期或转移性的、分化良好的、进展期非功能性胃肠道或肺源神经内分泌瘤成人患者。</w:t>
      </w:r>
    </w:p>
    <w:p w:rsidRPr="003C684F" w:rsidR="009730C1" w:rsidRDefault="00A315B9" w14:paraId="47E5A6F1"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lastRenderedPageBreak/>
        <w:t>合理用药要点：</w:t>
      </w:r>
    </w:p>
    <w:p w:rsidRPr="003C684F" w:rsidR="009730C1" w:rsidRDefault="00A315B9" w14:paraId="5042416B" w14:textId="5FCAD8C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1.本品的推荐剂量为10mg</w:t>
      </w:r>
      <w:r w:rsidRPr="003C684F" w:rsidR="00F7079B">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F7079B">
        <w:rPr>
          <w:rFonts w:hint="eastAsia" w:ascii="仿宋" w:hAnsi="仿宋" w:eastAsia="仿宋"/>
          <w:color w:val="000000"/>
          <w:sz w:val="32"/>
          <w:szCs w:val="32"/>
        </w:rPr>
        <w:t>，</w:t>
      </w:r>
      <w:r w:rsidRPr="003C684F">
        <w:rPr>
          <w:rFonts w:hint="eastAsia" w:ascii="仿宋" w:hAnsi="仿宋" w:eastAsia="仿宋"/>
          <w:color w:val="000000"/>
          <w:sz w:val="32"/>
          <w:szCs w:val="32"/>
        </w:rPr>
        <w:t>口服，在每天同一时间服用。</w:t>
      </w:r>
    </w:p>
    <w:p w:rsidRPr="003C684F" w:rsidR="009730C1" w:rsidRDefault="00A315B9" w14:paraId="18D485DB" w14:textId="6BE6147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2.用一杯水整片送服本品片剂，</w:t>
      </w:r>
      <w:r w:rsidRPr="003C684F" w:rsidR="00D953FD">
        <w:rPr>
          <w:rFonts w:hint="eastAsia" w:ascii="仿宋" w:hAnsi="仿宋" w:eastAsia="仿宋"/>
          <w:color w:val="000000"/>
          <w:sz w:val="32"/>
          <w:szCs w:val="32"/>
        </w:rPr>
        <w:t>不应咀嚼、压碎或掰断药片。</w:t>
      </w:r>
      <w:r w:rsidRPr="003C684F">
        <w:rPr>
          <w:rFonts w:hint="eastAsia" w:ascii="仿宋" w:hAnsi="仿宋" w:eastAsia="仿宋"/>
          <w:color w:val="000000"/>
          <w:sz w:val="32"/>
          <w:szCs w:val="32"/>
        </w:rPr>
        <w:t>对于无法吞咽片剂的患者，用药前将本品片剂放入一杯水中（约30ml）轻轻搅拌至完全溶解（大约需要7分钟）后立即服用。用相同容量的水清洗水杯并将清洗液全部服用，以确保服用了完整剂量。</w:t>
      </w:r>
    </w:p>
    <w:p w:rsidRPr="003C684F" w:rsidR="009730C1" w:rsidRDefault="00A315B9" w14:paraId="2C1FF030"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3.只要存在临床获益就应持续治疗，或使用至出现不能耐受的毒性反应时。</w:t>
      </w:r>
    </w:p>
    <w:p w:rsidRPr="003C684F" w:rsidR="009730C1" w:rsidRDefault="00A315B9" w14:paraId="604E1BC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4.在肾功能损伤患者中没有进行本品的临床研究。预期肾功能损伤不会影响药物暴露，在肾功能损伤患者中不推荐调整依维莫司剂量。</w:t>
      </w:r>
    </w:p>
    <w:p w:rsidRPr="003C684F" w:rsidR="009730C1" w:rsidRDefault="00A315B9" w14:paraId="2F8D9AC8" w14:textId="77777777">
      <w:pPr>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.本品具有免疫抑制性，在开始本品治疗前应彻底治疗已经存在的侵入性真菌感染。</w:t>
      </w:r>
    </w:p>
    <w:p w:rsidRPr="003C684F" w:rsidR="009730C1" w:rsidRDefault="00A315B9" w14:paraId="6677C88A" w14:textId="77777777">
      <w:pPr>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对本品有效成分、其他雷帕霉素衍生物或本品中任何辅料过敏者禁用。在使用依维莫司和其他雷帕霉素衍生物患者中已观察到的过敏反应表现包括但不限于：过敏、呼吸困难、潮红、胸痛或血管性水肿（例如，伴或不伴呼吸功能不全的气道或舌肿胀）。</w:t>
      </w:r>
    </w:p>
    <w:p w:rsidRPr="003C684F" w:rsidR="009730C1" w:rsidRDefault="00A315B9" w14:paraId="1C5546D4" w14:textId="77777777">
      <w:pPr>
        <w:ind w:firstLine="640" w:firstLineChars="200"/>
        <w:rPr>
          <w:rFonts w:ascii="仿宋" w:hAnsi="仿宋" w:eastAsia="仿宋"/>
          <w:color w:val="000000"/>
          <w:sz w:val="32"/>
          <w:szCs w:val="32"/>
        </w:rPr>
      </w:pPr>
      <w:r w:rsidRPr="003C684F">
        <w:rPr>
          <w:rFonts w:ascii="仿宋" w:hAnsi="仿宋" w:eastAsia="仿宋"/>
          <w:color w:val="000000"/>
          <w:sz w:val="32"/>
          <w:szCs w:val="32"/>
        </w:rPr>
        <w:t>7</w:t>
      </w:r>
      <w:r w:rsidRPr="003C684F">
        <w:rPr>
          <w:rFonts w:hint="eastAsia" w:ascii="仿宋" w:hAnsi="仿宋" w:eastAsia="仿宋"/>
          <w:color w:val="000000"/>
          <w:sz w:val="32"/>
          <w:szCs w:val="32"/>
        </w:rPr>
        <w:t>.口腔炎包括口腔溃疡和口腔黏膜炎。在临床试验中，发生率为44%～86%，4%～9%的患者报告了3～4级口腔炎。</w:t>
      </w:r>
      <w:r w:rsidRPr="003C684F">
        <w:rPr>
          <w:rFonts w:hint="eastAsia" w:ascii="仿宋" w:hAnsi="仿宋" w:eastAsia="仿宋"/>
          <w:color w:val="000000"/>
          <w:sz w:val="32"/>
          <w:szCs w:val="32"/>
        </w:rPr>
        <w:lastRenderedPageBreak/>
        <w:t>口腔炎大部分在治疗的前8周内发生。如果发生口腔炎，建议使用局部治疗。</w:t>
      </w:r>
    </w:p>
    <w:p w:rsidRPr="003C684F" w:rsidR="009730C1" w:rsidRDefault="00A315B9" w14:paraId="0E8AEDB0" w14:textId="712CECF6">
      <w:pPr>
        <w:ind w:firstLine="640" w:firstLineChars="200"/>
        <w:rPr>
          <w:rFonts w:ascii="仿宋" w:hAnsi="仿宋" w:eastAsia="仿宋"/>
          <w:color w:val="000000"/>
          <w:sz w:val="32"/>
          <w:szCs w:val="32"/>
        </w:rPr>
      </w:pPr>
      <w:r w:rsidRPr="003C684F">
        <w:rPr>
          <w:rFonts w:ascii="仿宋" w:hAnsi="仿宋" w:eastAsia="仿宋"/>
          <w:color w:val="000000"/>
          <w:sz w:val="32"/>
          <w:szCs w:val="32"/>
        </w:rPr>
        <w:t>8</w:t>
      </w:r>
      <w:r w:rsidRPr="003C684F">
        <w:rPr>
          <w:rFonts w:hint="eastAsia" w:ascii="仿宋" w:hAnsi="仿宋" w:eastAsia="仿宋"/>
          <w:color w:val="000000"/>
          <w:sz w:val="32"/>
          <w:szCs w:val="32"/>
        </w:rPr>
        <w:t>.避免</w:t>
      </w:r>
      <w:r w:rsidRPr="003C684F" w:rsidR="00DE313C">
        <w:rPr>
          <w:rFonts w:ascii="仿宋" w:hAnsi="仿宋" w:eastAsia="仿宋"/>
          <w:color w:val="000000"/>
          <w:sz w:val="32"/>
          <w:szCs w:val="32"/>
        </w:rPr>
        <w:t>联合使用</w:t>
      </w:r>
      <w:r w:rsidRPr="003C684F">
        <w:rPr>
          <w:rFonts w:hint="eastAsia" w:ascii="仿宋" w:hAnsi="仿宋" w:eastAsia="仿宋"/>
          <w:color w:val="000000"/>
          <w:sz w:val="32"/>
          <w:szCs w:val="32"/>
        </w:rPr>
        <w:t>CYP3A4强效</w:t>
      </w:r>
      <w:r w:rsidRPr="003C684F" w:rsidR="0022257B">
        <w:rPr>
          <w:rFonts w:hint="eastAsia" w:ascii="仿宋" w:hAnsi="仿宋" w:eastAsia="仿宋"/>
          <w:color w:val="000000"/>
          <w:sz w:val="32"/>
          <w:szCs w:val="32"/>
        </w:rPr>
        <w:t>诱导剂或</w:t>
      </w:r>
      <w:r w:rsidRPr="003C684F">
        <w:rPr>
          <w:rFonts w:hint="eastAsia" w:ascii="仿宋" w:hAnsi="仿宋" w:eastAsia="仿宋"/>
          <w:color w:val="000000"/>
          <w:sz w:val="32"/>
          <w:szCs w:val="32"/>
        </w:rPr>
        <w:t>抑制剂以及P-糖蛋白抑制剂。</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CYP3A4</w:t>
      </w:r>
      <w:r w:rsidRPr="003C684F" w:rsidR="00F92328">
        <w:rPr>
          <w:rFonts w:hint="eastAsia" w:ascii="仿宋" w:hAnsi="仿宋" w:eastAsia="仿宋"/>
          <w:color w:val="000000"/>
          <w:sz w:val="32"/>
          <w:szCs w:val="32"/>
        </w:rPr>
        <w:t>中效</w:t>
      </w:r>
      <w:r w:rsidRPr="003C684F">
        <w:rPr>
          <w:rFonts w:hint="eastAsia" w:ascii="仿宋" w:hAnsi="仿宋" w:eastAsia="仿宋"/>
          <w:color w:val="000000"/>
          <w:sz w:val="32"/>
          <w:szCs w:val="32"/>
        </w:rPr>
        <w:t>和/或P-糖蛋白抑制剂应将依维莫司剂量降低大约50%。</w:t>
      </w:r>
    </w:p>
    <w:p w:rsidRPr="003C684F" w:rsidR="009730C1" w:rsidP="0037660B" w:rsidRDefault="00A315B9" w14:paraId="02CD3509" w14:textId="77777777">
      <w:pPr>
        <w:spacing w:line="360" w:lineRule="auto"/>
        <w:ind w:firstLine="640" w:firstLineChars="200"/>
        <w:outlineLvl w:val="0"/>
        <w:rPr>
          <w:rFonts w:ascii="黑体" w:hAnsi="黑体" w:eastAsia="黑体" w:cs="仿宋"/>
          <w:color w:val="000000"/>
          <w:sz w:val="32"/>
          <w:szCs w:val="32"/>
        </w:rPr>
      </w:pPr>
      <w:r w:rsidRPr="003C684F">
        <w:rPr>
          <w:rFonts w:ascii="黑体" w:hAnsi="黑体" w:eastAsia="黑体" w:cs="仿宋"/>
          <w:color w:val="000000"/>
          <w:sz w:val="32"/>
          <w:szCs w:val="32"/>
        </w:rPr>
        <w:t>十</w:t>
      </w:r>
      <w:r w:rsidRPr="003C684F">
        <w:rPr>
          <w:rFonts w:hint="eastAsia" w:ascii="黑体" w:hAnsi="黑体" w:eastAsia="黑体" w:cs="仿宋"/>
          <w:color w:val="000000"/>
          <w:sz w:val="32"/>
          <w:szCs w:val="32"/>
        </w:rPr>
        <w:t>九、普拉替尼 Pralsetinib</w:t>
      </w:r>
    </w:p>
    <w:p w:rsidRPr="003C684F" w:rsidR="009730C1" w:rsidRDefault="00A315B9" w14:paraId="1578414F" w14:textId="77777777">
      <w:pPr>
        <w:spacing w:line="360" w:lineRule="auto"/>
        <w:ind w:firstLine="643" w:firstLineChars="200"/>
        <w:rPr>
          <w:rFonts w:ascii="仿宋" w:hAnsi="仿宋" w:eastAsia="仿宋" w:cs="仿宋"/>
          <w:color w:val="000000"/>
          <w:sz w:val="32"/>
          <w:szCs w:val="32"/>
        </w:rPr>
      </w:pPr>
      <w:r w:rsidRPr="003C684F">
        <w:rPr>
          <w:rFonts w:hint="eastAsia" w:ascii="仿宋" w:hAnsi="仿宋" w:eastAsia="仿宋" w:cs="仿宋"/>
          <w:b/>
          <w:color w:val="000000"/>
          <w:sz w:val="32"/>
          <w:szCs w:val="32"/>
        </w:rPr>
        <w:t>制剂与规格：</w:t>
      </w:r>
      <w:r w:rsidRPr="003C684F">
        <w:rPr>
          <w:rFonts w:hint="eastAsia" w:ascii="仿宋" w:hAnsi="仿宋" w:eastAsia="仿宋" w:cs="仿宋"/>
          <w:color w:val="000000"/>
          <w:sz w:val="32"/>
          <w:szCs w:val="32"/>
        </w:rPr>
        <w:t>胶囊：100mg</w:t>
      </w:r>
    </w:p>
    <w:p w:rsidRPr="003C684F" w:rsidR="009730C1" w:rsidRDefault="00A315B9" w14:paraId="416E3F87" w14:textId="77777777">
      <w:pPr>
        <w:spacing w:line="360" w:lineRule="auto"/>
        <w:ind w:firstLine="643" w:firstLineChars="200"/>
        <w:rPr>
          <w:rFonts w:ascii="仿宋" w:hAnsi="仿宋" w:eastAsia="仿宋" w:cs="仿宋"/>
          <w:color w:val="000000"/>
          <w:sz w:val="32"/>
          <w:szCs w:val="32"/>
        </w:rPr>
      </w:pPr>
      <w:r w:rsidRPr="003C684F">
        <w:rPr>
          <w:rFonts w:hint="eastAsia" w:ascii="仿宋" w:hAnsi="仿宋" w:eastAsia="仿宋" w:cs="仿宋"/>
          <w:b/>
          <w:color w:val="000000"/>
          <w:sz w:val="32"/>
          <w:szCs w:val="32"/>
        </w:rPr>
        <w:t>适应证：</w:t>
      </w:r>
      <w:r w:rsidRPr="003C684F">
        <w:rPr>
          <w:rFonts w:hint="eastAsia" w:ascii="仿宋" w:hAnsi="仿宋" w:eastAsia="仿宋" w:cs="仿宋"/>
          <w:color w:val="000000"/>
          <w:sz w:val="32"/>
          <w:szCs w:val="32"/>
        </w:rPr>
        <w:t>既往接受过含铂化疗的转染重排（RET）基因融合阳性的局部晚期或转移性NSCLC成人患者的治疗。</w:t>
      </w:r>
    </w:p>
    <w:p w:rsidRPr="003C684F" w:rsidR="009730C1" w:rsidRDefault="00A315B9" w14:paraId="3D8807FE" w14:textId="77777777">
      <w:pPr>
        <w:spacing w:line="360" w:lineRule="auto"/>
        <w:ind w:firstLine="643" w:firstLineChars="200"/>
        <w:rPr>
          <w:rFonts w:ascii="仿宋" w:hAnsi="仿宋" w:eastAsia="仿宋" w:cs="仿宋"/>
          <w:b/>
          <w:color w:val="000000"/>
          <w:sz w:val="32"/>
          <w:szCs w:val="32"/>
        </w:rPr>
      </w:pPr>
      <w:r w:rsidRPr="003C684F">
        <w:rPr>
          <w:rFonts w:hint="eastAsia" w:ascii="仿宋" w:hAnsi="仿宋" w:eastAsia="仿宋" w:cs="仿宋"/>
          <w:b/>
          <w:color w:val="000000"/>
          <w:sz w:val="32"/>
          <w:szCs w:val="32"/>
        </w:rPr>
        <w:t>合理用药要点：</w:t>
      </w:r>
    </w:p>
    <w:p w:rsidRPr="003C684F" w:rsidR="009730C1" w:rsidRDefault="00A315B9" w14:paraId="26A76EF8" w14:textId="77777777">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1.用药前必须明确有经国家药品监督管理局批准的检测方法检测到的RET基因融合阳性。</w:t>
      </w:r>
    </w:p>
    <w:p w:rsidRPr="003C684F" w:rsidR="009730C1" w:rsidRDefault="00A315B9" w14:paraId="0058F5D1" w14:textId="1E20430C">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2.推荐剂量为400mg</w:t>
      </w:r>
      <w:r w:rsidRPr="003C684F" w:rsidR="0097521E">
        <w:rPr>
          <w:rFonts w:hint="eastAsia" w:ascii="仿宋" w:hAnsi="仿宋" w:eastAsia="仿宋"/>
          <w:color w:val="000000"/>
          <w:sz w:val="32"/>
          <w:szCs w:val="32"/>
        </w:rPr>
        <w:t>/次，每天一次，口服</w:t>
      </w:r>
      <w:r w:rsidRPr="003C684F">
        <w:rPr>
          <w:rFonts w:hint="eastAsia" w:ascii="仿宋" w:hAnsi="仿宋" w:eastAsia="仿宋" w:cs="仿宋"/>
          <w:color w:val="000000"/>
          <w:sz w:val="32"/>
          <w:szCs w:val="32"/>
        </w:rPr>
        <w:t>，直至</w:t>
      </w:r>
      <w:r w:rsidRPr="003C684F" w:rsidR="00B95507">
        <w:rPr>
          <w:rFonts w:hint="eastAsia" w:ascii="仿宋" w:hAnsi="仿宋" w:eastAsia="仿宋" w:cs="仿宋"/>
          <w:color w:val="000000"/>
          <w:sz w:val="32"/>
          <w:szCs w:val="32"/>
        </w:rPr>
        <w:t>疾病进展或出现不可耐受的毒性。</w:t>
      </w:r>
      <w:r w:rsidRPr="003C684F">
        <w:rPr>
          <w:rFonts w:hint="eastAsia" w:ascii="仿宋" w:hAnsi="仿宋" w:eastAsia="仿宋" w:cs="仿宋"/>
          <w:color w:val="000000"/>
          <w:sz w:val="32"/>
          <w:szCs w:val="32"/>
        </w:rPr>
        <w:t>应在每天相同的时间</w:t>
      </w:r>
      <w:r w:rsidRPr="003C684F" w:rsidR="0097521E">
        <w:rPr>
          <w:rFonts w:hint="eastAsia" w:ascii="仿宋" w:hAnsi="仿宋" w:eastAsia="仿宋" w:cs="仿宋"/>
          <w:color w:val="000000"/>
          <w:sz w:val="32"/>
          <w:szCs w:val="32"/>
        </w:rPr>
        <w:t>且空腹状态</w:t>
      </w:r>
      <w:r w:rsidRPr="003C684F">
        <w:rPr>
          <w:rFonts w:hint="eastAsia" w:ascii="仿宋" w:hAnsi="仿宋" w:eastAsia="仿宋" w:cs="仿宋"/>
          <w:color w:val="000000"/>
          <w:sz w:val="32"/>
          <w:szCs w:val="32"/>
        </w:rPr>
        <w:t>服用，服用本品前至少2小时以及服用本品后至少1小时请勿进食。</w:t>
      </w:r>
    </w:p>
    <w:p w:rsidRPr="003C684F" w:rsidR="009730C1" w:rsidRDefault="00A315B9" w14:paraId="6FDAFE9B" w14:textId="6C35C307">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3.如果出现不良反应，应根据患者的耐受性，以每次减量100mg的方式逐步降低本品的剂量：（1）首次减量至300mg</w:t>
      </w:r>
      <w:r w:rsidRPr="003C684F" w:rsidR="003B34D3">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，每天一次。（2）第2次减量至200mg</w:t>
      </w:r>
      <w:r w:rsidRPr="003C684F" w:rsidR="003B34D3">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，每天一次。（3）第3次减量至100mg</w:t>
      </w:r>
      <w:r w:rsidRPr="003C684F" w:rsidR="003B34D3">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，每天一次。如果患者不耐受100mg</w:t>
      </w:r>
      <w:r w:rsidRPr="003C684F" w:rsidR="003B34D3">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，每天一次的给药剂量，</w:t>
      </w:r>
      <w:r w:rsidRPr="003C684F" w:rsidR="00373DC1">
        <w:rPr>
          <w:rFonts w:hint="eastAsia" w:ascii="仿宋" w:hAnsi="仿宋" w:eastAsia="仿宋" w:cs="仿宋"/>
          <w:color w:val="000000"/>
          <w:sz w:val="32"/>
          <w:szCs w:val="32"/>
        </w:rPr>
        <w:t>应永久停用</w:t>
      </w:r>
      <w:r w:rsidRPr="003C684F">
        <w:rPr>
          <w:rFonts w:hint="eastAsia" w:ascii="仿宋" w:hAnsi="仿宋" w:eastAsia="仿宋" w:cs="仿宋"/>
          <w:color w:val="000000"/>
          <w:sz w:val="32"/>
          <w:szCs w:val="32"/>
        </w:rPr>
        <w:t>。</w:t>
      </w:r>
    </w:p>
    <w:p w:rsidRPr="003C684F" w:rsidR="009730C1" w:rsidRDefault="00A315B9" w14:paraId="3F667C8B" w14:textId="77777777">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4.最常见的不良反应（发生率≥25%）为便秘、高血压、</w:t>
      </w:r>
      <w:r w:rsidRPr="003C684F">
        <w:rPr>
          <w:rFonts w:hint="eastAsia" w:ascii="仿宋" w:hAnsi="仿宋" w:eastAsia="仿宋" w:cs="仿宋"/>
          <w:color w:val="000000"/>
          <w:sz w:val="32"/>
          <w:szCs w:val="32"/>
        </w:rPr>
        <w:lastRenderedPageBreak/>
        <w:t>疲乏、骨骼肌肉疼痛和腹泻。最常见的3～4级实验室检查结果异常（发生率≥2%）为</w:t>
      </w:r>
      <w:r w:rsidRPr="003C684F" w:rsidR="00821C69">
        <w:rPr>
          <w:rFonts w:hint="eastAsia" w:ascii="仿宋" w:hAnsi="仿宋" w:eastAsia="仿宋" w:cs="仿宋"/>
          <w:color w:val="000000"/>
          <w:sz w:val="32"/>
          <w:szCs w:val="32"/>
        </w:rPr>
        <w:t>淋巴细胞减少症</w:t>
      </w:r>
      <w:r w:rsidRPr="003C684F">
        <w:rPr>
          <w:rFonts w:hint="eastAsia" w:ascii="仿宋" w:hAnsi="仿宋" w:eastAsia="仿宋" w:cs="仿宋"/>
          <w:color w:val="000000"/>
          <w:sz w:val="32"/>
          <w:szCs w:val="32"/>
        </w:rPr>
        <w:t>、</w:t>
      </w:r>
      <w:r w:rsidRPr="003C684F" w:rsidR="00691EDE">
        <w:rPr>
          <w:rFonts w:hint="eastAsia" w:ascii="仿宋" w:hAnsi="仿宋" w:eastAsia="仿宋" w:cs="仿宋"/>
          <w:color w:val="000000"/>
          <w:sz w:val="32"/>
          <w:szCs w:val="32"/>
        </w:rPr>
        <w:t>中性粒细胞减少症</w:t>
      </w:r>
      <w:r w:rsidRPr="003C684F">
        <w:rPr>
          <w:rFonts w:hint="eastAsia" w:ascii="仿宋" w:hAnsi="仿宋" w:eastAsia="仿宋" w:cs="仿宋"/>
          <w:color w:val="000000"/>
          <w:sz w:val="32"/>
          <w:szCs w:val="32"/>
        </w:rPr>
        <w:t>、血红蛋白降低、磷酸盐降低、钙降低（校正）、血钠降低、AST升高、ALT升高、</w:t>
      </w:r>
      <w:r w:rsidRPr="003C684F" w:rsidR="00701C08">
        <w:rPr>
          <w:rFonts w:hint="eastAsia" w:ascii="仿宋" w:hAnsi="仿宋" w:eastAsia="仿宋" w:cs="仿宋"/>
          <w:color w:val="000000"/>
          <w:sz w:val="32"/>
          <w:szCs w:val="32"/>
        </w:rPr>
        <w:t>血小板减少症</w:t>
      </w:r>
      <w:r w:rsidRPr="003C684F">
        <w:rPr>
          <w:rFonts w:hint="eastAsia" w:ascii="仿宋" w:hAnsi="仿宋" w:eastAsia="仿宋" w:cs="仿宋"/>
          <w:color w:val="000000"/>
          <w:sz w:val="32"/>
          <w:szCs w:val="32"/>
        </w:rPr>
        <w:t>和碱性磷酸酶升高。应特别注意非感染性肺炎/间质性肺炎发生。</w:t>
      </w:r>
    </w:p>
    <w:p w:rsidRPr="003C684F" w:rsidR="009730C1" w:rsidRDefault="00A315B9" w14:paraId="59C4A880" w14:textId="7A17BEA5">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5.避免与P-糖蛋白和CYP3A共同</w:t>
      </w:r>
      <w:r w:rsidRPr="003C684F" w:rsidR="00F569EA">
        <w:rPr>
          <w:rFonts w:hint="eastAsia" w:ascii="仿宋" w:hAnsi="仿宋" w:eastAsia="仿宋" w:cs="仿宋"/>
          <w:color w:val="000000"/>
          <w:sz w:val="32"/>
          <w:szCs w:val="32"/>
        </w:rPr>
        <w:t>强效</w:t>
      </w:r>
      <w:r w:rsidRPr="003C684F">
        <w:rPr>
          <w:rFonts w:hint="eastAsia" w:ascii="仿宋" w:hAnsi="仿宋" w:eastAsia="仿宋" w:cs="仿宋"/>
          <w:color w:val="000000"/>
          <w:sz w:val="32"/>
          <w:szCs w:val="32"/>
        </w:rPr>
        <w:t>抑制剂及CYP3A抑制剂或诱导剂（如伏立康唑、苯妥英、卡马西平、利福平等）联合使用。</w:t>
      </w:r>
    </w:p>
    <w:p w:rsidRPr="003C684F" w:rsidR="009730C1" w:rsidRDefault="00A315B9" w14:paraId="688125B1" w14:textId="77777777">
      <w:pPr>
        <w:spacing w:line="360" w:lineRule="auto"/>
        <w:ind w:firstLine="640" w:firstLineChars="200"/>
        <w:rPr>
          <w:rFonts w:ascii="黑体" w:hAnsi="黑体" w:eastAsia="黑体" w:cs="Times New Roman"/>
          <w:color w:val="000000"/>
          <w:sz w:val="32"/>
          <w:szCs w:val="32"/>
        </w:rPr>
      </w:pPr>
      <w:r w:rsidRPr="003C684F">
        <w:rPr>
          <w:rFonts w:hint="eastAsia" w:ascii="黑体" w:hAnsi="黑体" w:eastAsia="黑体" w:cs="Times New Roman"/>
          <w:color w:val="000000"/>
          <w:sz w:val="32"/>
          <w:szCs w:val="32"/>
        </w:rPr>
        <w:t>二十、赛沃替尼 Savolitinib</w:t>
      </w:r>
    </w:p>
    <w:p w:rsidRPr="003C684F" w:rsidR="009730C1" w:rsidRDefault="00A315B9" w14:paraId="3D8FE66B" w14:textId="77777777">
      <w:pPr>
        <w:spacing w:line="360" w:lineRule="auto"/>
        <w:ind w:firstLine="643" w:firstLineChars="200"/>
        <w:rPr>
          <w:rFonts w:ascii="仿宋" w:hAnsi="仿宋" w:eastAsia="仿宋" w:cs="Times New Roman"/>
          <w:color w:val="000000"/>
          <w:sz w:val="32"/>
          <w:szCs w:val="32"/>
        </w:rPr>
      </w:pPr>
      <w:r w:rsidRPr="003C684F">
        <w:rPr>
          <w:rFonts w:hint="eastAsia" w:ascii="仿宋" w:hAnsi="仿宋" w:eastAsia="仿宋" w:cs="Times New Roman"/>
          <w:b/>
          <w:color w:val="000000"/>
          <w:sz w:val="32"/>
          <w:szCs w:val="32"/>
        </w:rPr>
        <w:t>制剂与规格：</w:t>
      </w:r>
      <w:r w:rsidRPr="003C684F">
        <w:rPr>
          <w:rFonts w:hint="eastAsia" w:ascii="仿宋" w:hAnsi="仿宋" w:eastAsia="仿宋" w:cs="Times New Roman"/>
          <w:color w:val="000000"/>
          <w:sz w:val="32"/>
          <w:szCs w:val="32"/>
        </w:rPr>
        <w:t xml:space="preserve">片剂：100mg、200mg </w:t>
      </w:r>
    </w:p>
    <w:p w:rsidRPr="003C684F" w:rsidR="009730C1" w:rsidRDefault="00A315B9" w14:paraId="54877F05" w14:textId="77777777">
      <w:pPr>
        <w:spacing w:line="360" w:lineRule="auto"/>
        <w:ind w:firstLine="643" w:firstLineChars="200"/>
        <w:rPr>
          <w:rFonts w:ascii="仿宋" w:hAnsi="仿宋" w:eastAsia="仿宋" w:cs="Times New Roman"/>
          <w:color w:val="000000"/>
          <w:sz w:val="32"/>
          <w:szCs w:val="32"/>
        </w:rPr>
      </w:pPr>
      <w:r w:rsidRPr="003C684F">
        <w:rPr>
          <w:rFonts w:hint="eastAsia" w:ascii="仿宋" w:hAnsi="仿宋" w:eastAsia="仿宋" w:cs="Times New Roman"/>
          <w:b/>
          <w:color w:val="000000"/>
          <w:sz w:val="32"/>
          <w:szCs w:val="32"/>
        </w:rPr>
        <w:t>适应证：</w:t>
      </w:r>
      <w:r w:rsidRPr="003C684F">
        <w:rPr>
          <w:rFonts w:hint="eastAsia" w:ascii="仿宋" w:hAnsi="仿宋" w:eastAsia="仿宋" w:cs="Times New Roman"/>
          <w:color w:val="000000"/>
          <w:sz w:val="32"/>
          <w:szCs w:val="32"/>
        </w:rPr>
        <w:t>赛沃替尼用于含铂化疗后疾病进展或不耐受标准含铂化疗的、具有间质-上皮转化因子（MET）外显子14跳跃突变的局部晚期或转移性NSCLC成人患者。</w:t>
      </w:r>
    </w:p>
    <w:p w:rsidRPr="003C684F" w:rsidR="009730C1" w:rsidRDefault="00A315B9" w14:paraId="6D20CF16" w14:textId="77777777">
      <w:pPr>
        <w:spacing w:line="360" w:lineRule="auto"/>
        <w:ind w:firstLine="643" w:firstLineChars="200"/>
        <w:rPr>
          <w:rFonts w:ascii="仿宋" w:hAnsi="仿宋" w:eastAsia="仿宋" w:cs="Times New Roman"/>
          <w:b/>
          <w:color w:val="000000"/>
          <w:sz w:val="32"/>
          <w:szCs w:val="32"/>
        </w:rPr>
      </w:pPr>
      <w:r w:rsidRPr="003C684F">
        <w:rPr>
          <w:rFonts w:hint="eastAsia" w:ascii="仿宋" w:hAnsi="仿宋" w:eastAsia="仿宋" w:cs="Times New Roman"/>
          <w:b/>
          <w:color w:val="000000"/>
          <w:sz w:val="32"/>
          <w:szCs w:val="32"/>
        </w:rPr>
        <w:t>合理用药要点：</w:t>
      </w:r>
    </w:p>
    <w:p w:rsidRPr="003C684F" w:rsidR="009730C1" w:rsidRDefault="00A315B9" w14:paraId="1EB56AE4" w14:textId="77777777">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Times New Roman"/>
          <w:color w:val="000000"/>
          <w:sz w:val="32"/>
          <w:szCs w:val="32"/>
        </w:rPr>
        <w:t>1.用药前必须明确有经国家药品监督管理局批准的检测方法检测到的MET外显子14跳跃突变阳性。对于肺肉瘤样癌，更应注意检测MET外显子14跳跃突变。</w:t>
      </w:r>
    </w:p>
    <w:p w:rsidRPr="003C684F" w:rsidR="009730C1" w:rsidRDefault="00A315B9" w14:paraId="30D275E2" w14:textId="3BE8B3EE">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Times New Roman"/>
          <w:color w:val="000000"/>
          <w:sz w:val="32"/>
          <w:szCs w:val="32"/>
        </w:rPr>
        <w:t>2.对于体重≥50kg的患者，建议赛沃替尼起始剂量为600mg</w:t>
      </w:r>
      <w:r w:rsidRPr="003C684F" w:rsidR="004735B7">
        <w:rPr>
          <w:rFonts w:hint="eastAsia" w:ascii="仿宋" w:hAnsi="仿宋" w:eastAsia="仿宋"/>
          <w:color w:val="000000"/>
          <w:sz w:val="32"/>
          <w:szCs w:val="32"/>
        </w:rPr>
        <w:t>/次，每天一次，口服；</w:t>
      </w:r>
      <w:r w:rsidRPr="003C684F">
        <w:rPr>
          <w:rFonts w:hint="eastAsia" w:ascii="仿宋" w:hAnsi="仿宋" w:eastAsia="仿宋" w:cs="Times New Roman"/>
          <w:color w:val="000000"/>
          <w:sz w:val="32"/>
          <w:szCs w:val="32"/>
        </w:rPr>
        <w:t>对于体重＜50kg的患者，建议起始剂量为400mg</w:t>
      </w:r>
      <w:r w:rsidRPr="003C684F" w:rsidR="004735B7">
        <w:rPr>
          <w:rFonts w:hint="eastAsia" w:ascii="仿宋" w:hAnsi="仿宋" w:eastAsia="仿宋" w:cs="Times New Roman"/>
          <w:color w:val="000000"/>
          <w:sz w:val="32"/>
          <w:szCs w:val="32"/>
        </w:rPr>
        <w:t>/次</w:t>
      </w:r>
      <w:r w:rsidRPr="003C684F">
        <w:rPr>
          <w:rFonts w:hint="eastAsia" w:ascii="仿宋" w:hAnsi="仿宋" w:eastAsia="仿宋" w:cs="Times New Roman"/>
          <w:color w:val="000000"/>
          <w:sz w:val="32"/>
          <w:szCs w:val="32"/>
        </w:rPr>
        <w:t>，每天一次，口服。</w:t>
      </w:r>
    </w:p>
    <w:p w:rsidR="005649EE" w:rsidRDefault="00A315B9" w14:paraId="01040ABA" w14:textId="733D6CC4">
      <w:pPr>
        <w:spacing w:line="360" w:lineRule="auto"/>
        <w:ind w:firstLine="640" w:firstLineChars="200"/>
        <w:rPr>
          <w:rFonts w:ascii="仿宋" w:hAnsi="仿宋" w:eastAsia="仿宋"/>
          <w:color w:val="000000"/>
          <w:sz w:val="32"/>
          <w:szCs w:val="32"/>
        </w:rPr>
      </w:pPr>
      <w:r w:rsidRPr="003C684F">
        <w:rPr>
          <w:rFonts w:ascii="仿宋" w:hAnsi="仿宋" w:eastAsia="仿宋" w:cs="Times New Roman"/>
          <w:color w:val="000000"/>
          <w:sz w:val="32"/>
          <w:szCs w:val="32"/>
        </w:rPr>
        <w:t>3</w:t>
      </w:r>
      <w:r w:rsidRPr="003C684F">
        <w:rPr>
          <w:rFonts w:hint="eastAsia" w:ascii="仿宋" w:hAnsi="仿宋" w:eastAsia="仿宋" w:cs="Times New Roman"/>
          <w:color w:val="000000"/>
          <w:sz w:val="32"/>
          <w:szCs w:val="32"/>
        </w:rPr>
        <w:t>.</w:t>
      </w:r>
      <w:r w:rsidRPr="003C684F">
        <w:rPr>
          <w:rFonts w:hint="eastAsia" w:ascii="仿宋" w:hAnsi="仿宋" w:eastAsia="仿宋"/>
          <w:color w:val="000000"/>
          <w:sz w:val="32"/>
          <w:szCs w:val="32"/>
        </w:rPr>
        <w:t>根据患者个体的安全性和耐受性调整用药剂量。</w:t>
      </w:r>
    </w:p>
    <w:p w:rsidRPr="003C684F" w:rsidR="003C684F" w:rsidRDefault="003C684F" w14:paraId="2848C06E" w14:textId="77777777">
      <w:pPr>
        <w:spacing w:line="360" w:lineRule="auto"/>
        <w:ind w:firstLine="640" w:firstLineChars="200"/>
        <w:rPr>
          <w:rFonts w:ascii="仿宋" w:hAnsi="仿宋" w:eastAsia="仿宋"/>
          <w:color w:val="000000"/>
          <w:sz w:val="32"/>
          <w:szCs w:val="3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2"/>
        <w:gridCol w:w="2705"/>
        <w:gridCol w:w="2705"/>
      </w:tblGrid>
      <w:tr w:rsidRPr="003C684F" w:rsidR="009730C1" w14:paraId="63AA4785" w14:textId="77777777">
        <w:tc>
          <w:tcPr>
            <w:tcW w:w="5000" w:type="pct"/>
            <w:gridSpan w:val="3"/>
            <w:tcBorders>
              <w:top w:val="nil"/>
              <w:left w:val="nil"/>
              <w:bottom w:val="single" w:color="auto" w:sz="4" w:space="0"/>
              <w:right w:val="nil"/>
            </w:tcBorders>
            <w:shd w:val="clear" w:color="auto" w:fill="auto"/>
          </w:tcPr>
          <w:p w:rsidRPr="003C684F" w:rsidR="009730C1" w:rsidP="001B6FD3" w:rsidRDefault="00A315B9" w14:paraId="6B84E0A0" w14:textId="605D2960">
            <w:pPr>
              <w:spacing w:before="60" w:after="60" w:line="360" w:lineRule="auto"/>
              <w:jc w:val="center"/>
              <w:rPr>
                <w:rFonts w:ascii="仿宋" w:hAnsi="仿宋" w:eastAsia="仿宋" w:cs="Times New Roman"/>
                <w:b/>
                <w:color w:val="000000"/>
                <w:szCs w:val="24"/>
              </w:rPr>
            </w:pPr>
            <w:r w:rsidRPr="003C684F">
              <w:rPr>
                <w:rFonts w:hint="eastAsia" w:ascii="仿宋" w:hAnsi="仿宋" w:eastAsia="仿宋" w:cs="Times New Roman"/>
                <w:b/>
                <w:color w:val="000000"/>
              </w:rPr>
              <w:lastRenderedPageBreak/>
              <w:t>表</w:t>
            </w:r>
            <w:r w:rsidRPr="003C684F" w:rsidR="001B6FD3">
              <w:rPr>
                <w:rFonts w:hint="eastAsia" w:ascii="仿宋" w:hAnsi="仿宋" w:eastAsia="仿宋" w:cs="Times New Roman"/>
                <w:b/>
                <w:color w:val="000000"/>
              </w:rPr>
              <w:t>4</w:t>
            </w:r>
            <w:r w:rsidRPr="003C684F">
              <w:rPr>
                <w:rFonts w:hint="eastAsia" w:ascii="仿宋" w:hAnsi="仿宋" w:eastAsia="仿宋" w:cs="Times New Roman"/>
                <w:b/>
                <w:color w:val="000000"/>
              </w:rPr>
              <w:t xml:space="preserve">　</w:t>
            </w:r>
            <w:r w:rsidRPr="003C684F">
              <w:rPr>
                <w:rFonts w:ascii="仿宋" w:hAnsi="仿宋" w:eastAsia="仿宋" w:cs="Times New Roman"/>
                <w:b/>
                <w:color w:val="000000"/>
              </w:rPr>
              <w:t>赛沃替尼剂量调整建议</w:t>
            </w:r>
          </w:p>
        </w:tc>
      </w:tr>
      <w:tr w:rsidRPr="003C684F" w:rsidR="009730C1" w14:paraId="067BFC5A" w14:textId="77777777">
        <w:tc>
          <w:tcPr>
            <w:tcW w:w="1826" w:type="pct"/>
            <w:tcBorders>
              <w:top w:val="single" w:color="auto" w:sz="4" w:space="0"/>
            </w:tcBorders>
            <w:shd w:val="clear" w:color="auto" w:fill="auto"/>
          </w:tcPr>
          <w:p w:rsidRPr="003C684F" w:rsidR="009730C1" w:rsidRDefault="00A315B9" w14:paraId="16869AA7" w14:textId="77777777">
            <w:pPr>
              <w:spacing w:before="60" w:after="60" w:line="360" w:lineRule="auto"/>
              <w:rPr>
                <w:rFonts w:ascii="仿宋" w:hAnsi="仿宋" w:eastAsia="仿宋" w:cs="Times New Roman"/>
                <w:b/>
                <w:color w:val="000000"/>
                <w:szCs w:val="24"/>
              </w:rPr>
            </w:pPr>
            <w:r w:rsidRPr="003C684F">
              <w:rPr>
                <w:rFonts w:ascii="仿宋" w:hAnsi="仿宋" w:eastAsia="仿宋" w:cs="Times New Roman"/>
                <w:b/>
                <w:color w:val="000000"/>
                <w:szCs w:val="24"/>
              </w:rPr>
              <w:t>剂量水平</w:t>
            </w:r>
          </w:p>
        </w:tc>
        <w:tc>
          <w:tcPr>
            <w:tcW w:w="3174" w:type="pct"/>
            <w:gridSpan w:val="2"/>
            <w:tcBorders>
              <w:top w:val="single" w:color="auto" w:sz="4" w:space="0"/>
            </w:tcBorders>
            <w:shd w:val="clear" w:color="auto" w:fill="auto"/>
            <w:vAlign w:val="center"/>
          </w:tcPr>
          <w:p w:rsidRPr="003C684F" w:rsidR="009730C1" w:rsidRDefault="00490C51" w14:paraId="44E7AA45" w14:textId="5631E9A6">
            <w:pPr>
              <w:spacing w:before="60" w:after="60" w:line="360" w:lineRule="auto"/>
              <w:rPr>
                <w:rFonts w:ascii="仿宋" w:hAnsi="仿宋" w:eastAsia="仿宋" w:cs="Times New Roman"/>
                <w:b/>
                <w:color w:val="000000"/>
                <w:szCs w:val="24"/>
              </w:rPr>
            </w:pPr>
            <w:r w:rsidRPr="003C684F">
              <w:rPr>
                <w:rFonts w:hint="eastAsia" w:ascii="仿宋" w:hAnsi="仿宋" w:eastAsia="仿宋" w:cs="Times New Roman"/>
                <w:b/>
                <w:color w:val="000000"/>
              </w:rPr>
              <w:t>调整建议</w:t>
            </w:r>
          </w:p>
        </w:tc>
      </w:tr>
      <w:tr w:rsidRPr="003C684F" w:rsidR="009730C1" w14:paraId="0695B3A6" w14:textId="77777777">
        <w:tc>
          <w:tcPr>
            <w:tcW w:w="1826" w:type="pct"/>
            <w:shd w:val="clear" w:color="auto" w:fill="auto"/>
          </w:tcPr>
          <w:p w:rsidRPr="003C684F" w:rsidR="009730C1" w:rsidRDefault="00A315B9" w14:paraId="5D8CAFA8" w14:textId="77777777">
            <w:pPr>
              <w:spacing w:before="60" w:after="60" w:line="360" w:lineRule="auto"/>
              <w:rPr>
                <w:rFonts w:ascii="仿宋" w:hAnsi="仿宋" w:eastAsia="仿宋" w:cs="Times New Roman"/>
                <w:color w:val="000000"/>
                <w:szCs w:val="24"/>
              </w:rPr>
            </w:pPr>
            <w:r w:rsidRPr="003C684F">
              <w:rPr>
                <w:rFonts w:ascii="仿宋" w:hAnsi="仿宋" w:eastAsia="仿宋" w:cs="Times New Roman"/>
                <w:color w:val="000000"/>
                <w:szCs w:val="24"/>
              </w:rPr>
              <w:t>起始剂量</w:t>
            </w:r>
          </w:p>
        </w:tc>
        <w:tc>
          <w:tcPr>
            <w:tcW w:w="1587" w:type="pct"/>
            <w:shd w:val="clear" w:color="auto" w:fill="auto"/>
          </w:tcPr>
          <w:p w:rsidRPr="003C684F" w:rsidR="009730C1" w:rsidRDefault="00A315B9" w14:paraId="793BAB40" w14:textId="562FFA7F">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600mg</w:t>
            </w:r>
            <w:r w:rsidRPr="003C684F" w:rsidR="009827D0">
              <w:rPr>
                <w:rFonts w:hint="eastAsia" w:ascii="仿宋" w:hAnsi="仿宋" w:eastAsia="仿宋" w:cs="Times New Roman"/>
                <w:color w:val="000000"/>
                <w:szCs w:val="24"/>
              </w:rPr>
              <w:t>/次，</w:t>
            </w:r>
            <w:r w:rsidRPr="003C684F">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p w:rsidRPr="003C684F" w:rsidR="009730C1" w:rsidRDefault="00A315B9" w14:paraId="0125B3AF" w14:textId="77777777">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（体重≥50kg）</w:t>
            </w:r>
          </w:p>
        </w:tc>
        <w:tc>
          <w:tcPr>
            <w:tcW w:w="1587" w:type="pct"/>
          </w:tcPr>
          <w:p w:rsidRPr="003C684F" w:rsidR="009730C1" w:rsidRDefault="00A315B9" w14:paraId="1E6AF6C0" w14:textId="0152DD3D">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400mg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p w:rsidRPr="003C684F" w:rsidR="009730C1" w:rsidRDefault="00A315B9" w14:paraId="0888E3BE" w14:textId="77777777">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（体重＜50kg）</w:t>
            </w:r>
          </w:p>
        </w:tc>
      </w:tr>
      <w:tr w:rsidRPr="003C684F" w:rsidR="009730C1" w14:paraId="79AE0626" w14:textId="77777777">
        <w:tc>
          <w:tcPr>
            <w:tcW w:w="1826" w:type="pct"/>
            <w:shd w:val="clear" w:color="auto" w:fill="auto"/>
          </w:tcPr>
          <w:p w:rsidRPr="003C684F" w:rsidR="009730C1" w:rsidRDefault="00A315B9" w14:paraId="3819AB4E" w14:textId="77777777">
            <w:pPr>
              <w:spacing w:before="60" w:after="60" w:line="360" w:lineRule="auto"/>
              <w:rPr>
                <w:rFonts w:ascii="仿宋" w:hAnsi="仿宋" w:eastAsia="仿宋" w:cs="Times New Roman"/>
                <w:color w:val="000000"/>
                <w:szCs w:val="24"/>
              </w:rPr>
            </w:pPr>
            <w:r w:rsidRPr="003C684F">
              <w:rPr>
                <w:rFonts w:ascii="仿宋" w:hAnsi="仿宋" w:eastAsia="仿宋" w:cs="Times New Roman"/>
                <w:color w:val="000000"/>
                <w:szCs w:val="24"/>
              </w:rPr>
              <w:t>剂量水平-1（第1次减量）</w:t>
            </w:r>
          </w:p>
        </w:tc>
        <w:tc>
          <w:tcPr>
            <w:tcW w:w="1587" w:type="pct"/>
            <w:shd w:val="clear" w:color="auto" w:fill="auto"/>
          </w:tcPr>
          <w:p w:rsidRPr="003C684F" w:rsidR="009730C1" w:rsidRDefault="00A315B9" w14:paraId="4BCD8FD0" w14:textId="499BA5DF">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400mg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tc>
        <w:tc>
          <w:tcPr>
            <w:tcW w:w="1587" w:type="pct"/>
          </w:tcPr>
          <w:p w:rsidRPr="003C684F" w:rsidR="009730C1" w:rsidRDefault="00A315B9" w14:paraId="2812F0D6" w14:textId="289B180D">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300mg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tc>
      </w:tr>
      <w:tr w:rsidRPr="003C684F" w:rsidR="009730C1" w14:paraId="52012ACF" w14:textId="77777777">
        <w:tc>
          <w:tcPr>
            <w:tcW w:w="1826" w:type="pct"/>
            <w:shd w:val="clear" w:color="auto" w:fill="auto"/>
          </w:tcPr>
          <w:p w:rsidRPr="003C684F" w:rsidR="009730C1" w:rsidRDefault="00A315B9" w14:paraId="242ED9CA" w14:textId="77777777">
            <w:pPr>
              <w:spacing w:before="60" w:after="60" w:line="360" w:lineRule="auto"/>
              <w:rPr>
                <w:rFonts w:ascii="仿宋" w:hAnsi="仿宋" w:eastAsia="仿宋" w:cs="Times New Roman"/>
                <w:color w:val="000000"/>
                <w:szCs w:val="24"/>
              </w:rPr>
            </w:pPr>
            <w:r w:rsidRPr="003C684F">
              <w:rPr>
                <w:rFonts w:ascii="仿宋" w:hAnsi="仿宋" w:eastAsia="仿宋" w:cs="Times New Roman"/>
                <w:color w:val="000000"/>
                <w:szCs w:val="24"/>
              </w:rPr>
              <w:t>剂量水平-2（第2次减量）</w:t>
            </w:r>
          </w:p>
        </w:tc>
        <w:tc>
          <w:tcPr>
            <w:tcW w:w="1587" w:type="pct"/>
            <w:shd w:val="clear" w:color="auto" w:fill="auto"/>
          </w:tcPr>
          <w:p w:rsidRPr="003C684F" w:rsidR="009730C1" w:rsidRDefault="00A315B9" w14:paraId="3465E922" w14:textId="676E91DA">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300mg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tc>
        <w:tc>
          <w:tcPr>
            <w:tcW w:w="1587" w:type="pct"/>
          </w:tcPr>
          <w:p w:rsidRPr="003C684F" w:rsidR="009730C1" w:rsidRDefault="00A315B9" w14:paraId="44AD9385" w14:textId="4476FAD1">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200mg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tc>
      </w:tr>
      <w:tr w:rsidRPr="003C684F" w:rsidR="009730C1" w14:paraId="45D41AF4" w14:textId="77777777">
        <w:tc>
          <w:tcPr>
            <w:tcW w:w="1826" w:type="pct"/>
            <w:shd w:val="clear" w:color="auto" w:fill="auto"/>
          </w:tcPr>
          <w:p w:rsidRPr="003C684F" w:rsidR="009730C1" w:rsidRDefault="00A315B9" w14:paraId="11D42AB5" w14:textId="77777777">
            <w:pPr>
              <w:spacing w:before="60" w:after="60" w:line="360" w:lineRule="auto"/>
              <w:rPr>
                <w:rFonts w:ascii="仿宋" w:hAnsi="仿宋" w:eastAsia="仿宋" w:cs="Times New Roman"/>
                <w:color w:val="000000"/>
                <w:szCs w:val="24"/>
              </w:rPr>
            </w:pPr>
            <w:r w:rsidRPr="003C684F">
              <w:rPr>
                <w:rFonts w:ascii="仿宋" w:hAnsi="仿宋" w:eastAsia="仿宋" w:cs="Times New Roman"/>
                <w:color w:val="000000"/>
                <w:szCs w:val="24"/>
              </w:rPr>
              <w:t>剂量水平-3（第3次减量）</w:t>
            </w:r>
          </w:p>
        </w:tc>
        <w:tc>
          <w:tcPr>
            <w:tcW w:w="1587" w:type="pct"/>
            <w:shd w:val="clear" w:color="auto" w:fill="auto"/>
          </w:tcPr>
          <w:p w:rsidRPr="003C684F" w:rsidR="009730C1" w:rsidRDefault="00A315B9" w14:paraId="13771DA0" w14:textId="283D86BD">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200mg</w:t>
            </w:r>
            <w:r w:rsidRPr="003C684F" w:rsidR="009827D0">
              <w:rPr>
                <w:rFonts w:hint="eastAsia" w:ascii="仿宋" w:hAnsi="仿宋" w:eastAsia="仿宋" w:cs="Times New Roman"/>
                <w:color w:val="000000"/>
                <w:szCs w:val="24"/>
              </w:rPr>
              <w:t>/次，</w:t>
            </w:r>
            <w:r w:rsidRPr="003C684F" w:rsidR="009827D0">
              <w:rPr>
                <w:rFonts w:ascii="仿宋" w:hAnsi="仿宋" w:eastAsia="仿宋" w:cs="Times New Roman"/>
                <w:color w:val="000000"/>
                <w:szCs w:val="24"/>
              </w:rPr>
              <w:t>每天一次</w:t>
            </w:r>
            <w:r w:rsidRPr="003C684F" w:rsidR="009827D0">
              <w:rPr>
                <w:rFonts w:hint="eastAsia" w:ascii="仿宋" w:hAnsi="仿宋" w:eastAsia="仿宋" w:cs="Times New Roman"/>
                <w:color w:val="000000"/>
                <w:szCs w:val="24"/>
              </w:rPr>
              <w:t>，口服</w:t>
            </w:r>
          </w:p>
        </w:tc>
        <w:tc>
          <w:tcPr>
            <w:tcW w:w="1587" w:type="pct"/>
          </w:tcPr>
          <w:p w:rsidRPr="003C684F" w:rsidR="009730C1" w:rsidRDefault="00A315B9" w14:paraId="5BB83B9F" w14:textId="77777777">
            <w:pPr>
              <w:spacing w:before="60" w:after="60" w:line="360" w:lineRule="auto"/>
              <w:jc w:val="left"/>
              <w:rPr>
                <w:rFonts w:ascii="仿宋" w:hAnsi="仿宋" w:eastAsia="仿宋" w:cs="Times New Roman"/>
                <w:color w:val="000000"/>
                <w:szCs w:val="24"/>
              </w:rPr>
            </w:pPr>
            <w:r w:rsidRPr="003C684F">
              <w:rPr>
                <w:rFonts w:ascii="仿宋" w:hAnsi="仿宋" w:eastAsia="仿宋" w:cs="Times New Roman"/>
                <w:color w:val="000000"/>
                <w:szCs w:val="24"/>
              </w:rPr>
              <w:t>-</w:t>
            </w:r>
          </w:p>
        </w:tc>
      </w:tr>
    </w:tbl>
    <w:p w:rsidRPr="003C684F" w:rsidR="009730C1" w:rsidRDefault="00A315B9" w14:paraId="751AD476" w14:textId="77777777">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Times New Roman"/>
          <w:color w:val="000000"/>
          <w:sz w:val="32"/>
          <w:szCs w:val="32"/>
        </w:rPr>
        <w:t>4.用药期间需注意肝毒性、发热、水肿以及超敏反应的发生。发生率≥10%的不良反应为恶心、水肿、疲乏/乏力、呕吐、食欲减退、低白蛋白血症、贫血、发热、腹泻，以及AST升高和ALT升高。</w:t>
      </w:r>
    </w:p>
    <w:p w:rsidRPr="003C684F" w:rsidR="009730C1" w:rsidRDefault="00A315B9" w14:paraId="21559A32" w14:textId="30EBF9A3">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Times New Roman"/>
          <w:color w:val="000000"/>
          <w:sz w:val="32"/>
          <w:szCs w:val="32"/>
        </w:rPr>
        <w:t>5.应避免和CYP3A4</w:t>
      </w:r>
      <w:r w:rsidRPr="003C684F" w:rsidR="007B436F">
        <w:rPr>
          <w:rFonts w:hint="eastAsia" w:ascii="仿宋" w:hAnsi="仿宋" w:eastAsia="仿宋" w:cs="Times New Roman"/>
          <w:color w:val="000000"/>
          <w:sz w:val="32"/>
          <w:szCs w:val="32"/>
        </w:rPr>
        <w:t>强效</w:t>
      </w:r>
      <w:r w:rsidRPr="003C684F">
        <w:rPr>
          <w:rFonts w:hint="eastAsia" w:ascii="仿宋" w:hAnsi="仿宋" w:eastAsia="仿宋" w:cs="Times New Roman"/>
          <w:color w:val="000000"/>
          <w:sz w:val="32"/>
          <w:szCs w:val="32"/>
        </w:rPr>
        <w:t>诱导剂（如苯妥英、利福平和卡马西平）同时使用，应谨慎或尽可能避免与CYP3A4中效诱导剂（如波生坦、依法韦仑、依曲韦林和莫达非尼）</w:t>
      </w:r>
      <w:r w:rsidRPr="003C684F" w:rsidR="00F92328">
        <w:rPr>
          <w:rFonts w:hint="eastAsia" w:ascii="仿宋" w:hAnsi="仿宋" w:eastAsia="仿宋" w:cs="Times New Roman"/>
          <w:color w:val="000000"/>
          <w:sz w:val="32"/>
          <w:szCs w:val="32"/>
        </w:rPr>
        <w:t>联合使用</w:t>
      </w:r>
      <w:r w:rsidRPr="003C684F">
        <w:rPr>
          <w:rFonts w:hint="eastAsia" w:ascii="仿宋" w:hAnsi="仿宋" w:eastAsia="仿宋" w:cs="Times New Roman"/>
          <w:color w:val="000000"/>
          <w:sz w:val="32"/>
          <w:szCs w:val="32"/>
        </w:rPr>
        <w:t>。对于贯叶连翘（St.John's</w:t>
      </w:r>
      <w:r w:rsidRPr="003C684F" w:rsidR="00D46619">
        <w:rPr>
          <w:rFonts w:ascii="仿宋" w:hAnsi="仿宋" w:eastAsia="仿宋" w:cs="Times New Roman"/>
          <w:color w:val="000000"/>
          <w:sz w:val="32"/>
          <w:szCs w:val="32"/>
        </w:rPr>
        <w:t xml:space="preserve"> </w:t>
      </w:r>
      <w:r w:rsidRPr="003C684F">
        <w:rPr>
          <w:rFonts w:hint="eastAsia" w:ascii="仿宋" w:hAnsi="仿宋" w:eastAsia="仿宋" w:cs="Times New Roman"/>
          <w:color w:val="000000"/>
          <w:sz w:val="32"/>
          <w:szCs w:val="32"/>
        </w:rPr>
        <w:t>Wort）及其提取物应在本品服用前3周禁服。应慎用二甲双胍，并监测由于二甲双胍暴露量增加可能带来的风险。</w:t>
      </w:r>
    </w:p>
    <w:p w:rsidRPr="003C684F" w:rsidR="00BF2748" w:rsidP="00BF2748" w:rsidRDefault="00BF2748" w14:paraId="2BCC8F9B" w14:textId="547B01AD">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Times New Roman"/>
          <w:color w:val="000000"/>
          <w:sz w:val="32"/>
          <w:szCs w:val="32"/>
        </w:rPr>
        <w:t>6.避孕：必须告知育龄女性本品可能伤害胎儿。育龄女性服用本品前需做妊娠检查以排除妊娠。育龄女性需在治疗期间和治疗后1个月内确保有效避孕。男性患者需在治疗期间和治疗后6个月内确保有效避孕。</w:t>
      </w:r>
    </w:p>
    <w:p w:rsidRPr="003C684F" w:rsidR="009730C1" w:rsidRDefault="00A315B9" w14:paraId="6C093638"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二十一、达拉非尼</w:t>
      </w:r>
      <w:r w:rsidRPr="003C684F">
        <w:rPr>
          <w:rFonts w:ascii="仿宋" w:hAnsi="仿宋" w:eastAsia="仿宋" w:cs="仿宋"/>
          <w:sz w:val="32"/>
          <w:szCs w:val="32"/>
        </w:rPr>
        <w:t xml:space="preserve"> Dabrafenib</w:t>
      </w:r>
    </w:p>
    <w:p w:rsidRPr="003C684F" w:rsidR="009730C1" w:rsidRDefault="00A315B9" w14:paraId="3871FC2E"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lastRenderedPageBreak/>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50</w:t>
      </w:r>
      <w:r w:rsidRPr="003C684F">
        <w:rPr>
          <w:rFonts w:hint="eastAsia" w:ascii="仿宋" w:hAnsi="仿宋" w:eastAsia="仿宋" w:cs="仿宋"/>
          <w:sz w:val="32"/>
          <w:szCs w:val="32"/>
        </w:rPr>
        <w:t>mg、</w:t>
      </w:r>
      <w:r w:rsidRPr="003C684F">
        <w:rPr>
          <w:rFonts w:ascii="仿宋" w:hAnsi="仿宋" w:eastAsia="仿宋" w:cs="仿宋"/>
          <w:sz w:val="32"/>
          <w:szCs w:val="32"/>
        </w:rPr>
        <w:t>75mg</w:t>
      </w:r>
    </w:p>
    <w:p w:rsidRPr="003C684F" w:rsidR="009730C1" w:rsidRDefault="00A315B9" w14:paraId="07E431AD"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本品联合曲美替尼适用于治疗B</w:t>
      </w:r>
      <w:r w:rsidRPr="003C684F">
        <w:rPr>
          <w:rFonts w:ascii="仿宋" w:hAnsi="仿宋" w:eastAsia="仿宋" w:cs="仿宋"/>
          <w:bCs/>
          <w:sz w:val="32"/>
          <w:szCs w:val="32"/>
        </w:rPr>
        <w:t>RAF V600</w:t>
      </w:r>
      <w:r w:rsidRPr="003C684F">
        <w:rPr>
          <w:rFonts w:hint="eastAsia" w:ascii="仿宋" w:hAnsi="仿宋" w:eastAsia="仿宋" w:cs="仿宋"/>
          <w:bCs/>
          <w:sz w:val="32"/>
          <w:szCs w:val="32"/>
        </w:rPr>
        <w:t>突变阳性转移性NSCLC患者</w:t>
      </w:r>
      <w:r w:rsidRPr="003C684F">
        <w:rPr>
          <w:rFonts w:hint="eastAsia" w:ascii="仿宋" w:hAnsi="仿宋" w:eastAsia="仿宋" w:cs="仿宋"/>
          <w:sz w:val="32"/>
          <w:szCs w:val="32"/>
        </w:rPr>
        <w:t>。</w:t>
      </w:r>
    </w:p>
    <w:p w:rsidRPr="003C684F" w:rsidR="009730C1" w:rsidRDefault="00A315B9" w14:paraId="58527FD4"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FFEDAE1"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用药前必须明确有经国家药品监督管理局批准的检测方法检测到的B</w:t>
      </w:r>
      <w:r w:rsidRPr="003C684F">
        <w:rPr>
          <w:rFonts w:ascii="仿宋" w:hAnsi="仿宋" w:eastAsia="仿宋" w:cs="仿宋"/>
          <w:sz w:val="32"/>
          <w:szCs w:val="32"/>
        </w:rPr>
        <w:t>RAF V600</w:t>
      </w:r>
      <w:r w:rsidRPr="003C684F">
        <w:rPr>
          <w:rFonts w:hint="eastAsia" w:ascii="仿宋" w:hAnsi="仿宋" w:eastAsia="仿宋" w:cs="仿宋"/>
          <w:sz w:val="32"/>
          <w:szCs w:val="32"/>
        </w:rPr>
        <w:t>突变阳性。</w:t>
      </w:r>
    </w:p>
    <w:p w:rsidRPr="003C684F" w:rsidR="009730C1" w:rsidRDefault="00A315B9" w14:paraId="1F1FD50A" w14:textId="0FCB36BD">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2.推荐剂量为</w:t>
      </w:r>
      <w:r w:rsidRPr="003C684F">
        <w:rPr>
          <w:rFonts w:ascii="仿宋" w:hAnsi="仿宋" w:eastAsia="仿宋" w:cs="Times New Roman"/>
          <w:sz w:val="32"/>
          <w:szCs w:val="32"/>
        </w:rPr>
        <w:t>150</w:t>
      </w:r>
      <w:r w:rsidRPr="003C684F">
        <w:rPr>
          <w:rFonts w:hint="eastAsia" w:ascii="仿宋" w:hAnsi="仿宋" w:eastAsia="仿宋" w:cs="Times New Roman"/>
          <w:sz w:val="32"/>
          <w:szCs w:val="32"/>
        </w:rPr>
        <w:t>mg</w:t>
      </w:r>
      <w:r w:rsidRPr="003C684F" w:rsidR="00860FAD">
        <w:rPr>
          <w:rFonts w:hint="eastAsia" w:ascii="仿宋" w:hAnsi="仿宋" w:eastAsia="仿宋"/>
          <w:color w:val="000000"/>
          <w:sz w:val="32"/>
          <w:szCs w:val="32"/>
        </w:rPr>
        <w:t>/次，每天两次，口服，</w:t>
      </w:r>
      <w:r w:rsidRPr="003C684F">
        <w:rPr>
          <w:rFonts w:hint="eastAsia" w:ascii="仿宋" w:hAnsi="仿宋" w:eastAsia="仿宋" w:cs="Times New Roman"/>
          <w:sz w:val="32"/>
          <w:szCs w:val="32"/>
        </w:rPr>
        <w:t>需联合曲美替尼治疗，直至</w:t>
      </w:r>
      <w:r w:rsidRPr="003C684F" w:rsidR="00B95507">
        <w:rPr>
          <w:rFonts w:hint="eastAsia" w:ascii="仿宋" w:hAnsi="仿宋" w:eastAsia="仿宋" w:cs="Times New Roman"/>
          <w:sz w:val="32"/>
          <w:szCs w:val="32"/>
        </w:rPr>
        <w:t>疾病进展或出现不可耐受的毒性。</w:t>
      </w:r>
      <w:r w:rsidRPr="003C684F">
        <w:rPr>
          <w:rFonts w:hint="eastAsia" w:ascii="仿宋" w:hAnsi="仿宋" w:eastAsia="仿宋" w:cs="Times New Roman"/>
          <w:sz w:val="32"/>
          <w:szCs w:val="32"/>
        </w:rPr>
        <w:t>应在餐前</w:t>
      </w:r>
      <w:r w:rsidRPr="003C684F">
        <w:rPr>
          <w:rFonts w:ascii="仿宋" w:hAnsi="仿宋" w:eastAsia="仿宋" w:cs="Times New Roman"/>
          <w:sz w:val="32"/>
          <w:szCs w:val="32"/>
        </w:rPr>
        <w:t>1</w:t>
      </w:r>
      <w:r w:rsidRPr="003C684F">
        <w:rPr>
          <w:rFonts w:hint="eastAsia" w:ascii="仿宋" w:hAnsi="仿宋" w:eastAsia="仿宋" w:cs="Times New Roman"/>
          <w:sz w:val="32"/>
          <w:szCs w:val="32"/>
        </w:rPr>
        <w:t>小时前或餐后至少2小时服用，给药间隔1</w:t>
      </w:r>
      <w:r w:rsidRPr="003C684F">
        <w:rPr>
          <w:rFonts w:ascii="仿宋" w:hAnsi="仿宋" w:eastAsia="仿宋" w:cs="Times New Roman"/>
          <w:sz w:val="32"/>
          <w:szCs w:val="32"/>
        </w:rPr>
        <w:t>2</w:t>
      </w:r>
      <w:r w:rsidRPr="003C684F">
        <w:rPr>
          <w:rFonts w:hint="eastAsia" w:ascii="仿宋" w:hAnsi="仿宋" w:eastAsia="仿宋" w:cs="Times New Roman"/>
          <w:sz w:val="32"/>
          <w:szCs w:val="32"/>
        </w:rPr>
        <w:t>小时，应在每天相同时间服用本品。</w:t>
      </w:r>
    </w:p>
    <w:p w:rsidRPr="003C684F" w:rsidR="009730C1" w:rsidRDefault="00A315B9" w14:paraId="233C984E"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在给予本品联合应用曲美替尼治疗时，如果出现治疗相关的毒性，则两种治疗应同时进行剂量减少、中断或停止。对于主要与达拉非尼相关的的不良反应如葡萄膜炎、非皮肤恶性肿瘤，则只需对达拉非尼进行剂量调整。</w:t>
      </w:r>
    </w:p>
    <w:p w:rsidRPr="003C684F" w:rsidR="009730C1" w:rsidRDefault="00A315B9" w14:paraId="66ABC099"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针对不良反应，推荐的达拉非尼减量方法为：</w:t>
      </w:r>
    </w:p>
    <w:p w:rsidRPr="003C684F" w:rsidR="009730C1" w:rsidRDefault="00A315B9" w14:paraId="6608ACBC" w14:textId="2958D0EA">
      <w:pPr>
        <w:spacing w:line="360" w:lineRule="auto"/>
        <w:ind w:firstLine="422" w:firstLineChars="200"/>
        <w:jc w:val="center"/>
        <w:rPr>
          <w:rFonts w:ascii="仿宋" w:hAnsi="仿宋" w:eastAsia="仿宋" w:cs="仿宋"/>
          <w:sz w:val="32"/>
          <w:szCs w:val="32"/>
        </w:rPr>
      </w:pPr>
      <w:r w:rsidRPr="003C684F">
        <w:rPr>
          <w:rFonts w:hint="eastAsia" w:ascii="仿宋" w:hAnsi="仿宋" w:eastAsia="仿宋" w:cs="Times New Roman"/>
          <w:b/>
          <w:color w:val="000000"/>
        </w:rPr>
        <w:t>表</w:t>
      </w:r>
      <w:r w:rsidRPr="003C684F" w:rsidR="002172EB">
        <w:rPr>
          <w:rFonts w:hint="eastAsia" w:ascii="仿宋" w:hAnsi="仿宋" w:eastAsia="仿宋" w:cs="Times New Roman"/>
          <w:b/>
          <w:color w:val="000000"/>
        </w:rPr>
        <w:t>5</w:t>
      </w:r>
      <w:r w:rsidRPr="003C684F">
        <w:rPr>
          <w:rFonts w:hint="eastAsia" w:ascii="仿宋" w:hAnsi="仿宋" w:eastAsia="仿宋" w:cs="Times New Roman"/>
          <w:b/>
          <w:color w:val="000000"/>
        </w:rPr>
        <w:t xml:space="preserve">　达拉非尼</w:t>
      </w:r>
      <w:r w:rsidRPr="003C684F">
        <w:rPr>
          <w:rFonts w:ascii="仿宋" w:hAnsi="仿宋" w:eastAsia="仿宋" w:cs="Times New Roman"/>
          <w:b/>
          <w:color w:val="000000"/>
        </w:rPr>
        <w:t>剂量调整建议</w:t>
      </w:r>
    </w:p>
    <w:tbl>
      <w:tblPr>
        <w:tblStyle w:val="ac"/>
        <w:tblW w:w="0" w:type="auto"/>
        <w:tblLook w:val="04A0" w:firstRow="1" w:lastRow="0" w:firstColumn="1" w:lastColumn="0" w:noHBand="0" w:noVBand="1"/>
      </w:tblPr>
      <w:tblGrid>
        <w:gridCol w:w="4261"/>
        <w:gridCol w:w="4261"/>
      </w:tblGrid>
      <w:tr w:rsidRPr="003C684F" w:rsidR="009730C1" w14:paraId="169C45C4" w14:textId="77777777">
        <w:tc>
          <w:tcPr>
            <w:tcW w:w="4261" w:type="dxa"/>
          </w:tcPr>
          <w:p w:rsidRPr="003C684F" w:rsidR="009730C1" w:rsidRDefault="00A315B9" w14:paraId="75D78B80" w14:textId="77777777">
            <w:pPr>
              <w:spacing w:line="360" w:lineRule="auto"/>
              <w:rPr>
                <w:rFonts w:ascii="仿宋" w:hAnsi="仿宋" w:eastAsia="仿宋" w:cs="Times New Roman"/>
                <w:b/>
                <w:color w:val="000000"/>
                <w:szCs w:val="24"/>
              </w:rPr>
            </w:pPr>
            <w:r w:rsidRPr="003C684F">
              <w:rPr>
                <w:rFonts w:hint="eastAsia" w:ascii="仿宋" w:hAnsi="仿宋" w:eastAsia="仿宋" w:cs="Times New Roman"/>
                <w:b/>
                <w:color w:val="000000"/>
                <w:kern w:val="0"/>
                <w:szCs w:val="24"/>
              </w:rPr>
              <w:t>措施</w:t>
            </w:r>
          </w:p>
        </w:tc>
        <w:tc>
          <w:tcPr>
            <w:tcW w:w="4261" w:type="dxa"/>
          </w:tcPr>
          <w:p w:rsidRPr="003C684F" w:rsidR="009730C1" w:rsidRDefault="00A315B9" w14:paraId="690F9A38" w14:textId="77777777">
            <w:pPr>
              <w:spacing w:line="360" w:lineRule="auto"/>
              <w:rPr>
                <w:rFonts w:ascii="仿宋" w:hAnsi="仿宋" w:eastAsia="仿宋" w:cs="Times New Roman"/>
                <w:b/>
                <w:color w:val="000000"/>
                <w:szCs w:val="24"/>
              </w:rPr>
            </w:pPr>
            <w:r w:rsidRPr="003C684F">
              <w:rPr>
                <w:rFonts w:hint="eastAsia" w:ascii="仿宋" w:hAnsi="仿宋" w:eastAsia="仿宋" w:cs="Times New Roman"/>
                <w:b/>
                <w:color w:val="000000"/>
                <w:kern w:val="0"/>
                <w:szCs w:val="24"/>
              </w:rPr>
              <w:t>推荐剂量</w:t>
            </w:r>
          </w:p>
        </w:tc>
      </w:tr>
      <w:tr w:rsidRPr="003C684F" w:rsidR="009730C1" w14:paraId="6D761EEA" w14:textId="77777777">
        <w:tc>
          <w:tcPr>
            <w:tcW w:w="4261" w:type="dxa"/>
          </w:tcPr>
          <w:p w:rsidRPr="003C684F" w:rsidR="009730C1" w:rsidRDefault="00A315B9" w14:paraId="042D2781" w14:textId="77777777">
            <w:pPr>
              <w:spacing w:line="360" w:lineRule="auto"/>
              <w:rPr>
                <w:rFonts w:ascii="仿宋" w:hAnsi="仿宋" w:eastAsia="仿宋" w:cs="Times New Roman"/>
                <w:color w:val="000000"/>
                <w:szCs w:val="24"/>
              </w:rPr>
            </w:pPr>
            <w:r w:rsidRPr="003C684F">
              <w:rPr>
                <w:rFonts w:hint="eastAsia" w:ascii="仿宋" w:hAnsi="仿宋" w:eastAsia="仿宋" w:cs="Times New Roman"/>
                <w:color w:val="000000"/>
                <w:kern w:val="0"/>
                <w:szCs w:val="24"/>
              </w:rPr>
              <w:t>第1次减量</w:t>
            </w:r>
          </w:p>
        </w:tc>
        <w:tc>
          <w:tcPr>
            <w:tcW w:w="4261" w:type="dxa"/>
          </w:tcPr>
          <w:p w:rsidRPr="003C684F" w:rsidR="009730C1" w:rsidRDefault="00A315B9" w14:paraId="53513549" w14:textId="1DDFD403">
            <w:pPr>
              <w:spacing w:line="360" w:lineRule="auto"/>
              <w:rPr>
                <w:rFonts w:ascii="仿宋" w:hAnsi="仿宋" w:eastAsia="仿宋" w:cs="Times New Roman"/>
                <w:color w:val="000000"/>
                <w:szCs w:val="24"/>
              </w:rPr>
            </w:pPr>
            <w:r w:rsidRPr="003C684F">
              <w:rPr>
                <w:rFonts w:ascii="仿宋" w:hAnsi="仿宋" w:eastAsia="仿宋" w:cs="Times New Roman"/>
                <w:color w:val="000000"/>
                <w:kern w:val="0"/>
                <w:szCs w:val="24"/>
              </w:rPr>
              <w:t>100mg</w:t>
            </w:r>
            <w:r w:rsidRPr="003C684F" w:rsidR="009827D0">
              <w:rPr>
                <w:rFonts w:hint="eastAsia" w:ascii="仿宋" w:hAnsi="仿宋" w:eastAsia="仿宋" w:cs="Times New Roman"/>
                <w:color w:val="000000"/>
                <w:kern w:val="0"/>
                <w:szCs w:val="24"/>
              </w:rPr>
              <w:t>/次</w:t>
            </w:r>
            <w:r w:rsidRPr="003C684F">
              <w:rPr>
                <w:rFonts w:ascii="仿宋" w:hAnsi="仿宋" w:eastAsia="仿宋" w:cs="Times New Roman"/>
                <w:color w:val="000000"/>
                <w:kern w:val="0"/>
                <w:szCs w:val="24"/>
              </w:rPr>
              <w:t>，</w:t>
            </w:r>
            <w:r w:rsidRPr="003C684F">
              <w:rPr>
                <w:rFonts w:hint="eastAsia" w:ascii="仿宋" w:hAnsi="仿宋" w:eastAsia="仿宋" w:cs="Times New Roman"/>
                <w:color w:val="000000"/>
                <w:kern w:val="0"/>
                <w:szCs w:val="24"/>
              </w:rPr>
              <w:t>每天两次</w:t>
            </w:r>
            <w:r w:rsidRPr="003C684F" w:rsidR="00860FAD">
              <w:rPr>
                <w:rFonts w:hint="eastAsia" w:ascii="仿宋" w:hAnsi="仿宋" w:eastAsia="仿宋" w:cs="Times New Roman"/>
                <w:color w:val="000000"/>
                <w:kern w:val="0"/>
                <w:szCs w:val="24"/>
              </w:rPr>
              <w:t>，口服</w:t>
            </w:r>
          </w:p>
        </w:tc>
      </w:tr>
      <w:tr w:rsidRPr="003C684F" w:rsidR="009730C1" w14:paraId="3BFFF931" w14:textId="77777777">
        <w:tc>
          <w:tcPr>
            <w:tcW w:w="4261" w:type="dxa"/>
          </w:tcPr>
          <w:p w:rsidRPr="003C684F" w:rsidR="009730C1" w:rsidRDefault="00A315B9" w14:paraId="678CD856" w14:textId="77777777">
            <w:pPr>
              <w:spacing w:line="360" w:lineRule="auto"/>
              <w:rPr>
                <w:rFonts w:ascii="仿宋" w:hAnsi="仿宋" w:eastAsia="仿宋" w:cs="Times New Roman"/>
                <w:color w:val="000000"/>
                <w:szCs w:val="24"/>
              </w:rPr>
            </w:pPr>
            <w:r w:rsidRPr="003C684F">
              <w:rPr>
                <w:rFonts w:hint="eastAsia" w:ascii="仿宋" w:hAnsi="仿宋" w:eastAsia="仿宋" w:cs="Times New Roman"/>
                <w:color w:val="000000"/>
                <w:kern w:val="0"/>
                <w:szCs w:val="24"/>
              </w:rPr>
              <w:t>第2次减量</w:t>
            </w:r>
          </w:p>
        </w:tc>
        <w:tc>
          <w:tcPr>
            <w:tcW w:w="4261" w:type="dxa"/>
          </w:tcPr>
          <w:p w:rsidRPr="003C684F" w:rsidR="009730C1" w:rsidRDefault="00A315B9" w14:paraId="215459A6" w14:textId="42A3B04A">
            <w:pPr>
              <w:spacing w:line="360" w:lineRule="auto"/>
              <w:rPr>
                <w:rFonts w:ascii="仿宋" w:hAnsi="仿宋" w:eastAsia="仿宋" w:cs="Times New Roman"/>
                <w:color w:val="000000"/>
                <w:szCs w:val="24"/>
              </w:rPr>
            </w:pPr>
            <w:r w:rsidRPr="003C684F">
              <w:rPr>
                <w:rFonts w:ascii="仿宋" w:hAnsi="仿宋" w:eastAsia="仿宋" w:cs="Times New Roman"/>
                <w:color w:val="000000"/>
                <w:kern w:val="0"/>
                <w:szCs w:val="24"/>
              </w:rPr>
              <w:t>75mg</w:t>
            </w:r>
            <w:r w:rsidRPr="003C684F" w:rsidR="009827D0">
              <w:rPr>
                <w:rFonts w:hint="eastAsia" w:ascii="仿宋" w:hAnsi="仿宋" w:eastAsia="仿宋" w:cs="Times New Roman"/>
                <w:color w:val="000000"/>
                <w:kern w:val="0"/>
                <w:szCs w:val="24"/>
              </w:rPr>
              <w:t>/次</w:t>
            </w:r>
            <w:r w:rsidRPr="003C684F">
              <w:rPr>
                <w:rFonts w:ascii="仿宋" w:hAnsi="仿宋" w:eastAsia="仿宋" w:cs="Times New Roman"/>
                <w:color w:val="000000"/>
                <w:kern w:val="0"/>
                <w:szCs w:val="24"/>
              </w:rPr>
              <w:t>，</w:t>
            </w:r>
            <w:r w:rsidRPr="003C684F">
              <w:rPr>
                <w:rFonts w:hint="eastAsia" w:ascii="仿宋" w:hAnsi="仿宋" w:eastAsia="仿宋" w:cs="Times New Roman"/>
                <w:color w:val="000000"/>
                <w:kern w:val="0"/>
                <w:szCs w:val="24"/>
              </w:rPr>
              <w:t>每天两次</w:t>
            </w:r>
            <w:r w:rsidRPr="003C684F" w:rsidR="00860FAD">
              <w:rPr>
                <w:rFonts w:hint="eastAsia" w:ascii="仿宋" w:hAnsi="仿宋" w:eastAsia="仿宋" w:cs="Times New Roman"/>
                <w:color w:val="000000"/>
                <w:kern w:val="0"/>
                <w:szCs w:val="24"/>
              </w:rPr>
              <w:t>，口服</w:t>
            </w:r>
          </w:p>
        </w:tc>
      </w:tr>
      <w:tr w:rsidRPr="003C684F" w:rsidR="009730C1" w14:paraId="7F29A3E9" w14:textId="77777777">
        <w:tc>
          <w:tcPr>
            <w:tcW w:w="4261" w:type="dxa"/>
          </w:tcPr>
          <w:p w:rsidRPr="003C684F" w:rsidR="009730C1" w:rsidRDefault="00A315B9" w14:paraId="66079601" w14:textId="77777777">
            <w:pPr>
              <w:spacing w:line="360" w:lineRule="auto"/>
              <w:rPr>
                <w:rFonts w:ascii="仿宋" w:hAnsi="仿宋" w:eastAsia="仿宋" w:cs="Times New Roman"/>
                <w:color w:val="000000"/>
                <w:szCs w:val="24"/>
              </w:rPr>
            </w:pPr>
            <w:r w:rsidRPr="003C684F">
              <w:rPr>
                <w:rFonts w:hint="eastAsia" w:ascii="仿宋" w:hAnsi="仿宋" w:eastAsia="仿宋" w:cs="Times New Roman"/>
                <w:color w:val="000000"/>
                <w:kern w:val="0"/>
                <w:szCs w:val="24"/>
              </w:rPr>
              <w:t>第3次减量</w:t>
            </w:r>
          </w:p>
        </w:tc>
        <w:tc>
          <w:tcPr>
            <w:tcW w:w="4261" w:type="dxa"/>
          </w:tcPr>
          <w:p w:rsidRPr="003C684F" w:rsidR="009730C1" w:rsidRDefault="00A315B9" w14:paraId="4C128FF6" w14:textId="79A2A563">
            <w:pPr>
              <w:spacing w:line="360" w:lineRule="auto"/>
              <w:rPr>
                <w:rFonts w:ascii="仿宋" w:hAnsi="仿宋" w:eastAsia="仿宋" w:cs="Times New Roman"/>
                <w:color w:val="000000"/>
                <w:szCs w:val="24"/>
              </w:rPr>
            </w:pPr>
            <w:r w:rsidRPr="003C684F">
              <w:rPr>
                <w:rFonts w:ascii="仿宋" w:hAnsi="仿宋" w:eastAsia="仿宋" w:cs="Times New Roman"/>
                <w:color w:val="000000"/>
                <w:kern w:val="0"/>
                <w:szCs w:val="24"/>
              </w:rPr>
              <w:t>50mg</w:t>
            </w:r>
            <w:r w:rsidRPr="003C684F" w:rsidR="009827D0">
              <w:rPr>
                <w:rFonts w:hint="eastAsia" w:ascii="仿宋" w:hAnsi="仿宋" w:eastAsia="仿宋" w:cs="Times New Roman"/>
                <w:color w:val="000000"/>
                <w:kern w:val="0"/>
                <w:szCs w:val="24"/>
              </w:rPr>
              <w:t>/次</w:t>
            </w:r>
            <w:r w:rsidRPr="003C684F">
              <w:rPr>
                <w:rFonts w:ascii="仿宋" w:hAnsi="仿宋" w:eastAsia="仿宋" w:cs="Times New Roman"/>
                <w:color w:val="000000"/>
                <w:kern w:val="0"/>
                <w:szCs w:val="24"/>
              </w:rPr>
              <w:t>，</w:t>
            </w:r>
            <w:r w:rsidRPr="003C684F">
              <w:rPr>
                <w:rFonts w:hint="eastAsia" w:ascii="仿宋" w:hAnsi="仿宋" w:eastAsia="仿宋" w:cs="Times New Roman"/>
                <w:color w:val="000000"/>
                <w:kern w:val="0"/>
                <w:szCs w:val="24"/>
              </w:rPr>
              <w:t>每天两次</w:t>
            </w:r>
            <w:r w:rsidRPr="003C684F" w:rsidR="00860FAD">
              <w:rPr>
                <w:rFonts w:hint="eastAsia" w:ascii="仿宋" w:hAnsi="仿宋" w:eastAsia="仿宋" w:cs="Times New Roman"/>
                <w:color w:val="000000"/>
                <w:kern w:val="0"/>
                <w:szCs w:val="24"/>
              </w:rPr>
              <w:t>，口服</w:t>
            </w:r>
          </w:p>
        </w:tc>
      </w:tr>
      <w:tr w:rsidRPr="003C684F" w:rsidR="009730C1" w14:paraId="0FA1656C" w14:textId="77777777">
        <w:tc>
          <w:tcPr>
            <w:tcW w:w="4261" w:type="dxa"/>
          </w:tcPr>
          <w:p w:rsidRPr="003C684F" w:rsidR="009730C1" w:rsidRDefault="00A315B9" w14:paraId="7B820FC9" w14:textId="77777777">
            <w:pPr>
              <w:spacing w:line="360" w:lineRule="auto"/>
              <w:rPr>
                <w:rFonts w:ascii="仿宋" w:hAnsi="仿宋" w:eastAsia="仿宋" w:cs="Times New Roman"/>
                <w:color w:val="000000"/>
                <w:szCs w:val="24"/>
              </w:rPr>
            </w:pPr>
            <w:r w:rsidRPr="003C684F">
              <w:rPr>
                <w:rFonts w:hint="eastAsia" w:ascii="仿宋" w:hAnsi="仿宋" w:eastAsia="仿宋" w:cs="Times New Roman"/>
                <w:color w:val="000000"/>
                <w:kern w:val="0"/>
                <w:szCs w:val="24"/>
              </w:rPr>
              <w:t>后续剂量调整</w:t>
            </w:r>
          </w:p>
        </w:tc>
        <w:tc>
          <w:tcPr>
            <w:tcW w:w="4261" w:type="dxa"/>
          </w:tcPr>
          <w:p w:rsidRPr="003C684F" w:rsidR="009730C1" w:rsidP="000B641A" w:rsidRDefault="00A315B9" w14:paraId="47A492D2" w14:textId="344FC53E">
            <w:pPr>
              <w:spacing w:line="360" w:lineRule="auto"/>
              <w:rPr>
                <w:rFonts w:ascii="仿宋" w:hAnsi="仿宋" w:eastAsia="仿宋" w:cs="Times New Roman"/>
                <w:color w:val="000000"/>
                <w:szCs w:val="24"/>
              </w:rPr>
            </w:pPr>
            <w:r w:rsidRPr="003C684F">
              <w:rPr>
                <w:rFonts w:hint="eastAsia" w:ascii="仿宋" w:hAnsi="仿宋" w:eastAsia="仿宋" w:cs="Times New Roman"/>
                <w:color w:val="000000"/>
                <w:kern w:val="0"/>
                <w:szCs w:val="24"/>
              </w:rPr>
              <w:t>如果本品</w:t>
            </w:r>
            <w:r w:rsidRPr="003C684F">
              <w:rPr>
                <w:rFonts w:ascii="仿宋" w:hAnsi="仿宋" w:eastAsia="仿宋" w:cs="Times New Roman"/>
                <w:color w:val="000000"/>
                <w:kern w:val="0"/>
                <w:szCs w:val="24"/>
              </w:rPr>
              <w:t>50mg</w:t>
            </w:r>
            <w:r w:rsidRPr="003C684F" w:rsidR="009827D0">
              <w:rPr>
                <w:rFonts w:hint="eastAsia" w:ascii="仿宋" w:hAnsi="仿宋" w:eastAsia="仿宋" w:cs="Times New Roman"/>
                <w:color w:val="000000"/>
                <w:kern w:val="0"/>
                <w:szCs w:val="24"/>
              </w:rPr>
              <w:t>/次</w:t>
            </w:r>
            <w:r w:rsidRPr="003C684F" w:rsidR="00BD1181">
              <w:rPr>
                <w:rFonts w:hint="eastAsia" w:ascii="仿宋" w:hAnsi="仿宋" w:eastAsia="仿宋" w:cs="Times New Roman"/>
                <w:color w:val="000000"/>
                <w:kern w:val="0"/>
                <w:szCs w:val="24"/>
              </w:rPr>
              <w:t>，</w:t>
            </w:r>
            <w:r w:rsidRPr="003C684F">
              <w:rPr>
                <w:rFonts w:ascii="仿宋" w:hAnsi="仿宋" w:eastAsia="仿宋" w:cs="Times New Roman"/>
                <w:color w:val="000000"/>
                <w:kern w:val="0"/>
                <w:szCs w:val="24"/>
              </w:rPr>
              <w:t>每天两次</w:t>
            </w:r>
            <w:r w:rsidRPr="003C684F" w:rsidR="00484EB1">
              <w:rPr>
                <w:rFonts w:hint="eastAsia" w:ascii="仿宋" w:hAnsi="仿宋" w:eastAsia="仿宋" w:cs="Times New Roman"/>
                <w:color w:val="000000"/>
                <w:kern w:val="0"/>
                <w:szCs w:val="24"/>
              </w:rPr>
              <w:t>，</w:t>
            </w:r>
            <w:r w:rsidRPr="003C684F" w:rsidR="0054190C">
              <w:rPr>
                <w:rFonts w:hint="eastAsia" w:ascii="仿宋" w:hAnsi="仿宋" w:eastAsia="仿宋" w:cs="Times New Roman"/>
                <w:color w:val="000000"/>
                <w:kern w:val="0"/>
                <w:szCs w:val="24"/>
              </w:rPr>
              <w:t>口服</w:t>
            </w:r>
            <w:r w:rsidRPr="003C684F" w:rsidR="00484EB1">
              <w:rPr>
                <w:rFonts w:hint="eastAsia" w:ascii="仿宋" w:hAnsi="仿宋" w:eastAsia="仿宋" w:cs="Times New Roman"/>
                <w:color w:val="000000"/>
                <w:kern w:val="0"/>
                <w:szCs w:val="24"/>
              </w:rPr>
              <w:t>，</w:t>
            </w:r>
            <w:r w:rsidRPr="003C684F">
              <w:rPr>
                <w:rFonts w:ascii="仿宋" w:hAnsi="仿宋" w:eastAsia="仿宋" w:cs="Times New Roman"/>
                <w:color w:val="000000"/>
                <w:kern w:val="0"/>
                <w:szCs w:val="24"/>
              </w:rPr>
              <w:t>仍不能耐受，</w:t>
            </w:r>
            <w:r w:rsidRPr="003C684F" w:rsidR="00373DC1">
              <w:rPr>
                <w:rFonts w:hint="eastAsia" w:ascii="仿宋" w:hAnsi="仿宋" w:eastAsia="仿宋" w:cs="Times New Roman"/>
                <w:color w:val="000000"/>
                <w:kern w:val="0"/>
                <w:szCs w:val="24"/>
              </w:rPr>
              <w:t>应永久停用</w:t>
            </w:r>
          </w:p>
        </w:tc>
      </w:tr>
    </w:tbl>
    <w:p w:rsidRPr="003C684F" w:rsidR="009730C1" w:rsidRDefault="00A315B9" w14:paraId="3DBC9FA0" w14:textId="2A47AFA9">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Times New Roman"/>
          <w:color w:val="000000"/>
          <w:sz w:val="32"/>
          <w:szCs w:val="32"/>
        </w:rPr>
        <w:t>5</w:t>
      </w:r>
      <w:r w:rsidRPr="003C684F">
        <w:rPr>
          <w:rFonts w:hint="eastAsia" w:ascii="仿宋" w:hAnsi="仿宋" w:eastAsia="仿宋" w:cs="Times New Roman"/>
          <w:color w:val="000000"/>
          <w:sz w:val="32"/>
          <w:szCs w:val="32"/>
        </w:rPr>
        <w:t>.轻度肝功能损伤患者</w:t>
      </w:r>
      <w:r w:rsidRPr="003C684F" w:rsidR="00BD154E">
        <w:rPr>
          <w:rFonts w:hint="eastAsia" w:ascii="仿宋" w:hAnsi="仿宋" w:eastAsia="仿宋" w:cs="Times New Roman"/>
          <w:color w:val="000000"/>
          <w:sz w:val="32"/>
          <w:szCs w:val="32"/>
        </w:rPr>
        <w:t>无需</w:t>
      </w:r>
      <w:r w:rsidRPr="003C684F">
        <w:rPr>
          <w:rFonts w:hint="eastAsia" w:ascii="仿宋" w:hAnsi="仿宋" w:eastAsia="仿宋" w:cs="Times New Roman"/>
          <w:color w:val="000000"/>
          <w:sz w:val="32"/>
          <w:szCs w:val="32"/>
        </w:rPr>
        <w:t>进行剂量调整，对于中重度肝功能损伤患者应谨慎使用。轻中度肾功能损伤患者</w:t>
      </w:r>
      <w:r w:rsidRPr="003C684F" w:rsidR="00BD154E">
        <w:rPr>
          <w:rFonts w:hint="eastAsia" w:ascii="仿宋" w:hAnsi="仿宋" w:eastAsia="仿宋" w:cs="Times New Roman"/>
          <w:color w:val="000000"/>
          <w:sz w:val="32"/>
          <w:szCs w:val="32"/>
        </w:rPr>
        <w:t>无需</w:t>
      </w:r>
      <w:r w:rsidRPr="003C684F">
        <w:rPr>
          <w:rFonts w:hint="eastAsia" w:ascii="仿宋" w:hAnsi="仿宋" w:eastAsia="仿宋" w:cs="Times New Roman"/>
          <w:color w:val="000000"/>
          <w:sz w:val="32"/>
          <w:szCs w:val="32"/>
        </w:rPr>
        <w:t>进</w:t>
      </w:r>
      <w:r w:rsidRPr="003C684F">
        <w:rPr>
          <w:rFonts w:hint="eastAsia" w:ascii="仿宋" w:hAnsi="仿宋" w:eastAsia="仿宋" w:cs="Times New Roman"/>
          <w:color w:val="000000"/>
          <w:sz w:val="32"/>
          <w:szCs w:val="32"/>
        </w:rPr>
        <w:lastRenderedPageBreak/>
        <w:t>行剂量调整，对于重度肾功能损伤患者应谨慎使用。老年人</w:t>
      </w:r>
      <w:r w:rsidRPr="003C684F" w:rsidR="00BD154E">
        <w:rPr>
          <w:rFonts w:hint="eastAsia" w:ascii="仿宋" w:hAnsi="仿宋" w:eastAsia="仿宋" w:cs="Times New Roman"/>
          <w:color w:val="000000"/>
          <w:sz w:val="32"/>
          <w:szCs w:val="32"/>
        </w:rPr>
        <w:t>无需</w:t>
      </w:r>
      <w:r w:rsidRPr="003C684F">
        <w:rPr>
          <w:rFonts w:hint="eastAsia" w:ascii="仿宋" w:hAnsi="仿宋" w:eastAsia="仿宋" w:cs="Times New Roman"/>
          <w:color w:val="000000"/>
          <w:sz w:val="32"/>
          <w:szCs w:val="32"/>
        </w:rPr>
        <w:t>进行初始剂量调整。</w:t>
      </w:r>
    </w:p>
    <w:p w:rsidRPr="003C684F" w:rsidR="009730C1" w:rsidRDefault="00A315B9" w14:paraId="08448A3B"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用药期间应注意发热、疲乏、恶心、呕吐、腹泻、皮肤干燥、食欲下降、水肿、</w:t>
      </w:r>
      <w:r w:rsidRPr="003C684F">
        <w:rPr>
          <w:rFonts w:hint="eastAsia" w:ascii="仿宋" w:hAnsi="仿宋" w:eastAsia="仿宋" w:cs="Times New Roman"/>
          <w:sz w:val="32"/>
          <w:szCs w:val="32"/>
        </w:rPr>
        <w:t>皮疹、寒颤、出血、咳嗽和呼吸困难。</w:t>
      </w:r>
    </w:p>
    <w:p w:rsidRPr="003C684F" w:rsidR="009730C1" w:rsidRDefault="00A315B9" w14:paraId="4877A963" w14:textId="77777777">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仿宋"/>
          <w:sz w:val="32"/>
          <w:szCs w:val="32"/>
        </w:rPr>
        <w:t>7.</w:t>
      </w:r>
      <w:r w:rsidRPr="003C684F">
        <w:rPr>
          <w:rFonts w:hint="eastAsia" w:ascii="仿宋" w:hAnsi="仿宋" w:eastAsia="仿宋" w:cs="Times New Roman"/>
          <w:color w:val="000000"/>
          <w:sz w:val="32"/>
          <w:szCs w:val="32"/>
        </w:rPr>
        <w:t>应避免和CYP3A4</w:t>
      </w:r>
      <w:r w:rsidRPr="003C684F">
        <w:rPr>
          <w:rFonts w:ascii="仿宋" w:hAnsi="仿宋" w:eastAsia="仿宋" w:cs="Times New Roman"/>
          <w:color w:val="000000"/>
          <w:sz w:val="32"/>
          <w:szCs w:val="32"/>
        </w:rPr>
        <w:t>/CYP2C8</w:t>
      </w:r>
      <w:r w:rsidRPr="003C684F">
        <w:rPr>
          <w:rFonts w:hint="eastAsia" w:ascii="仿宋" w:hAnsi="仿宋" w:eastAsia="仿宋" w:cs="Times New Roman"/>
          <w:color w:val="000000"/>
          <w:sz w:val="32"/>
          <w:szCs w:val="32"/>
        </w:rPr>
        <w:t>强效诱导剂（如苯妥英、利福平和卡马西平、苯巴比妥或圣约翰草）同时使用。</w:t>
      </w:r>
    </w:p>
    <w:p w:rsidRPr="003C684F" w:rsidR="009730C1" w:rsidRDefault="00A315B9" w14:paraId="31AA1E65" w14:textId="66179995">
      <w:pPr>
        <w:spacing w:line="360" w:lineRule="auto"/>
        <w:ind w:firstLine="643" w:firstLineChars="200"/>
        <w:rPr>
          <w:rFonts w:ascii="仿宋" w:hAnsi="仿宋" w:eastAsia="仿宋" w:cs="Times New Roman"/>
          <w:sz w:val="32"/>
          <w:szCs w:val="32"/>
        </w:rPr>
      </w:pPr>
      <w:r w:rsidRPr="003C684F">
        <w:rPr>
          <w:rFonts w:hint="eastAsia" w:ascii="仿宋" w:hAnsi="仿宋" w:eastAsia="仿宋"/>
          <w:b/>
          <w:color w:val="000000"/>
          <w:sz w:val="32"/>
          <w:szCs w:val="32"/>
          <w:vertAlign w:val="superscript"/>
        </w:rPr>
        <w:t>※</w:t>
      </w:r>
      <w:r w:rsidRPr="003C684F">
        <w:rPr>
          <w:rFonts w:ascii="仿宋" w:hAnsi="仿宋" w:eastAsia="仿宋" w:cs="Times New Roman"/>
          <w:sz w:val="32"/>
          <w:szCs w:val="32"/>
        </w:rPr>
        <w:t>8.FDA批准</w:t>
      </w:r>
      <w:r w:rsidRPr="003C684F">
        <w:rPr>
          <w:rFonts w:hint="eastAsia" w:ascii="仿宋" w:hAnsi="仿宋" w:eastAsia="仿宋" w:cs="仿宋"/>
          <w:sz w:val="32"/>
          <w:szCs w:val="32"/>
        </w:rPr>
        <w:t>达拉非尼</w:t>
      </w:r>
      <w:r w:rsidRPr="003C684F">
        <w:rPr>
          <w:rFonts w:hint="eastAsia" w:ascii="仿宋" w:hAnsi="仿宋" w:eastAsia="仿宋" w:cs="Times New Roman"/>
          <w:sz w:val="32"/>
          <w:szCs w:val="32"/>
        </w:rPr>
        <w:t>联合曲美替尼治疗BRAF V600E</w:t>
      </w:r>
      <w:r w:rsidRPr="003C684F" w:rsidR="000D2448">
        <w:rPr>
          <w:rFonts w:hint="eastAsia" w:ascii="仿宋" w:hAnsi="仿宋" w:eastAsia="仿宋" w:cs="Times New Roman"/>
          <w:sz w:val="32"/>
          <w:szCs w:val="32"/>
        </w:rPr>
        <w:t>/K</w:t>
      </w:r>
      <w:r w:rsidRPr="003C684F">
        <w:rPr>
          <w:rFonts w:hint="eastAsia" w:ascii="仿宋" w:hAnsi="仿宋" w:eastAsia="仿宋" w:cs="Times New Roman"/>
          <w:sz w:val="32"/>
          <w:szCs w:val="32"/>
        </w:rPr>
        <w:t>突变的局部晚期或转移性甲状腺未分化癌治疗；</w:t>
      </w:r>
      <w:r w:rsidRPr="003C684F">
        <w:rPr>
          <w:rFonts w:ascii="仿宋" w:hAnsi="仿宋" w:eastAsia="仿宋" w:cs="Times New Roman"/>
          <w:sz w:val="32"/>
          <w:szCs w:val="32"/>
        </w:rPr>
        <w:t>FDA还批准</w:t>
      </w:r>
      <w:r w:rsidRPr="003C684F">
        <w:rPr>
          <w:rFonts w:hint="eastAsia" w:ascii="仿宋" w:hAnsi="仿宋" w:eastAsia="仿宋" w:cs="仿宋"/>
          <w:sz w:val="32"/>
          <w:szCs w:val="32"/>
        </w:rPr>
        <w:t>达拉非尼</w:t>
      </w:r>
      <w:r w:rsidRPr="003C684F">
        <w:rPr>
          <w:rFonts w:hint="eastAsia" w:ascii="仿宋" w:hAnsi="仿宋" w:eastAsia="仿宋" w:cs="Times New Roman"/>
          <w:sz w:val="32"/>
          <w:szCs w:val="32"/>
        </w:rPr>
        <w:t>联合曲美替尼治疗在先前治疗后进展且没有令人满意替代治疗方案的6岁及以上不可切除或转移性实体瘤BRAF V600E突变的成人和儿童患者。目前在中国未获批这些适应证，可在与患者充分沟通的情况下使用。</w:t>
      </w:r>
    </w:p>
    <w:p w:rsidRPr="003C684F" w:rsidR="009730C1" w:rsidRDefault="00A315B9" w14:paraId="665CE3F4"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 xml:space="preserve">二十二、曲美替尼 </w:t>
      </w:r>
      <w:r w:rsidRPr="003C684F">
        <w:rPr>
          <w:rFonts w:ascii="黑体" w:hAnsi="黑体" w:eastAsia="黑体" w:cs="黑体"/>
          <w:sz w:val="32"/>
          <w:szCs w:val="32"/>
        </w:rPr>
        <w:t>Trametinib</w:t>
      </w:r>
    </w:p>
    <w:p w:rsidRPr="003C684F" w:rsidR="009730C1" w:rsidRDefault="00A315B9" w14:paraId="14A1EAA0" w14:textId="482583D4">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sidR="003C7A5B">
        <w:rPr>
          <w:rFonts w:hint="eastAsia" w:ascii="仿宋" w:hAnsi="仿宋" w:eastAsia="仿宋" w:cs="仿宋"/>
          <w:sz w:val="32"/>
          <w:szCs w:val="32"/>
        </w:rPr>
        <w:t>0.5mg、1mg、2mg</w:t>
      </w:r>
    </w:p>
    <w:p w:rsidRPr="003C684F" w:rsidR="009730C1" w:rsidRDefault="00A315B9" w14:paraId="22B2AD94"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本品联合达拉非尼适用于治疗BRAF V600突变阳性转移性NSCLC患者</w:t>
      </w:r>
      <w:r w:rsidRPr="003C684F">
        <w:rPr>
          <w:rFonts w:hint="eastAsia" w:ascii="仿宋" w:hAnsi="仿宋" w:eastAsia="仿宋" w:cs="仿宋"/>
          <w:sz w:val="32"/>
          <w:szCs w:val="32"/>
        </w:rPr>
        <w:t>。</w:t>
      </w:r>
    </w:p>
    <w:p w:rsidRPr="003C684F" w:rsidR="009730C1" w:rsidRDefault="00A315B9" w14:paraId="3BB9DC1C"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43DF3BD"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用药前必须明确有经国家药品监督管理局批准的检测方法检测到的BRAF V600突变阳性。</w:t>
      </w:r>
    </w:p>
    <w:p w:rsidRPr="003C684F" w:rsidR="009730C1" w:rsidRDefault="00A315B9" w14:paraId="37BC8422" w14:textId="4A6200B1">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2.推荐剂量为</w:t>
      </w:r>
      <w:r w:rsidRPr="003C684F">
        <w:rPr>
          <w:rFonts w:ascii="仿宋" w:hAnsi="仿宋" w:eastAsia="仿宋" w:cs="Times New Roman"/>
          <w:sz w:val="32"/>
          <w:szCs w:val="32"/>
        </w:rPr>
        <w:t>2</w:t>
      </w:r>
      <w:r w:rsidRPr="003C684F">
        <w:rPr>
          <w:rFonts w:hint="eastAsia" w:ascii="仿宋" w:hAnsi="仿宋" w:eastAsia="仿宋" w:cs="Times New Roman"/>
          <w:sz w:val="32"/>
          <w:szCs w:val="32"/>
        </w:rPr>
        <w:t>mg</w:t>
      </w:r>
      <w:r w:rsidRPr="003C684F" w:rsidR="00A92DE1">
        <w:rPr>
          <w:rFonts w:hint="eastAsia" w:ascii="仿宋" w:hAnsi="仿宋" w:eastAsia="仿宋" w:cs="Times New Roman"/>
          <w:sz w:val="32"/>
          <w:szCs w:val="32"/>
        </w:rPr>
        <w:t>/次，每天一次，口服</w:t>
      </w:r>
      <w:r w:rsidRPr="003C684F">
        <w:rPr>
          <w:rFonts w:hint="eastAsia" w:ascii="仿宋" w:hAnsi="仿宋" w:eastAsia="仿宋" w:cs="Times New Roman"/>
          <w:sz w:val="32"/>
          <w:szCs w:val="32"/>
        </w:rPr>
        <w:t>，需联合</w:t>
      </w:r>
      <w:r w:rsidRPr="003C684F">
        <w:rPr>
          <w:rFonts w:hint="eastAsia" w:ascii="仿宋" w:hAnsi="仿宋" w:eastAsia="仿宋" w:cs="仿宋"/>
          <w:bCs/>
          <w:sz w:val="32"/>
          <w:szCs w:val="32"/>
        </w:rPr>
        <w:t>达拉非尼</w:t>
      </w:r>
      <w:r w:rsidRPr="003C684F">
        <w:rPr>
          <w:rFonts w:hint="eastAsia" w:ascii="仿宋" w:hAnsi="仿宋" w:eastAsia="仿宋" w:cs="Times New Roman"/>
          <w:sz w:val="32"/>
          <w:szCs w:val="32"/>
        </w:rPr>
        <w:t>治疗，直至</w:t>
      </w:r>
      <w:r w:rsidRPr="003C684F" w:rsidR="00B95507">
        <w:rPr>
          <w:rFonts w:hint="eastAsia" w:ascii="仿宋" w:hAnsi="仿宋" w:eastAsia="仿宋" w:cs="Times New Roman"/>
          <w:sz w:val="32"/>
          <w:szCs w:val="32"/>
        </w:rPr>
        <w:t>疾病进展或出现不可耐受的毒性。</w:t>
      </w:r>
    </w:p>
    <w:p w:rsidRPr="003C684F" w:rsidR="009730C1" w:rsidRDefault="00A315B9" w14:paraId="5625EA76" w14:textId="63731EB3">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lastRenderedPageBreak/>
        <w:t>3</w:t>
      </w:r>
      <w:r w:rsidRPr="003C684F">
        <w:rPr>
          <w:rFonts w:ascii="仿宋" w:hAnsi="仿宋" w:eastAsia="仿宋" w:cs="Times New Roman"/>
          <w:sz w:val="32"/>
          <w:szCs w:val="32"/>
        </w:rPr>
        <w:t>.</w:t>
      </w:r>
      <w:r w:rsidRPr="003C684F">
        <w:rPr>
          <w:rFonts w:hint="eastAsia" w:ascii="仿宋" w:hAnsi="仿宋" w:eastAsia="仿宋" w:cs="Times New Roman"/>
          <w:sz w:val="32"/>
          <w:szCs w:val="32"/>
        </w:rPr>
        <w:t>应在餐前</w:t>
      </w:r>
      <w:r w:rsidRPr="003C684F">
        <w:rPr>
          <w:rFonts w:ascii="仿宋" w:hAnsi="仿宋" w:eastAsia="仿宋" w:cs="Times New Roman"/>
          <w:sz w:val="32"/>
          <w:szCs w:val="32"/>
        </w:rPr>
        <w:t>1</w:t>
      </w:r>
      <w:r w:rsidRPr="003C684F">
        <w:rPr>
          <w:rFonts w:hint="eastAsia" w:ascii="仿宋" w:hAnsi="仿宋" w:eastAsia="仿宋" w:cs="Times New Roman"/>
          <w:sz w:val="32"/>
          <w:szCs w:val="32"/>
        </w:rPr>
        <w:t>小时前或餐后至少2小时服用，每天相同时间服用本品。</w:t>
      </w:r>
    </w:p>
    <w:p w:rsidRPr="003C684F" w:rsidR="009730C1" w:rsidRDefault="00A315B9" w14:paraId="07A0901B" w14:textId="54F51A40">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本品联合应用</w:t>
      </w:r>
      <w:r w:rsidRPr="003C684F">
        <w:rPr>
          <w:rFonts w:hint="eastAsia" w:ascii="仿宋" w:hAnsi="仿宋" w:eastAsia="仿宋" w:cs="仿宋"/>
          <w:bCs/>
          <w:sz w:val="32"/>
          <w:szCs w:val="32"/>
        </w:rPr>
        <w:t>达拉非尼</w:t>
      </w:r>
      <w:r w:rsidRPr="003C684F">
        <w:rPr>
          <w:rFonts w:hint="eastAsia" w:ascii="仿宋" w:hAnsi="仿宋" w:eastAsia="仿宋" w:cs="仿宋"/>
          <w:sz w:val="32"/>
          <w:szCs w:val="32"/>
        </w:rPr>
        <w:t>治疗时，如果出现治疗相关的毒性，则两种</w:t>
      </w:r>
      <w:r w:rsidRPr="003C684F" w:rsidR="00D46619">
        <w:rPr>
          <w:rFonts w:hint="eastAsia" w:ascii="仿宋" w:hAnsi="仿宋" w:eastAsia="仿宋" w:cs="仿宋"/>
          <w:sz w:val="32"/>
          <w:szCs w:val="32"/>
        </w:rPr>
        <w:t>药品</w:t>
      </w:r>
      <w:r w:rsidRPr="003C684F">
        <w:rPr>
          <w:rFonts w:hint="eastAsia" w:ascii="仿宋" w:hAnsi="仿宋" w:eastAsia="仿宋" w:cs="仿宋"/>
          <w:sz w:val="32"/>
          <w:szCs w:val="32"/>
        </w:rPr>
        <w:t>应同时进行剂量减少、中断或停止。对于主要与曲美替尼相关的的不良反应如视网膜静脉闭塞（R</w:t>
      </w:r>
      <w:r w:rsidRPr="003C684F">
        <w:rPr>
          <w:rFonts w:ascii="仿宋" w:hAnsi="仿宋" w:eastAsia="仿宋" w:cs="仿宋"/>
          <w:sz w:val="32"/>
          <w:szCs w:val="32"/>
        </w:rPr>
        <w:t>VO</w:t>
      </w:r>
      <w:r w:rsidRPr="003C684F">
        <w:rPr>
          <w:rFonts w:hint="eastAsia" w:ascii="仿宋" w:hAnsi="仿宋" w:eastAsia="仿宋" w:cs="仿宋"/>
          <w:sz w:val="32"/>
          <w:szCs w:val="32"/>
        </w:rPr>
        <w:t>）、视网膜色素上皮脱离、间质性肺炎/肺部炎症和单纯性静脉血栓栓塞，则只需对曲美替尼进行剂量调整。</w:t>
      </w:r>
    </w:p>
    <w:p w:rsidRPr="003C684F" w:rsidR="009730C1" w:rsidRDefault="00A315B9" w14:paraId="35C50A1D"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针对不良反应，推荐的曲美替尼减量方法为：</w:t>
      </w:r>
    </w:p>
    <w:p w:rsidRPr="003C684F" w:rsidR="009730C1" w:rsidRDefault="00A315B9" w14:paraId="6321DE1D" w14:textId="4F3558AB">
      <w:pPr>
        <w:spacing w:line="360" w:lineRule="auto"/>
        <w:ind w:firstLine="422" w:firstLineChars="200"/>
        <w:jc w:val="center"/>
        <w:rPr>
          <w:rFonts w:ascii="仿宋" w:hAnsi="仿宋" w:eastAsia="仿宋" w:cs="仿宋"/>
          <w:sz w:val="32"/>
          <w:szCs w:val="32"/>
        </w:rPr>
      </w:pPr>
      <w:r w:rsidRPr="003C684F">
        <w:rPr>
          <w:rFonts w:hint="eastAsia" w:ascii="仿宋" w:hAnsi="仿宋" w:eastAsia="仿宋" w:cs="Times New Roman"/>
          <w:b/>
          <w:color w:val="000000"/>
        </w:rPr>
        <w:t>表</w:t>
      </w:r>
      <w:r w:rsidRPr="003C684F" w:rsidR="002172EB">
        <w:rPr>
          <w:rFonts w:hint="eastAsia" w:ascii="仿宋" w:hAnsi="仿宋" w:eastAsia="仿宋" w:cs="Times New Roman"/>
          <w:b/>
          <w:color w:val="000000"/>
        </w:rPr>
        <w:t>6</w:t>
      </w:r>
      <w:r w:rsidRPr="003C684F">
        <w:rPr>
          <w:rFonts w:hint="eastAsia" w:ascii="仿宋" w:hAnsi="仿宋" w:eastAsia="仿宋" w:cs="Times New Roman"/>
          <w:b/>
          <w:color w:val="000000"/>
        </w:rPr>
        <w:t xml:space="preserve">　曲美替尼</w:t>
      </w:r>
      <w:r w:rsidRPr="003C684F">
        <w:rPr>
          <w:rFonts w:ascii="仿宋" w:hAnsi="仿宋" w:eastAsia="仿宋" w:cs="Times New Roman"/>
          <w:b/>
          <w:color w:val="000000"/>
        </w:rPr>
        <w:t>剂量调整建议</w:t>
      </w:r>
    </w:p>
    <w:tbl>
      <w:tblPr>
        <w:tblStyle w:val="ac"/>
        <w:tblW w:w="0" w:type="auto"/>
        <w:tblLook w:val="04A0" w:firstRow="1" w:lastRow="0" w:firstColumn="1" w:lastColumn="0" w:noHBand="0" w:noVBand="1"/>
      </w:tblPr>
      <w:tblGrid>
        <w:gridCol w:w="4261"/>
        <w:gridCol w:w="4261"/>
      </w:tblGrid>
      <w:tr w:rsidRPr="003C684F" w:rsidR="009730C1" w14:paraId="6BA21BD5" w14:textId="77777777">
        <w:tc>
          <w:tcPr>
            <w:tcW w:w="4261" w:type="dxa"/>
          </w:tcPr>
          <w:p w:rsidRPr="003C684F" w:rsidR="009730C1" w:rsidRDefault="00A315B9" w14:paraId="2552E7BD" w14:textId="77777777">
            <w:pPr>
              <w:spacing w:line="360" w:lineRule="auto"/>
              <w:rPr>
                <w:rFonts w:ascii="仿宋" w:hAnsi="仿宋" w:eastAsia="仿宋" w:cs="Times New Roman"/>
                <w:b/>
                <w:color w:val="000000"/>
                <w:kern w:val="0"/>
                <w:szCs w:val="24"/>
              </w:rPr>
            </w:pPr>
            <w:r w:rsidRPr="003C684F">
              <w:rPr>
                <w:rFonts w:hint="eastAsia" w:ascii="仿宋" w:hAnsi="仿宋" w:eastAsia="仿宋" w:cs="Times New Roman"/>
                <w:b/>
                <w:color w:val="000000"/>
                <w:kern w:val="0"/>
                <w:szCs w:val="24"/>
              </w:rPr>
              <w:t>措施</w:t>
            </w:r>
          </w:p>
        </w:tc>
        <w:tc>
          <w:tcPr>
            <w:tcW w:w="4261" w:type="dxa"/>
          </w:tcPr>
          <w:p w:rsidRPr="003C684F" w:rsidR="009730C1" w:rsidRDefault="00A315B9" w14:paraId="7890F208" w14:textId="77777777">
            <w:pPr>
              <w:spacing w:line="360" w:lineRule="auto"/>
              <w:rPr>
                <w:rFonts w:ascii="仿宋" w:hAnsi="仿宋" w:eastAsia="仿宋" w:cs="Times New Roman"/>
                <w:b/>
                <w:color w:val="000000"/>
                <w:kern w:val="0"/>
                <w:szCs w:val="24"/>
              </w:rPr>
            </w:pPr>
            <w:r w:rsidRPr="003C684F">
              <w:rPr>
                <w:rFonts w:hint="eastAsia" w:ascii="仿宋" w:hAnsi="仿宋" w:eastAsia="仿宋" w:cs="Times New Roman"/>
                <w:b/>
                <w:color w:val="000000"/>
                <w:kern w:val="0"/>
                <w:szCs w:val="24"/>
              </w:rPr>
              <w:t>推荐剂量</w:t>
            </w:r>
          </w:p>
        </w:tc>
      </w:tr>
      <w:tr w:rsidRPr="003C684F" w:rsidR="009730C1" w14:paraId="09A80D5B" w14:textId="77777777">
        <w:tc>
          <w:tcPr>
            <w:tcW w:w="4261" w:type="dxa"/>
          </w:tcPr>
          <w:p w:rsidRPr="003C684F" w:rsidR="009730C1" w:rsidRDefault="00A315B9" w14:paraId="4512AF31" w14:textId="77777777">
            <w:pPr>
              <w:spacing w:line="360" w:lineRule="auto"/>
              <w:rPr>
                <w:rFonts w:ascii="仿宋" w:hAnsi="仿宋" w:eastAsia="仿宋" w:cs="Times New Roman"/>
                <w:color w:val="000000"/>
                <w:kern w:val="0"/>
                <w:szCs w:val="24"/>
              </w:rPr>
            </w:pPr>
            <w:r w:rsidRPr="003C684F">
              <w:rPr>
                <w:rFonts w:hint="eastAsia" w:ascii="仿宋" w:hAnsi="仿宋" w:eastAsia="仿宋" w:cs="Times New Roman"/>
                <w:color w:val="000000"/>
                <w:kern w:val="0"/>
                <w:szCs w:val="24"/>
              </w:rPr>
              <w:t>第1次减量</w:t>
            </w:r>
          </w:p>
        </w:tc>
        <w:tc>
          <w:tcPr>
            <w:tcW w:w="4261" w:type="dxa"/>
          </w:tcPr>
          <w:p w:rsidRPr="003C684F" w:rsidR="009730C1" w:rsidRDefault="00A315B9" w14:paraId="78D7CB88" w14:textId="3E9CE59F">
            <w:pPr>
              <w:spacing w:line="360" w:lineRule="auto"/>
              <w:rPr>
                <w:rFonts w:ascii="仿宋" w:hAnsi="仿宋" w:eastAsia="仿宋" w:cs="Times New Roman"/>
                <w:color w:val="000000"/>
                <w:kern w:val="0"/>
                <w:szCs w:val="24"/>
              </w:rPr>
            </w:pPr>
            <w:r w:rsidRPr="003C684F">
              <w:rPr>
                <w:rFonts w:ascii="仿宋" w:hAnsi="仿宋" w:eastAsia="仿宋" w:cs="Times New Roman"/>
                <w:color w:val="000000"/>
                <w:kern w:val="0"/>
                <w:szCs w:val="24"/>
              </w:rPr>
              <w:t>1.5mg</w:t>
            </w:r>
            <w:r w:rsidRPr="003C684F" w:rsidR="00A92DE1">
              <w:rPr>
                <w:rFonts w:hint="eastAsia" w:ascii="仿宋" w:hAnsi="仿宋" w:eastAsia="仿宋" w:cs="Times New Roman"/>
                <w:color w:val="000000"/>
                <w:kern w:val="0"/>
                <w:szCs w:val="24"/>
              </w:rPr>
              <w:t>/次</w:t>
            </w:r>
            <w:r w:rsidRPr="003C684F">
              <w:rPr>
                <w:rFonts w:ascii="仿宋" w:hAnsi="仿宋" w:eastAsia="仿宋" w:cs="Times New Roman"/>
                <w:color w:val="000000"/>
                <w:kern w:val="0"/>
                <w:szCs w:val="24"/>
              </w:rPr>
              <w:t>，</w:t>
            </w:r>
            <w:r w:rsidRPr="003C684F">
              <w:rPr>
                <w:rFonts w:hint="eastAsia" w:ascii="仿宋" w:hAnsi="仿宋" w:eastAsia="仿宋" w:cs="Times New Roman"/>
                <w:color w:val="000000"/>
                <w:kern w:val="0"/>
                <w:szCs w:val="24"/>
              </w:rPr>
              <w:t>每天一次</w:t>
            </w:r>
            <w:r w:rsidRPr="003C684F" w:rsidR="00491689">
              <w:rPr>
                <w:rFonts w:hint="eastAsia" w:ascii="仿宋" w:hAnsi="仿宋" w:eastAsia="仿宋" w:cs="Times New Roman"/>
                <w:color w:val="000000"/>
                <w:kern w:val="0"/>
                <w:szCs w:val="24"/>
              </w:rPr>
              <w:t>，口服</w:t>
            </w:r>
          </w:p>
        </w:tc>
      </w:tr>
      <w:tr w:rsidRPr="003C684F" w:rsidR="009730C1" w14:paraId="1D740E52" w14:textId="77777777">
        <w:tc>
          <w:tcPr>
            <w:tcW w:w="4261" w:type="dxa"/>
          </w:tcPr>
          <w:p w:rsidRPr="003C684F" w:rsidR="009730C1" w:rsidRDefault="00A315B9" w14:paraId="0F1513BC" w14:textId="77777777">
            <w:pPr>
              <w:spacing w:line="360" w:lineRule="auto"/>
              <w:rPr>
                <w:rFonts w:ascii="仿宋" w:hAnsi="仿宋" w:eastAsia="仿宋" w:cs="Times New Roman"/>
                <w:color w:val="000000"/>
                <w:kern w:val="0"/>
                <w:szCs w:val="24"/>
              </w:rPr>
            </w:pPr>
            <w:r w:rsidRPr="003C684F">
              <w:rPr>
                <w:rFonts w:hint="eastAsia" w:ascii="仿宋" w:hAnsi="仿宋" w:eastAsia="仿宋" w:cs="Times New Roman"/>
                <w:color w:val="000000"/>
                <w:kern w:val="0"/>
                <w:szCs w:val="24"/>
              </w:rPr>
              <w:t>第2次减量</w:t>
            </w:r>
          </w:p>
        </w:tc>
        <w:tc>
          <w:tcPr>
            <w:tcW w:w="4261" w:type="dxa"/>
          </w:tcPr>
          <w:p w:rsidRPr="003C684F" w:rsidR="009730C1" w:rsidRDefault="00A315B9" w14:paraId="36A2C533" w14:textId="3F9F8B90">
            <w:pPr>
              <w:spacing w:line="360" w:lineRule="auto"/>
              <w:rPr>
                <w:rFonts w:ascii="仿宋" w:hAnsi="仿宋" w:eastAsia="仿宋" w:cs="Times New Roman"/>
                <w:color w:val="000000"/>
                <w:kern w:val="0"/>
                <w:szCs w:val="24"/>
              </w:rPr>
            </w:pPr>
            <w:r w:rsidRPr="003C684F">
              <w:rPr>
                <w:rFonts w:ascii="仿宋" w:hAnsi="仿宋" w:eastAsia="仿宋" w:cs="Times New Roman"/>
                <w:color w:val="000000"/>
                <w:kern w:val="0"/>
                <w:szCs w:val="24"/>
              </w:rPr>
              <w:t>1mg</w:t>
            </w:r>
            <w:r w:rsidRPr="003C684F" w:rsidR="00A92DE1">
              <w:rPr>
                <w:rFonts w:hint="eastAsia" w:ascii="仿宋" w:hAnsi="仿宋" w:eastAsia="仿宋" w:cs="Times New Roman"/>
                <w:color w:val="000000"/>
                <w:kern w:val="0"/>
                <w:szCs w:val="24"/>
              </w:rPr>
              <w:t>/次</w:t>
            </w:r>
            <w:r w:rsidRPr="003C684F">
              <w:rPr>
                <w:rFonts w:ascii="仿宋" w:hAnsi="仿宋" w:eastAsia="仿宋" w:cs="Times New Roman"/>
                <w:color w:val="000000"/>
                <w:kern w:val="0"/>
                <w:szCs w:val="24"/>
              </w:rPr>
              <w:t>，</w:t>
            </w:r>
            <w:r w:rsidRPr="003C684F">
              <w:rPr>
                <w:rFonts w:hint="eastAsia" w:ascii="仿宋" w:hAnsi="仿宋" w:eastAsia="仿宋" w:cs="Times New Roman"/>
                <w:color w:val="000000"/>
                <w:kern w:val="0"/>
                <w:szCs w:val="24"/>
              </w:rPr>
              <w:t>每天一次</w:t>
            </w:r>
            <w:r w:rsidRPr="003C684F" w:rsidR="00491689">
              <w:rPr>
                <w:rFonts w:hint="eastAsia" w:ascii="仿宋" w:hAnsi="仿宋" w:eastAsia="仿宋" w:cs="Times New Roman"/>
                <w:color w:val="000000"/>
                <w:kern w:val="0"/>
                <w:szCs w:val="24"/>
              </w:rPr>
              <w:t>，口服</w:t>
            </w:r>
          </w:p>
        </w:tc>
      </w:tr>
      <w:tr w:rsidRPr="003C684F" w:rsidR="009730C1" w14:paraId="79C09598" w14:textId="77777777">
        <w:tc>
          <w:tcPr>
            <w:tcW w:w="4261" w:type="dxa"/>
          </w:tcPr>
          <w:p w:rsidRPr="003C684F" w:rsidR="009730C1" w:rsidRDefault="00A315B9" w14:paraId="08561CA2" w14:textId="77777777">
            <w:pPr>
              <w:spacing w:line="360" w:lineRule="auto"/>
              <w:rPr>
                <w:rFonts w:ascii="仿宋" w:hAnsi="仿宋" w:eastAsia="仿宋" w:cs="Times New Roman"/>
                <w:color w:val="000000"/>
                <w:kern w:val="0"/>
                <w:szCs w:val="24"/>
              </w:rPr>
            </w:pPr>
            <w:r w:rsidRPr="003C684F">
              <w:rPr>
                <w:rFonts w:hint="eastAsia" w:ascii="仿宋" w:hAnsi="仿宋" w:eastAsia="仿宋" w:cs="Times New Roman"/>
                <w:color w:val="000000"/>
                <w:kern w:val="0"/>
                <w:szCs w:val="24"/>
              </w:rPr>
              <w:t>后续剂量调整</w:t>
            </w:r>
          </w:p>
        </w:tc>
        <w:tc>
          <w:tcPr>
            <w:tcW w:w="4261" w:type="dxa"/>
          </w:tcPr>
          <w:p w:rsidRPr="003C684F" w:rsidR="009730C1" w:rsidP="00491689" w:rsidRDefault="00A315B9" w14:paraId="6A953935" w14:textId="60B5B8A4">
            <w:pPr>
              <w:spacing w:line="360" w:lineRule="auto"/>
              <w:rPr>
                <w:rFonts w:ascii="仿宋" w:hAnsi="仿宋" w:eastAsia="仿宋" w:cs="Times New Roman"/>
                <w:color w:val="000000"/>
                <w:kern w:val="0"/>
                <w:szCs w:val="24"/>
              </w:rPr>
            </w:pPr>
            <w:r w:rsidRPr="003C684F">
              <w:rPr>
                <w:rFonts w:hint="eastAsia" w:ascii="仿宋" w:hAnsi="仿宋" w:eastAsia="仿宋" w:cs="Times New Roman"/>
                <w:color w:val="000000"/>
                <w:kern w:val="0"/>
                <w:szCs w:val="24"/>
              </w:rPr>
              <w:t>如果本品</w:t>
            </w:r>
            <w:r w:rsidRPr="003C684F">
              <w:rPr>
                <w:rFonts w:ascii="仿宋" w:hAnsi="仿宋" w:eastAsia="仿宋" w:cs="Times New Roman"/>
                <w:color w:val="000000"/>
                <w:kern w:val="0"/>
                <w:szCs w:val="24"/>
              </w:rPr>
              <w:t>1mg</w:t>
            </w:r>
            <w:r w:rsidRPr="003C684F" w:rsidR="00A92DE1">
              <w:rPr>
                <w:rFonts w:hint="eastAsia" w:ascii="仿宋" w:hAnsi="仿宋" w:eastAsia="仿宋" w:cs="Times New Roman"/>
                <w:color w:val="000000"/>
                <w:kern w:val="0"/>
                <w:szCs w:val="24"/>
              </w:rPr>
              <w:t>/次，</w:t>
            </w:r>
            <w:r w:rsidRPr="003C684F">
              <w:rPr>
                <w:rFonts w:hint="eastAsia" w:ascii="仿宋" w:hAnsi="仿宋" w:eastAsia="仿宋" w:cs="Times New Roman"/>
                <w:color w:val="000000"/>
                <w:kern w:val="0"/>
                <w:szCs w:val="24"/>
              </w:rPr>
              <w:t>每天一次</w:t>
            </w:r>
            <w:r w:rsidRPr="003C684F" w:rsidR="009530AE">
              <w:rPr>
                <w:rFonts w:hint="eastAsia" w:ascii="仿宋" w:hAnsi="仿宋" w:eastAsia="仿宋" w:cs="Times New Roman"/>
                <w:color w:val="000000"/>
                <w:kern w:val="0"/>
                <w:szCs w:val="24"/>
              </w:rPr>
              <w:t>，</w:t>
            </w:r>
            <w:r w:rsidRPr="003C684F" w:rsidR="00491689">
              <w:rPr>
                <w:rFonts w:hint="eastAsia" w:ascii="仿宋" w:hAnsi="仿宋" w:eastAsia="仿宋" w:cs="Times New Roman"/>
                <w:color w:val="000000"/>
                <w:kern w:val="0"/>
                <w:szCs w:val="24"/>
              </w:rPr>
              <w:t>口服</w:t>
            </w:r>
            <w:r w:rsidRPr="003C684F" w:rsidR="009530AE">
              <w:rPr>
                <w:rFonts w:hint="eastAsia" w:ascii="仿宋" w:hAnsi="仿宋" w:eastAsia="仿宋" w:cs="Times New Roman"/>
                <w:color w:val="000000"/>
                <w:kern w:val="0"/>
                <w:szCs w:val="24"/>
              </w:rPr>
              <w:t>，</w:t>
            </w:r>
            <w:r w:rsidRPr="003C684F">
              <w:rPr>
                <w:rFonts w:hint="eastAsia" w:ascii="仿宋" w:hAnsi="仿宋" w:eastAsia="仿宋" w:cs="Times New Roman"/>
                <w:color w:val="000000"/>
                <w:kern w:val="0"/>
                <w:szCs w:val="24"/>
              </w:rPr>
              <w:t>仍不能耐受，</w:t>
            </w:r>
            <w:r w:rsidRPr="003C684F" w:rsidR="00C87264">
              <w:rPr>
                <w:rFonts w:hint="eastAsia" w:ascii="仿宋" w:hAnsi="仿宋" w:eastAsia="仿宋" w:cs="Times New Roman"/>
                <w:color w:val="000000"/>
                <w:kern w:val="0"/>
                <w:szCs w:val="24"/>
              </w:rPr>
              <w:t>永久停用</w:t>
            </w:r>
          </w:p>
        </w:tc>
      </w:tr>
    </w:tbl>
    <w:p w:rsidRPr="003C684F" w:rsidR="009730C1" w:rsidRDefault="00A315B9" w14:paraId="6C37E546" w14:textId="2D58B19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用药期间应注意发热、疲乏、呕吐、腹泻、皮肤干燥、食欲下降、水肿、</w:t>
      </w:r>
      <w:r w:rsidRPr="003C684F">
        <w:rPr>
          <w:rFonts w:hint="eastAsia" w:ascii="仿宋" w:hAnsi="仿宋" w:eastAsia="仿宋" w:cs="Times New Roman"/>
          <w:sz w:val="32"/>
          <w:szCs w:val="32"/>
        </w:rPr>
        <w:t>皮疹、寒战、出血、咳嗽和呼吸困难。</w:t>
      </w:r>
    </w:p>
    <w:p w:rsidRPr="003C684F" w:rsidR="009730C1" w:rsidRDefault="00A315B9" w14:paraId="37638E6A" w14:textId="4F4DB1EB">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仿宋"/>
          <w:sz w:val="32"/>
          <w:szCs w:val="32"/>
        </w:rPr>
        <w:t>7.</w:t>
      </w:r>
      <w:r w:rsidRPr="003C684F">
        <w:rPr>
          <w:rFonts w:hint="eastAsia" w:ascii="仿宋" w:hAnsi="仿宋" w:eastAsia="仿宋" w:cs="Times New Roman"/>
          <w:color w:val="000000"/>
          <w:sz w:val="32"/>
          <w:szCs w:val="32"/>
        </w:rPr>
        <w:t>谨慎</w:t>
      </w:r>
      <w:r w:rsidRPr="003C684F" w:rsidR="00F92328">
        <w:rPr>
          <w:rFonts w:hint="eastAsia" w:ascii="仿宋" w:hAnsi="仿宋" w:eastAsia="仿宋" w:cs="Times New Roman"/>
          <w:color w:val="000000"/>
          <w:sz w:val="32"/>
          <w:szCs w:val="32"/>
        </w:rPr>
        <w:t>联合使用</w:t>
      </w:r>
      <w:r w:rsidRPr="003C684F">
        <w:rPr>
          <w:rFonts w:ascii="仿宋" w:hAnsi="仿宋" w:eastAsia="仿宋" w:cs="Times New Roman"/>
          <w:color w:val="000000"/>
          <w:sz w:val="32"/>
          <w:szCs w:val="32"/>
        </w:rPr>
        <w:t>P-糖蛋白</w:t>
      </w:r>
      <w:r w:rsidRPr="003C684F" w:rsidR="0081419E">
        <w:rPr>
          <w:rFonts w:hint="eastAsia" w:ascii="仿宋" w:hAnsi="仿宋" w:eastAsia="仿宋" w:cs="Times New Roman"/>
          <w:color w:val="000000"/>
          <w:sz w:val="32"/>
          <w:szCs w:val="32"/>
        </w:rPr>
        <w:t>强效</w:t>
      </w:r>
      <w:r w:rsidRPr="003C684F">
        <w:rPr>
          <w:rFonts w:hint="eastAsia" w:ascii="仿宋" w:hAnsi="仿宋" w:eastAsia="仿宋" w:cs="Times New Roman"/>
          <w:color w:val="000000"/>
          <w:sz w:val="32"/>
          <w:szCs w:val="32"/>
        </w:rPr>
        <w:t>抑制剂，如维拉帕米、环孢菌素、利托那伟、奎尼丁、伊曲康唑。</w:t>
      </w:r>
    </w:p>
    <w:p w:rsidRPr="003C684F" w:rsidR="009730C1" w:rsidRDefault="00A315B9" w14:paraId="015B4636" w14:textId="701CDC79">
      <w:pPr>
        <w:spacing w:line="360" w:lineRule="auto"/>
        <w:ind w:firstLine="643" w:firstLineChars="200"/>
        <w:contextualSpacing/>
        <w:rPr>
          <w:rFonts w:ascii="仿宋" w:hAnsi="仿宋" w:eastAsia="仿宋" w:cs="Times New Roman"/>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s="Times New Roman"/>
          <w:color w:val="000000"/>
          <w:sz w:val="32"/>
          <w:szCs w:val="32"/>
        </w:rPr>
        <w:t>8.</w:t>
      </w:r>
      <w:r w:rsidRPr="003C684F">
        <w:rPr>
          <w:rFonts w:hint="eastAsia" w:ascii="仿宋" w:hAnsi="仿宋" w:eastAsia="仿宋" w:cs="Times New Roman"/>
          <w:sz w:val="32"/>
          <w:szCs w:val="32"/>
        </w:rPr>
        <w:t>FDA批准曲美替尼联合</w:t>
      </w:r>
      <w:r w:rsidRPr="003C684F">
        <w:rPr>
          <w:rFonts w:hint="eastAsia" w:ascii="仿宋" w:hAnsi="仿宋" w:eastAsia="仿宋" w:cs="仿宋"/>
          <w:sz w:val="32"/>
          <w:szCs w:val="32"/>
        </w:rPr>
        <w:t>达拉非尼</w:t>
      </w:r>
      <w:r w:rsidRPr="003C684F">
        <w:rPr>
          <w:rFonts w:hint="eastAsia" w:ascii="仿宋" w:hAnsi="仿宋" w:eastAsia="仿宋" w:cs="Times New Roman"/>
          <w:sz w:val="32"/>
          <w:szCs w:val="32"/>
        </w:rPr>
        <w:t>治疗BRAF V600E</w:t>
      </w:r>
      <w:r w:rsidRPr="003C684F" w:rsidR="000D2448">
        <w:rPr>
          <w:rFonts w:hint="eastAsia" w:ascii="仿宋" w:hAnsi="仿宋" w:eastAsia="仿宋" w:cs="Times New Roman"/>
          <w:sz w:val="32"/>
          <w:szCs w:val="32"/>
        </w:rPr>
        <w:t>/K</w:t>
      </w:r>
      <w:r w:rsidRPr="003C684F">
        <w:rPr>
          <w:rFonts w:hint="eastAsia" w:ascii="仿宋" w:hAnsi="仿宋" w:eastAsia="仿宋" w:cs="Times New Roman"/>
          <w:sz w:val="32"/>
          <w:szCs w:val="32"/>
        </w:rPr>
        <w:t>突变的局部晚期或转移性甲状腺未分化癌治疗；FDA还批准曲美替尼联合</w:t>
      </w:r>
      <w:r w:rsidRPr="003C684F">
        <w:rPr>
          <w:rFonts w:hint="eastAsia" w:ascii="仿宋" w:hAnsi="仿宋" w:eastAsia="仿宋" w:cs="仿宋"/>
          <w:sz w:val="32"/>
          <w:szCs w:val="32"/>
        </w:rPr>
        <w:t>达拉非尼</w:t>
      </w:r>
      <w:r w:rsidRPr="003C684F">
        <w:rPr>
          <w:rFonts w:hint="eastAsia" w:ascii="仿宋" w:hAnsi="仿宋" w:eastAsia="仿宋" w:cs="Times New Roman"/>
          <w:sz w:val="32"/>
          <w:szCs w:val="32"/>
        </w:rPr>
        <w:t>治疗在先前治疗后进展且没有令人满意替代治疗方案的6岁及以上不可切除或转移性实体瘤BRAF V600E突变的成人和儿童患者。目前在中国未获批这些</w:t>
      </w:r>
      <w:r w:rsidRPr="003C684F">
        <w:rPr>
          <w:rFonts w:hint="eastAsia" w:ascii="仿宋" w:hAnsi="仿宋" w:eastAsia="仿宋" w:cs="Times New Roman"/>
          <w:sz w:val="32"/>
          <w:szCs w:val="32"/>
        </w:rPr>
        <w:lastRenderedPageBreak/>
        <w:t>适应证，可在与患者充分沟通的情况下使用。</w:t>
      </w:r>
    </w:p>
    <w:p w:rsidRPr="003C684F" w:rsidR="009730C1" w:rsidRDefault="00A315B9" w14:paraId="25A146F5" w14:textId="77777777">
      <w:pPr>
        <w:widowControl/>
        <w:snapToGrid w:val="0"/>
        <w:spacing w:before="240" w:after="240" w:line="360" w:lineRule="auto"/>
        <w:ind w:firstLine="640" w:firstLineChars="200"/>
        <w:contextualSpacing/>
        <w:jc w:val="left"/>
        <w:rPr>
          <w:rFonts w:ascii="黑体" w:hAnsi="黑体" w:eastAsia="黑体" w:cs="黑体"/>
          <w:sz w:val="32"/>
          <w:szCs w:val="32"/>
        </w:rPr>
      </w:pPr>
      <w:r w:rsidRPr="003C684F">
        <w:rPr>
          <w:rFonts w:hint="eastAsia" w:ascii="黑体" w:hAnsi="黑体" w:eastAsia="黑体" w:cs="黑体"/>
          <w:sz w:val="32"/>
          <w:szCs w:val="32"/>
        </w:rPr>
        <w:t xml:space="preserve">二十三、恩曲替尼 </w:t>
      </w:r>
      <w:r w:rsidRPr="003C684F">
        <w:rPr>
          <w:rFonts w:ascii="黑体" w:hAnsi="黑体" w:eastAsia="黑体" w:cs="黑体"/>
          <w:sz w:val="32"/>
          <w:szCs w:val="32"/>
        </w:rPr>
        <w:t>E</w:t>
      </w:r>
      <w:r w:rsidRPr="003C684F">
        <w:rPr>
          <w:rFonts w:hint="eastAsia" w:ascii="黑体" w:hAnsi="黑体" w:eastAsia="黑体" w:cs="黑体"/>
          <w:sz w:val="32"/>
          <w:szCs w:val="32"/>
        </w:rPr>
        <w:t>ntrectinib</w:t>
      </w:r>
    </w:p>
    <w:p w:rsidRPr="003C684F" w:rsidR="009730C1" w:rsidRDefault="00A315B9" w14:paraId="372BE778" w14:textId="293EE694">
      <w:pPr>
        <w:widowControl/>
        <w:snapToGrid w:val="0"/>
        <w:spacing w:before="240" w:after="240" w:line="360" w:lineRule="auto"/>
        <w:ind w:firstLine="643" w:firstLineChars="200"/>
        <w:contextualSpacing/>
        <w:jc w:val="left"/>
        <w:rPr>
          <w:rFonts w:ascii="仿宋" w:hAnsi="仿宋" w:eastAsia="仿宋" w:cs="Arial"/>
          <w:color w:val="000000"/>
          <w:kern w:val="0"/>
          <w:sz w:val="32"/>
          <w:szCs w:val="32"/>
        </w:rPr>
      </w:pPr>
      <w:r w:rsidRPr="003C684F">
        <w:rPr>
          <w:rFonts w:hint="eastAsia" w:ascii="仿宋" w:hAnsi="仿宋" w:eastAsia="仿宋" w:cs="微软雅黑"/>
          <w:b/>
          <w:color w:val="000000"/>
          <w:kern w:val="0"/>
          <w:sz w:val="32"/>
          <w:szCs w:val="32"/>
        </w:rPr>
        <w:t>制剂与规格：</w:t>
      </w:r>
      <w:r w:rsidRPr="003C684F" w:rsidR="001408E2">
        <w:rPr>
          <w:rFonts w:hint="eastAsia" w:ascii="仿宋" w:hAnsi="仿宋" w:eastAsia="仿宋" w:cs="微软雅黑"/>
          <w:color w:val="000000"/>
          <w:kern w:val="0"/>
          <w:sz w:val="32"/>
          <w:szCs w:val="32"/>
        </w:rPr>
        <w:t>胶囊</w:t>
      </w:r>
      <w:r w:rsidRPr="003C684F">
        <w:rPr>
          <w:rFonts w:hint="eastAsia" w:ascii="仿宋" w:hAnsi="仿宋" w:eastAsia="仿宋" w:cs="微软雅黑"/>
          <w:color w:val="000000"/>
          <w:kern w:val="0"/>
          <w:sz w:val="32"/>
          <w:szCs w:val="32"/>
        </w:rPr>
        <w:t>：</w:t>
      </w:r>
      <w:r w:rsidRPr="003C684F">
        <w:rPr>
          <w:rFonts w:ascii="仿宋" w:hAnsi="仿宋" w:eastAsia="仿宋" w:cs="Arial Unicode MS"/>
          <w:color w:val="000000"/>
          <w:kern w:val="0"/>
          <w:sz w:val="32"/>
          <w:szCs w:val="32"/>
        </w:rPr>
        <w:t>100mg</w:t>
      </w:r>
      <w:r w:rsidRPr="003C684F">
        <w:rPr>
          <w:rFonts w:hint="eastAsia" w:ascii="仿宋" w:hAnsi="仿宋" w:eastAsia="仿宋" w:cs="微软雅黑"/>
          <w:color w:val="000000"/>
          <w:kern w:val="0"/>
          <w:sz w:val="32"/>
          <w:szCs w:val="32"/>
        </w:rPr>
        <w:t>、</w:t>
      </w:r>
      <w:r w:rsidRPr="003C684F">
        <w:rPr>
          <w:rFonts w:ascii="仿宋" w:hAnsi="仿宋" w:eastAsia="仿宋" w:cs="Arial Unicode MS"/>
          <w:color w:val="000000"/>
          <w:kern w:val="0"/>
          <w:sz w:val="32"/>
          <w:szCs w:val="32"/>
        </w:rPr>
        <w:t>200mg</w:t>
      </w:r>
    </w:p>
    <w:p w:rsidRPr="003C684F" w:rsidR="001A4594" w:rsidRDefault="00A315B9" w14:paraId="54FE53CA" w14:textId="77777777">
      <w:pPr>
        <w:widowControl/>
        <w:snapToGrid w:val="0"/>
        <w:spacing w:before="240" w:after="240" w:line="360" w:lineRule="auto"/>
        <w:ind w:firstLine="643" w:firstLineChars="200"/>
        <w:contextualSpacing/>
        <w:jc w:val="left"/>
        <w:rPr>
          <w:rFonts w:ascii="仿宋" w:hAnsi="仿宋" w:eastAsia="仿宋" w:cs="微软雅黑"/>
          <w:b/>
          <w:color w:val="000000"/>
          <w:kern w:val="0"/>
          <w:sz w:val="32"/>
          <w:szCs w:val="32"/>
        </w:rPr>
      </w:pPr>
      <w:r w:rsidRPr="003C684F">
        <w:rPr>
          <w:rFonts w:hint="eastAsia" w:ascii="仿宋" w:hAnsi="仿宋" w:eastAsia="仿宋" w:cs="微软雅黑"/>
          <w:b/>
          <w:color w:val="000000"/>
          <w:kern w:val="0"/>
          <w:sz w:val="32"/>
          <w:szCs w:val="32"/>
        </w:rPr>
        <w:t>适应证：</w:t>
      </w:r>
    </w:p>
    <w:p w:rsidRPr="003C684F" w:rsidR="001A4594" w:rsidP="001A4594" w:rsidRDefault="001A4594" w14:paraId="2E38E2E8" w14:textId="3A0569D8">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1.用于治疗ROS1阳性转移性NSCLC成人患者。</w:t>
      </w:r>
    </w:p>
    <w:p w:rsidRPr="003C684F" w:rsidR="009730C1" w:rsidP="001A4594" w:rsidRDefault="001A4594" w14:paraId="2A5BA9FE" w14:textId="777FCA39">
      <w:pPr>
        <w:widowControl/>
        <w:snapToGrid w:val="0"/>
        <w:spacing w:before="240" w:after="240" w:line="360" w:lineRule="auto"/>
        <w:ind w:firstLine="640" w:firstLineChars="200"/>
        <w:contextualSpacing/>
        <w:jc w:val="left"/>
        <w:rPr>
          <w:rFonts w:ascii="仿宋" w:hAnsi="仿宋" w:eastAsia="仿宋" w:cs="微软雅黑"/>
          <w:b/>
          <w:color w:val="000000"/>
          <w:kern w:val="0"/>
          <w:sz w:val="32"/>
          <w:szCs w:val="32"/>
        </w:rPr>
      </w:pPr>
      <w:r w:rsidRPr="003C684F">
        <w:rPr>
          <w:rFonts w:hint="eastAsia" w:ascii="仿宋" w:hAnsi="仿宋" w:eastAsia="仿宋" w:cs="微软雅黑"/>
          <w:color w:val="000000"/>
          <w:kern w:val="0"/>
          <w:sz w:val="32"/>
          <w:szCs w:val="32"/>
        </w:rPr>
        <w:t>2.</w:t>
      </w:r>
      <w:r w:rsidRPr="003C684F" w:rsidR="00A315B9">
        <w:rPr>
          <w:rFonts w:hint="eastAsia" w:ascii="仿宋" w:hAnsi="仿宋" w:eastAsia="仿宋" w:cs="微软雅黑"/>
          <w:color w:val="000000"/>
          <w:kern w:val="0"/>
          <w:sz w:val="32"/>
          <w:szCs w:val="32"/>
        </w:rPr>
        <w:t>适用于符合下列条件的成人和</w:t>
      </w:r>
      <w:r w:rsidRPr="003C684F" w:rsidR="00A315B9">
        <w:rPr>
          <w:rFonts w:ascii="仿宋" w:hAnsi="仿宋" w:eastAsia="仿宋" w:cs="Arial Unicode MS"/>
          <w:color w:val="000000"/>
          <w:kern w:val="0"/>
          <w:sz w:val="32"/>
          <w:szCs w:val="32"/>
        </w:rPr>
        <w:t>12</w:t>
      </w:r>
      <w:r w:rsidRPr="003C684F" w:rsidR="00A315B9">
        <w:rPr>
          <w:rFonts w:hint="eastAsia" w:ascii="仿宋" w:hAnsi="仿宋" w:eastAsia="仿宋" w:cs="微软雅黑"/>
          <w:color w:val="000000"/>
          <w:kern w:val="0"/>
          <w:sz w:val="32"/>
          <w:szCs w:val="32"/>
        </w:rPr>
        <w:t>岁及以上儿童实体瘤患者，经充分验证的检测方法诊断为携带</w:t>
      </w:r>
      <w:r w:rsidRPr="003C684F" w:rsidR="008E5E9F">
        <w:rPr>
          <w:rFonts w:hint="eastAsia" w:ascii="仿宋" w:hAnsi="仿宋" w:eastAsia="仿宋" w:cs="仿宋"/>
          <w:sz w:val="32"/>
          <w:szCs w:val="32"/>
        </w:rPr>
        <w:t>神经营养酪氨酸受体激酶</w:t>
      </w:r>
      <w:r w:rsidRPr="003C684F" w:rsidR="00A315B9">
        <w:rPr>
          <w:rFonts w:hint="eastAsia" w:ascii="仿宋" w:hAnsi="仿宋" w:eastAsia="仿宋" w:cs="微软雅黑"/>
          <w:color w:val="000000"/>
          <w:kern w:val="0"/>
          <w:sz w:val="32"/>
          <w:szCs w:val="32"/>
        </w:rPr>
        <w:t>融合基因且不包括已知获得性耐药突变，患有局部晚期、转移性疾病或手术切除可能导致严重并发症的患者，无满意替代治疗或既往治疗失败的患者。</w:t>
      </w:r>
    </w:p>
    <w:p w:rsidRPr="003C684F" w:rsidR="009730C1" w:rsidRDefault="00A315B9" w14:paraId="19954AB2" w14:textId="77777777">
      <w:pPr>
        <w:widowControl/>
        <w:snapToGrid w:val="0"/>
        <w:spacing w:before="240" w:after="240" w:line="360" w:lineRule="auto"/>
        <w:ind w:firstLine="643" w:firstLineChars="200"/>
        <w:contextualSpacing/>
        <w:jc w:val="left"/>
        <w:rPr>
          <w:rFonts w:ascii="仿宋" w:hAnsi="仿宋" w:eastAsia="仿宋" w:cs="Arial"/>
          <w:b/>
          <w:color w:val="000000"/>
          <w:kern w:val="0"/>
          <w:sz w:val="32"/>
          <w:szCs w:val="32"/>
        </w:rPr>
      </w:pPr>
      <w:r w:rsidRPr="003C684F">
        <w:rPr>
          <w:rFonts w:hint="eastAsia" w:ascii="仿宋" w:hAnsi="仿宋" w:eastAsia="仿宋" w:cs="微软雅黑"/>
          <w:b/>
          <w:color w:val="000000"/>
          <w:kern w:val="0"/>
          <w:sz w:val="32"/>
          <w:szCs w:val="32"/>
        </w:rPr>
        <w:t>合理用药要点：</w:t>
      </w:r>
    </w:p>
    <w:p w:rsidR="009F7148" w:rsidP="009F7148" w:rsidRDefault="009F7148" w14:paraId="24E7CF9A" w14:textId="2D763F7E">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9F7148">
        <w:rPr>
          <w:rFonts w:hint="eastAsia" w:ascii="仿宋" w:hAnsi="仿宋" w:eastAsia="仿宋" w:cs="微软雅黑"/>
          <w:color w:val="000000"/>
          <w:kern w:val="0"/>
          <w:sz w:val="32"/>
          <w:szCs w:val="32"/>
        </w:rPr>
        <w:t>1.患者用药前必须获得经充分验证的检测方法诊断为携带神经营养酪氨酸受体激酶融合基因且不包括已知获得性耐药突变。对于NSCLC患者，还可以是经国家药品监督管理局批准的检测方法检测到的ROS1阳性。</w:t>
      </w:r>
    </w:p>
    <w:p w:rsidRPr="003C684F" w:rsidR="009730C1" w:rsidP="004077FC" w:rsidRDefault="004077FC" w14:paraId="0F5F44D7" w14:textId="722674CD">
      <w:pPr>
        <w:widowControl/>
        <w:snapToGrid w:val="0"/>
        <w:spacing w:before="240" w:after="240" w:line="360" w:lineRule="auto"/>
        <w:ind w:firstLine="640" w:firstLineChars="200"/>
        <w:contextualSpacing/>
        <w:jc w:val="left"/>
        <w:rPr>
          <w:rFonts w:ascii="仿宋" w:hAnsi="仿宋" w:eastAsia="仿宋" w:cs="Arial"/>
          <w:color w:val="000000"/>
          <w:kern w:val="0"/>
          <w:sz w:val="32"/>
          <w:szCs w:val="32"/>
        </w:rPr>
      </w:pPr>
      <w:r w:rsidRPr="003C684F">
        <w:rPr>
          <w:rFonts w:hint="eastAsia" w:ascii="仿宋" w:hAnsi="仿宋" w:eastAsia="仿宋" w:cs="微软雅黑"/>
          <w:color w:val="000000"/>
          <w:kern w:val="0"/>
          <w:sz w:val="32"/>
          <w:szCs w:val="32"/>
        </w:rPr>
        <w:t>2.基线有脑转移的ROS1阳性NSCLC 患者一线优先推荐恩曲替尼。</w:t>
      </w:r>
    </w:p>
    <w:p w:rsidRPr="003C684F" w:rsidR="009730C1" w:rsidRDefault="004077FC" w14:paraId="54E0AC18" w14:textId="07C1B3D3">
      <w:pPr>
        <w:widowControl/>
        <w:snapToGrid w:val="0"/>
        <w:spacing w:before="240" w:after="240" w:line="360" w:lineRule="auto"/>
        <w:ind w:firstLine="640" w:firstLineChars="200"/>
        <w:contextualSpacing/>
        <w:jc w:val="left"/>
        <w:rPr>
          <w:rFonts w:ascii="仿宋" w:hAnsi="仿宋" w:eastAsia="仿宋" w:cs="Arial"/>
          <w:color w:val="000000"/>
          <w:kern w:val="0"/>
          <w:sz w:val="32"/>
          <w:szCs w:val="32"/>
        </w:rPr>
      </w:pPr>
      <w:r w:rsidRPr="003C684F">
        <w:rPr>
          <w:rFonts w:hint="eastAsia" w:ascii="仿宋" w:hAnsi="仿宋" w:eastAsia="仿宋" w:cs="Arial Unicode MS"/>
          <w:color w:val="000000"/>
          <w:kern w:val="0"/>
          <w:sz w:val="32"/>
          <w:szCs w:val="32"/>
        </w:rPr>
        <w:t>3</w:t>
      </w:r>
      <w:r w:rsidRPr="003C684F" w:rsidR="00A315B9">
        <w:rPr>
          <w:rFonts w:ascii="仿宋" w:hAnsi="仿宋" w:eastAsia="仿宋" w:cs="Arial Unicode MS"/>
          <w:color w:val="000000"/>
          <w:kern w:val="0"/>
          <w:sz w:val="32"/>
          <w:szCs w:val="32"/>
        </w:rPr>
        <w:t>.</w:t>
      </w:r>
      <w:r w:rsidRPr="003C684F" w:rsidR="00A315B9">
        <w:rPr>
          <w:rFonts w:hint="eastAsia" w:ascii="仿宋" w:hAnsi="仿宋" w:eastAsia="仿宋" w:cs="微软雅黑"/>
          <w:color w:val="000000"/>
          <w:kern w:val="0"/>
          <w:sz w:val="32"/>
          <w:szCs w:val="32"/>
        </w:rPr>
        <w:t>建议患者接受本药物治疗</w:t>
      </w:r>
      <w:r w:rsidRPr="003C684F" w:rsidR="00703498">
        <w:rPr>
          <w:rFonts w:hint="eastAsia" w:ascii="仿宋" w:hAnsi="仿宋" w:eastAsia="仿宋" w:cs="微软雅黑"/>
          <w:color w:val="000000"/>
          <w:kern w:val="0"/>
          <w:sz w:val="32"/>
          <w:szCs w:val="32"/>
        </w:rPr>
        <w:t>直至</w:t>
      </w:r>
      <w:r w:rsidRPr="003C684F" w:rsidR="00B95507">
        <w:rPr>
          <w:rFonts w:hint="eastAsia" w:ascii="仿宋" w:hAnsi="仿宋" w:eastAsia="仿宋" w:cs="微软雅黑"/>
          <w:color w:val="000000"/>
          <w:kern w:val="0"/>
          <w:sz w:val="32"/>
          <w:szCs w:val="32"/>
        </w:rPr>
        <w:t>疾病进展或出现不可耐受的毒性。</w:t>
      </w:r>
    </w:p>
    <w:p w:rsidRPr="003C684F" w:rsidR="009730C1" w:rsidRDefault="004077FC" w14:paraId="4A36F334" w14:textId="4D473180">
      <w:pPr>
        <w:widowControl/>
        <w:snapToGrid w:val="0"/>
        <w:spacing w:before="240" w:after="240" w:line="360" w:lineRule="auto"/>
        <w:ind w:firstLine="640" w:firstLineChars="200"/>
        <w:contextualSpacing/>
        <w:jc w:val="left"/>
        <w:rPr>
          <w:rFonts w:ascii="仿宋" w:hAnsi="仿宋" w:eastAsia="仿宋" w:cs="Arial"/>
          <w:color w:val="000000"/>
          <w:kern w:val="0"/>
        </w:rPr>
      </w:pPr>
      <w:r w:rsidRPr="003C684F">
        <w:rPr>
          <w:rFonts w:hint="eastAsia" w:ascii="仿宋" w:hAnsi="仿宋" w:eastAsia="仿宋" w:cs="Arial Unicode MS"/>
          <w:color w:val="000000"/>
          <w:kern w:val="0"/>
          <w:sz w:val="32"/>
          <w:szCs w:val="32"/>
        </w:rPr>
        <w:t>4</w:t>
      </w:r>
      <w:r w:rsidRPr="003C684F" w:rsidR="00A315B9">
        <w:rPr>
          <w:rFonts w:ascii="仿宋" w:hAnsi="仿宋" w:eastAsia="仿宋" w:cs="Arial Unicode MS"/>
          <w:color w:val="000000"/>
          <w:kern w:val="0"/>
          <w:sz w:val="32"/>
          <w:szCs w:val="32"/>
        </w:rPr>
        <w:t>.</w:t>
      </w:r>
      <w:r w:rsidRPr="003C684F" w:rsidR="00A315B9">
        <w:rPr>
          <w:rFonts w:hint="eastAsia" w:ascii="仿宋" w:hAnsi="仿宋" w:eastAsia="仿宋" w:cs="微软雅黑"/>
          <w:color w:val="000000"/>
          <w:kern w:val="0"/>
          <w:sz w:val="32"/>
          <w:szCs w:val="32"/>
        </w:rPr>
        <w:t>硬胶囊应整粒吞服，由于内容物较苦，因此不得打开或溶解后服药。本品可与食物同服</w:t>
      </w:r>
      <w:r w:rsidRPr="003C684F" w:rsidR="00E80B18">
        <w:rPr>
          <w:rFonts w:hint="eastAsia" w:ascii="仿宋" w:hAnsi="仿宋" w:eastAsia="仿宋" w:cs="微软雅黑"/>
          <w:color w:val="000000"/>
          <w:kern w:val="0"/>
          <w:sz w:val="32"/>
          <w:szCs w:val="32"/>
        </w:rPr>
        <w:t>或不同服</w:t>
      </w:r>
      <w:r w:rsidRPr="003C684F" w:rsidR="00A315B9">
        <w:rPr>
          <w:rFonts w:hint="eastAsia" w:ascii="仿宋" w:hAnsi="仿宋" w:eastAsia="仿宋" w:cs="微软雅黑"/>
          <w:color w:val="000000"/>
          <w:kern w:val="0"/>
          <w:sz w:val="32"/>
          <w:szCs w:val="32"/>
        </w:rPr>
        <w:t>，但不应与葡萄柚或葡萄柚汁同服。成人的推荐剂量为600mg</w:t>
      </w:r>
      <w:r w:rsidRPr="003C684F" w:rsidR="001F52C2">
        <w:rPr>
          <w:rFonts w:hint="eastAsia" w:ascii="仿宋" w:hAnsi="仿宋" w:eastAsia="仿宋" w:cs="微软雅黑"/>
          <w:color w:val="000000"/>
          <w:kern w:val="0"/>
          <w:sz w:val="32"/>
          <w:szCs w:val="32"/>
        </w:rPr>
        <w:t>/次</w:t>
      </w:r>
      <w:r w:rsidRPr="003C684F" w:rsidR="00A315B9">
        <w:rPr>
          <w:rFonts w:hint="eastAsia" w:ascii="仿宋" w:hAnsi="仿宋" w:eastAsia="仿宋" w:cs="微软雅黑"/>
          <w:color w:val="000000"/>
          <w:kern w:val="0"/>
          <w:sz w:val="32"/>
          <w:szCs w:val="32"/>
        </w:rPr>
        <w:t>，每天一次</w:t>
      </w:r>
      <w:r w:rsidRPr="003C684F" w:rsidR="001F52C2">
        <w:rPr>
          <w:rFonts w:hint="eastAsia" w:ascii="仿宋" w:hAnsi="仿宋" w:eastAsia="仿宋" w:cs="微软雅黑"/>
          <w:color w:val="000000"/>
          <w:kern w:val="0"/>
          <w:sz w:val="32"/>
          <w:szCs w:val="32"/>
        </w:rPr>
        <w:t>，</w:t>
      </w:r>
      <w:r w:rsidRPr="003C684F" w:rsidR="001F52C2">
        <w:rPr>
          <w:rFonts w:hint="eastAsia" w:ascii="仿宋" w:hAnsi="仿宋" w:eastAsia="仿宋" w:cs="微软雅黑"/>
          <w:color w:val="000000"/>
          <w:kern w:val="0"/>
          <w:sz w:val="32"/>
          <w:szCs w:val="32"/>
        </w:rPr>
        <w:lastRenderedPageBreak/>
        <w:t>口服</w:t>
      </w:r>
      <w:r w:rsidRPr="003C684F" w:rsidR="00A315B9">
        <w:rPr>
          <w:rFonts w:hint="eastAsia" w:ascii="仿宋" w:hAnsi="仿宋" w:eastAsia="仿宋" w:cs="微软雅黑"/>
          <w:color w:val="000000"/>
          <w:kern w:val="0"/>
          <w:sz w:val="32"/>
          <w:szCs w:val="32"/>
        </w:rPr>
        <w:t>。年满12岁儿童患者的推荐剂量为300mg/</w:t>
      </w:r>
      <w:r w:rsidRPr="003C684F" w:rsidR="001F52C2">
        <w:rPr>
          <w:rFonts w:hint="eastAsia" w:ascii="仿宋" w:hAnsi="仿宋" w:eastAsia="仿宋" w:cs="微软雅黑"/>
          <w:color w:val="000000"/>
          <w:kern w:val="0"/>
          <w:sz w:val="32"/>
          <w:szCs w:val="32"/>
        </w:rPr>
        <w:t>（</w:t>
      </w:r>
      <w:r w:rsidRPr="003C684F" w:rsidR="00A315B9">
        <w:rPr>
          <w:rFonts w:hint="eastAsia" w:ascii="仿宋" w:hAnsi="仿宋" w:eastAsia="仿宋" w:cs="微软雅黑"/>
          <w:color w:val="000000"/>
          <w:kern w:val="0"/>
          <w:sz w:val="32"/>
          <w:szCs w:val="32"/>
        </w:rPr>
        <w:t>m</w:t>
      </w:r>
      <w:r w:rsidRPr="003C684F" w:rsidR="00A315B9">
        <w:rPr>
          <w:rFonts w:hint="eastAsia" w:ascii="仿宋" w:hAnsi="仿宋" w:eastAsia="仿宋" w:cs="微软雅黑"/>
          <w:color w:val="000000"/>
          <w:kern w:val="0"/>
          <w:sz w:val="32"/>
          <w:szCs w:val="32"/>
          <w:vertAlign w:val="superscript"/>
        </w:rPr>
        <w:t>2</w:t>
      </w:r>
      <w:r w:rsidR="00E04840">
        <w:rPr>
          <w:rFonts w:hint="eastAsia" w:ascii="MS Mincho" w:hAnsi="MS Mincho" w:eastAsia="MS Mincho" w:cs="MS Mincho"/>
          <w:color w:val="000000"/>
          <w:kern w:val="0"/>
          <w:sz w:val="32"/>
          <w:szCs w:val="32"/>
        </w:rPr>
        <w:t>•</w:t>
      </w:r>
      <w:r w:rsidRPr="003C684F" w:rsidR="001F52C2">
        <w:rPr>
          <w:rFonts w:hint="eastAsia" w:ascii="仿宋" w:hAnsi="仿宋" w:eastAsia="仿宋" w:cs="微软雅黑"/>
          <w:color w:val="000000"/>
          <w:kern w:val="0"/>
          <w:sz w:val="32"/>
          <w:szCs w:val="32"/>
        </w:rPr>
        <w:t>次）</w:t>
      </w:r>
      <w:r w:rsidRPr="003C684F" w:rsidR="00A315B9">
        <w:rPr>
          <w:rFonts w:hint="eastAsia" w:ascii="仿宋" w:hAnsi="仿宋" w:eastAsia="仿宋" w:cs="微软雅黑"/>
          <w:color w:val="000000"/>
          <w:kern w:val="0"/>
          <w:sz w:val="32"/>
          <w:szCs w:val="32"/>
        </w:rPr>
        <w:t>，每天一次</w:t>
      </w:r>
      <w:r w:rsidRPr="003C684F" w:rsidR="001F52C2">
        <w:rPr>
          <w:rFonts w:hint="eastAsia" w:ascii="仿宋" w:hAnsi="仿宋" w:eastAsia="仿宋" w:cs="微软雅黑"/>
          <w:color w:val="000000"/>
          <w:kern w:val="0"/>
          <w:sz w:val="32"/>
          <w:szCs w:val="32"/>
        </w:rPr>
        <w:t>，口服</w:t>
      </w:r>
      <w:r w:rsidRPr="003C684F" w:rsidR="00A315B9">
        <w:rPr>
          <w:rFonts w:hint="eastAsia" w:ascii="仿宋" w:hAnsi="仿宋" w:eastAsia="仿宋" w:cs="微软雅黑"/>
          <w:color w:val="000000"/>
          <w:kern w:val="0"/>
          <w:sz w:val="32"/>
          <w:szCs w:val="32"/>
        </w:rPr>
        <w:t>。</w:t>
      </w:r>
    </w:p>
    <w:p w:rsidRPr="003C684F" w:rsidR="009730C1" w:rsidRDefault="00A315B9" w14:paraId="391CED9B" w14:textId="484E5729">
      <w:pPr>
        <w:widowControl/>
        <w:snapToGrid w:val="0"/>
        <w:spacing w:before="240" w:after="240" w:line="360" w:lineRule="auto"/>
        <w:contextualSpacing/>
        <w:jc w:val="center"/>
        <w:rPr>
          <w:rFonts w:ascii="仿宋" w:hAnsi="仿宋" w:eastAsia="仿宋" w:cs="微软雅黑"/>
          <w:b/>
          <w:color w:val="000000"/>
          <w:kern w:val="0"/>
        </w:rPr>
      </w:pPr>
      <w:r w:rsidRPr="003C684F">
        <w:rPr>
          <w:rFonts w:hint="eastAsia" w:ascii="仿宋" w:hAnsi="仿宋" w:eastAsia="仿宋" w:cs="微软雅黑"/>
          <w:b/>
          <w:color w:val="000000"/>
          <w:kern w:val="0"/>
        </w:rPr>
        <w:t>表</w:t>
      </w:r>
      <w:r w:rsidRPr="003C684F" w:rsidR="004077FC">
        <w:rPr>
          <w:rFonts w:hint="eastAsia" w:ascii="仿宋" w:hAnsi="仿宋" w:eastAsia="仿宋" w:cs="微软雅黑"/>
          <w:b/>
          <w:color w:val="000000"/>
          <w:kern w:val="0"/>
        </w:rPr>
        <w:t>7</w:t>
      </w:r>
      <w:r w:rsidRPr="003C684F">
        <w:rPr>
          <w:rFonts w:hint="eastAsia" w:ascii="仿宋" w:hAnsi="仿宋" w:eastAsia="仿宋" w:cs="微软雅黑"/>
          <w:b/>
          <w:color w:val="000000"/>
          <w:kern w:val="0"/>
        </w:rPr>
        <w:t xml:space="preserve">　儿童患者恩曲替尼的推荐给药方案</w:t>
      </w:r>
    </w:p>
    <w:tbl>
      <w:tblPr>
        <w:tblStyle w:val="11"/>
        <w:tblW w:w="0" w:type="auto"/>
        <w:tblLook w:val="04A0" w:firstRow="1" w:lastRow="0" w:firstColumn="1" w:lastColumn="0" w:noHBand="0" w:noVBand="1"/>
      </w:tblPr>
      <w:tblGrid>
        <w:gridCol w:w="4112"/>
        <w:gridCol w:w="4112"/>
      </w:tblGrid>
      <w:tr w:rsidRPr="003C684F" w:rsidR="009730C1" w14:paraId="6D7CC352" w14:textId="77777777">
        <w:trPr>
          <w:trHeight w:val="503"/>
        </w:trPr>
        <w:tc>
          <w:tcPr>
            <w:tcW w:w="4112" w:type="dxa"/>
          </w:tcPr>
          <w:p w:rsidRPr="003C684F" w:rsidR="009730C1" w:rsidRDefault="00A315B9" w14:paraId="25D41360" w14:textId="77777777">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体表面积（BSA）</w:t>
            </w:r>
          </w:p>
        </w:tc>
        <w:tc>
          <w:tcPr>
            <w:tcW w:w="4112" w:type="dxa"/>
          </w:tcPr>
          <w:p w:rsidRPr="003C684F" w:rsidR="009730C1" w:rsidP="00491689" w:rsidRDefault="005D24EC" w14:paraId="53F808F7" w14:textId="5B035138">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微软雅黑"/>
                <w:b/>
                <w:color w:val="000000"/>
                <w:kern w:val="0"/>
              </w:rPr>
              <w:t>给药方案</w:t>
            </w:r>
          </w:p>
        </w:tc>
      </w:tr>
      <w:tr w:rsidRPr="003C684F" w:rsidR="009730C1" w14:paraId="405BC15E" w14:textId="77777777">
        <w:trPr>
          <w:trHeight w:val="507"/>
        </w:trPr>
        <w:tc>
          <w:tcPr>
            <w:tcW w:w="4112" w:type="dxa"/>
          </w:tcPr>
          <w:p w:rsidRPr="003C684F" w:rsidR="009730C1" w:rsidRDefault="00A315B9" w14:paraId="665E0797" w14:textId="77777777">
            <w:pPr>
              <w:widowControl/>
              <w:snapToGrid w:val="0"/>
              <w:spacing w:line="360" w:lineRule="auto"/>
              <w:contextualSpacing/>
              <w:jc w:val="left"/>
              <w:rPr>
                <w:rFonts w:ascii="仿宋" w:hAnsi="仿宋" w:eastAsia="仿宋" w:cs="Arial"/>
                <w:color w:val="000000"/>
                <w:kern w:val="0"/>
              </w:rPr>
            </w:pPr>
            <w:r w:rsidRPr="003C684F">
              <w:rPr>
                <w:rFonts w:ascii="仿宋" w:hAnsi="仿宋" w:eastAsia="仿宋" w:cs="Arial"/>
                <w:color w:val="000000"/>
                <w:kern w:val="0"/>
              </w:rPr>
              <w:t>1.11-1.50m</w:t>
            </w:r>
            <w:r w:rsidRPr="003C684F">
              <w:rPr>
                <w:rFonts w:ascii="仿宋" w:hAnsi="仿宋" w:eastAsia="仿宋" w:cs="Arial"/>
                <w:color w:val="000000"/>
                <w:kern w:val="0"/>
                <w:vertAlign w:val="superscript"/>
              </w:rPr>
              <w:t>2</w:t>
            </w:r>
          </w:p>
        </w:tc>
        <w:tc>
          <w:tcPr>
            <w:tcW w:w="4112" w:type="dxa"/>
          </w:tcPr>
          <w:p w:rsidRPr="003C684F" w:rsidR="009730C1" w:rsidRDefault="00A315B9" w14:paraId="40560DC9" w14:textId="7AACEB11">
            <w:pPr>
              <w:widowControl/>
              <w:snapToGrid w:val="0"/>
              <w:spacing w:line="360" w:lineRule="auto"/>
              <w:contextualSpacing/>
              <w:jc w:val="left"/>
              <w:rPr>
                <w:rFonts w:ascii="仿宋" w:hAnsi="仿宋" w:eastAsia="仿宋" w:cs="Arial"/>
                <w:color w:val="000000"/>
                <w:kern w:val="0"/>
              </w:rPr>
            </w:pPr>
            <w:r w:rsidRPr="003C684F">
              <w:rPr>
                <w:rFonts w:ascii="仿宋" w:hAnsi="仿宋" w:eastAsia="仿宋" w:cs="Arial"/>
                <w:color w:val="000000"/>
                <w:kern w:val="0"/>
              </w:rPr>
              <w:t>400mg</w:t>
            </w:r>
            <w:r w:rsidRPr="003C684F" w:rsidR="005D24EC">
              <w:rPr>
                <w:rFonts w:hint="eastAsia" w:ascii="仿宋" w:hAnsi="仿宋" w:eastAsia="仿宋" w:cs="Arial"/>
                <w:color w:val="000000"/>
                <w:kern w:val="0"/>
              </w:rPr>
              <w:t>/次，每天一次</w:t>
            </w:r>
            <w:r w:rsidRPr="003C684F" w:rsidR="00491689">
              <w:rPr>
                <w:rFonts w:hint="eastAsia" w:ascii="仿宋" w:hAnsi="仿宋" w:eastAsia="仿宋" w:cs="Arial"/>
                <w:color w:val="000000"/>
                <w:kern w:val="0"/>
              </w:rPr>
              <w:t>，口服</w:t>
            </w:r>
          </w:p>
        </w:tc>
      </w:tr>
      <w:tr w:rsidRPr="003C684F" w:rsidR="009730C1" w14:paraId="4DF46EDE" w14:textId="77777777">
        <w:trPr>
          <w:trHeight w:val="503"/>
        </w:trPr>
        <w:tc>
          <w:tcPr>
            <w:tcW w:w="4112" w:type="dxa"/>
          </w:tcPr>
          <w:p w:rsidRPr="003C684F" w:rsidR="009730C1" w:rsidRDefault="00A315B9" w14:paraId="1B161BD3"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≥1.51m</w:t>
            </w:r>
            <w:r w:rsidRPr="003C684F">
              <w:rPr>
                <w:rFonts w:hint="eastAsia" w:ascii="仿宋" w:hAnsi="仿宋" w:eastAsia="仿宋" w:cs="Arial"/>
                <w:color w:val="000000"/>
                <w:kern w:val="0"/>
                <w:vertAlign w:val="superscript"/>
              </w:rPr>
              <w:t>2</w:t>
            </w:r>
          </w:p>
        </w:tc>
        <w:tc>
          <w:tcPr>
            <w:tcW w:w="4112" w:type="dxa"/>
          </w:tcPr>
          <w:p w:rsidRPr="003C684F" w:rsidR="009730C1" w:rsidRDefault="00A315B9" w14:paraId="3A363DFA" w14:textId="7E085093">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600mg</w:t>
            </w:r>
            <w:r w:rsidRPr="003C684F" w:rsidR="005D24EC">
              <w:rPr>
                <w:rFonts w:hint="eastAsia" w:ascii="仿宋" w:hAnsi="仿宋" w:eastAsia="仿宋" w:cs="Arial"/>
                <w:color w:val="000000"/>
                <w:kern w:val="0"/>
              </w:rPr>
              <w:t>/次，每天一次</w:t>
            </w:r>
            <w:r w:rsidRPr="003C684F" w:rsidR="00491689">
              <w:rPr>
                <w:rFonts w:hint="eastAsia" w:ascii="仿宋" w:hAnsi="仿宋" w:eastAsia="仿宋" w:cs="Arial"/>
                <w:color w:val="000000"/>
                <w:kern w:val="0"/>
              </w:rPr>
              <w:t>，口服</w:t>
            </w:r>
          </w:p>
        </w:tc>
      </w:tr>
    </w:tbl>
    <w:p w:rsidRPr="003C684F" w:rsidR="009730C1" w:rsidRDefault="004077FC" w14:paraId="354E2CB1" w14:textId="664D2A1C">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5</w:t>
      </w:r>
      <w:r w:rsidRPr="003C684F" w:rsidR="00A315B9">
        <w:rPr>
          <w:rFonts w:hint="eastAsia" w:ascii="仿宋" w:hAnsi="仿宋" w:eastAsia="仿宋" w:cs="微软雅黑"/>
          <w:color w:val="000000"/>
          <w:kern w:val="0"/>
          <w:sz w:val="32"/>
          <w:szCs w:val="32"/>
        </w:rPr>
        <w:t>.管理不良事件时，可能需要暂</w:t>
      </w:r>
      <w:r w:rsidRPr="003C684F" w:rsidR="00C56430">
        <w:rPr>
          <w:rFonts w:hint="eastAsia" w:ascii="仿宋" w:hAnsi="仿宋" w:eastAsia="仿宋" w:cs="微软雅黑"/>
          <w:color w:val="000000"/>
          <w:kern w:val="0"/>
          <w:sz w:val="32"/>
          <w:szCs w:val="32"/>
        </w:rPr>
        <w:t>停用药</w:t>
      </w:r>
      <w:r w:rsidRPr="003C684F" w:rsidR="00A315B9">
        <w:rPr>
          <w:rFonts w:hint="eastAsia" w:ascii="仿宋" w:hAnsi="仿宋" w:eastAsia="仿宋" w:cs="微软雅黑"/>
          <w:color w:val="000000"/>
          <w:kern w:val="0"/>
          <w:sz w:val="32"/>
          <w:szCs w:val="32"/>
        </w:rPr>
        <w:t>、降低剂量或</w:t>
      </w:r>
      <w:r w:rsidRPr="003C684F" w:rsidR="00C56430">
        <w:rPr>
          <w:rFonts w:hint="eastAsia" w:ascii="仿宋" w:hAnsi="仿宋" w:eastAsia="仿宋" w:cs="微软雅黑"/>
          <w:color w:val="000000"/>
          <w:kern w:val="0"/>
          <w:sz w:val="32"/>
          <w:szCs w:val="32"/>
        </w:rPr>
        <w:t>永久停用</w:t>
      </w:r>
      <w:r w:rsidRPr="003C684F" w:rsidR="00A315B9">
        <w:rPr>
          <w:rFonts w:hint="eastAsia" w:ascii="仿宋" w:hAnsi="仿宋" w:eastAsia="仿宋" w:cs="微软雅黑"/>
          <w:color w:val="000000"/>
          <w:kern w:val="0"/>
          <w:sz w:val="32"/>
          <w:szCs w:val="32"/>
        </w:rPr>
        <w:t>，具体根据处方医师对患者安全或耐受性的评估而定。</w:t>
      </w:r>
    </w:p>
    <w:p w:rsidRPr="003C684F" w:rsidR="009730C1" w:rsidRDefault="00A315B9" w14:paraId="13154750" w14:textId="77777777">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成人：根据耐受性，成人的恩曲替尼剂量可最多减量两次。下表提供了成人患者的通用剂量调整建议。</w:t>
      </w:r>
    </w:p>
    <w:p w:rsidRPr="003C684F" w:rsidR="009730C1" w:rsidRDefault="00A315B9" w14:paraId="325D86B4" w14:textId="7AB80832">
      <w:pPr>
        <w:widowControl/>
        <w:snapToGrid w:val="0"/>
        <w:spacing w:before="240" w:after="240" w:line="360" w:lineRule="auto"/>
        <w:contextualSpacing/>
        <w:jc w:val="center"/>
        <w:rPr>
          <w:rFonts w:ascii="仿宋" w:hAnsi="仿宋" w:eastAsia="仿宋" w:cs="微软雅黑"/>
          <w:b/>
          <w:color w:val="000000"/>
          <w:kern w:val="0"/>
        </w:rPr>
      </w:pPr>
      <w:r w:rsidRPr="003C684F">
        <w:rPr>
          <w:rFonts w:hint="eastAsia" w:ascii="仿宋" w:hAnsi="仿宋" w:eastAsia="仿宋" w:cs="微软雅黑"/>
          <w:b/>
          <w:color w:val="000000"/>
          <w:kern w:val="0"/>
        </w:rPr>
        <w:t>表</w:t>
      </w:r>
      <w:r w:rsidRPr="003C684F" w:rsidR="004077FC">
        <w:rPr>
          <w:rFonts w:hint="eastAsia" w:ascii="仿宋" w:hAnsi="仿宋" w:eastAsia="仿宋" w:cs="微软雅黑"/>
          <w:b/>
          <w:color w:val="000000"/>
          <w:kern w:val="0"/>
        </w:rPr>
        <w:t>8</w:t>
      </w:r>
      <w:r w:rsidRPr="003C684F">
        <w:rPr>
          <w:rFonts w:hint="eastAsia" w:ascii="仿宋" w:hAnsi="仿宋" w:eastAsia="仿宋" w:cs="微软雅黑"/>
          <w:b/>
          <w:color w:val="000000"/>
          <w:kern w:val="0"/>
        </w:rPr>
        <w:t xml:space="preserve">　成人患者恩曲替尼的剂量调整建议</w:t>
      </w:r>
    </w:p>
    <w:tbl>
      <w:tblPr>
        <w:tblStyle w:val="11"/>
        <w:tblW w:w="0" w:type="auto"/>
        <w:tblLook w:val="04A0" w:firstRow="1" w:lastRow="0" w:firstColumn="1" w:lastColumn="0" w:noHBand="0" w:noVBand="1"/>
      </w:tblPr>
      <w:tblGrid>
        <w:gridCol w:w="4148"/>
        <w:gridCol w:w="4148"/>
      </w:tblGrid>
      <w:tr w:rsidRPr="003C684F" w:rsidR="009730C1" w14:paraId="10AD2383" w14:textId="77777777">
        <w:tc>
          <w:tcPr>
            <w:tcW w:w="4148" w:type="dxa"/>
          </w:tcPr>
          <w:p w:rsidRPr="003C684F" w:rsidR="009730C1" w:rsidRDefault="00A315B9" w14:paraId="49057B89" w14:textId="77777777">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减量方案</w:t>
            </w:r>
          </w:p>
        </w:tc>
        <w:tc>
          <w:tcPr>
            <w:tcW w:w="4148" w:type="dxa"/>
          </w:tcPr>
          <w:p w:rsidRPr="003C684F" w:rsidR="009730C1" w:rsidRDefault="00A315B9" w14:paraId="72610FEE" w14:textId="77777777">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剂量水平</w:t>
            </w:r>
          </w:p>
        </w:tc>
      </w:tr>
      <w:tr w:rsidRPr="003C684F" w:rsidR="009730C1" w14:paraId="436079A1" w14:textId="77777777">
        <w:tc>
          <w:tcPr>
            <w:tcW w:w="4148" w:type="dxa"/>
          </w:tcPr>
          <w:p w:rsidRPr="003C684F" w:rsidR="009730C1" w:rsidRDefault="00A315B9" w14:paraId="5D380A6A"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起始剂量</w:t>
            </w:r>
          </w:p>
        </w:tc>
        <w:tc>
          <w:tcPr>
            <w:tcW w:w="4148" w:type="dxa"/>
          </w:tcPr>
          <w:p w:rsidRPr="003C684F" w:rsidR="009730C1" w:rsidRDefault="00A315B9" w14:paraId="49F47CB1" w14:textId="7471698E">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600mg</w:t>
            </w:r>
            <w:r w:rsidRPr="003C684F" w:rsidR="005D24EC">
              <w:rPr>
                <w:rFonts w:hint="eastAsia" w:ascii="仿宋" w:hAnsi="仿宋" w:eastAsia="仿宋" w:cs="Arial"/>
                <w:color w:val="000000"/>
                <w:kern w:val="0"/>
              </w:rPr>
              <w:t>/次，每天一次，口服</w:t>
            </w:r>
          </w:p>
        </w:tc>
      </w:tr>
      <w:tr w:rsidRPr="003C684F" w:rsidR="009730C1" w14:paraId="1EDFDCCE" w14:textId="77777777">
        <w:tc>
          <w:tcPr>
            <w:tcW w:w="4148" w:type="dxa"/>
          </w:tcPr>
          <w:p w:rsidRPr="003C684F" w:rsidR="009730C1" w:rsidRDefault="00A315B9" w14:paraId="6726DB78"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首次减量</w:t>
            </w:r>
          </w:p>
        </w:tc>
        <w:tc>
          <w:tcPr>
            <w:tcW w:w="4148" w:type="dxa"/>
          </w:tcPr>
          <w:p w:rsidRPr="003C684F" w:rsidR="009730C1" w:rsidRDefault="00A315B9" w14:paraId="58BE7D75" w14:textId="07D11711">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400mg</w:t>
            </w:r>
            <w:r w:rsidRPr="003C684F" w:rsidR="005D24EC">
              <w:rPr>
                <w:rFonts w:hint="eastAsia" w:ascii="仿宋" w:hAnsi="仿宋" w:eastAsia="仿宋" w:cs="Arial"/>
                <w:color w:val="000000"/>
                <w:kern w:val="0"/>
              </w:rPr>
              <w:t>/次，每天一次，口服</w:t>
            </w:r>
          </w:p>
        </w:tc>
      </w:tr>
      <w:tr w:rsidRPr="003C684F" w:rsidR="009730C1" w14:paraId="0165F391" w14:textId="77777777">
        <w:tc>
          <w:tcPr>
            <w:tcW w:w="4148" w:type="dxa"/>
          </w:tcPr>
          <w:p w:rsidRPr="003C684F" w:rsidR="009730C1" w:rsidRDefault="00A315B9" w14:paraId="0D268283"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第2次减量</w:t>
            </w:r>
          </w:p>
        </w:tc>
        <w:tc>
          <w:tcPr>
            <w:tcW w:w="4148" w:type="dxa"/>
          </w:tcPr>
          <w:p w:rsidRPr="003C684F" w:rsidR="009730C1" w:rsidRDefault="00A315B9" w14:paraId="19698D7F" w14:textId="5DF6216A">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200mg</w:t>
            </w:r>
            <w:r w:rsidRPr="003C684F" w:rsidR="005D24EC">
              <w:rPr>
                <w:rFonts w:hint="eastAsia" w:ascii="仿宋" w:hAnsi="仿宋" w:eastAsia="仿宋" w:cs="Arial"/>
                <w:color w:val="000000"/>
                <w:kern w:val="0"/>
              </w:rPr>
              <w:t>/次，每天一次，口服</w:t>
            </w:r>
          </w:p>
        </w:tc>
      </w:tr>
    </w:tbl>
    <w:p w:rsidRPr="003C684F" w:rsidR="009730C1" w:rsidRDefault="00A315B9" w14:paraId="3F3DBE85" w14:textId="362DE061">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儿童患者：表</w:t>
      </w:r>
      <w:r w:rsidRPr="003C684F" w:rsidR="0099673E">
        <w:rPr>
          <w:rFonts w:hint="eastAsia" w:ascii="仿宋" w:hAnsi="仿宋" w:eastAsia="仿宋" w:cs="微软雅黑"/>
          <w:color w:val="000000"/>
          <w:kern w:val="0"/>
          <w:sz w:val="32"/>
          <w:szCs w:val="32"/>
        </w:rPr>
        <w:t>9</w:t>
      </w:r>
      <w:r w:rsidRPr="003C684F">
        <w:rPr>
          <w:rFonts w:hint="eastAsia" w:ascii="仿宋" w:hAnsi="仿宋" w:eastAsia="仿宋" w:cs="微软雅黑"/>
          <w:color w:val="000000"/>
          <w:kern w:val="0"/>
          <w:sz w:val="32"/>
          <w:szCs w:val="32"/>
        </w:rPr>
        <w:t>提供了儿童患者的特殊减量建议。根据耐受性，年满12岁的儿童患者可最多减量两次。</w:t>
      </w:r>
    </w:p>
    <w:p w:rsidRPr="003C684F" w:rsidR="009730C1" w:rsidRDefault="00A315B9" w14:paraId="3EC2BAAD" w14:textId="6E4D3644">
      <w:pPr>
        <w:widowControl/>
        <w:snapToGrid w:val="0"/>
        <w:spacing w:before="240" w:after="240"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某些儿童患者需要采取间歇给药方案才能达到推荐的减量后的一周总剂量。如果患者不能耐受减量后的最低推荐剂量，</w:t>
      </w:r>
      <w:r w:rsidRPr="003C684F" w:rsidR="00373DC1">
        <w:rPr>
          <w:rFonts w:hint="eastAsia" w:ascii="仿宋" w:hAnsi="仿宋" w:eastAsia="仿宋" w:cs="微软雅黑"/>
          <w:color w:val="000000"/>
          <w:kern w:val="0"/>
          <w:sz w:val="32"/>
          <w:szCs w:val="32"/>
        </w:rPr>
        <w:t>应永久停用</w:t>
      </w:r>
      <w:r w:rsidRPr="003C684F">
        <w:rPr>
          <w:rFonts w:hint="eastAsia" w:ascii="仿宋" w:hAnsi="仿宋" w:eastAsia="仿宋" w:cs="微软雅黑"/>
          <w:color w:val="000000"/>
          <w:kern w:val="0"/>
          <w:sz w:val="32"/>
          <w:szCs w:val="32"/>
        </w:rPr>
        <w:t>恩曲替尼治疗。</w:t>
      </w:r>
    </w:p>
    <w:p w:rsidRPr="003C684F" w:rsidR="009730C1" w:rsidRDefault="00A315B9" w14:paraId="4F80534B" w14:textId="29B0180A">
      <w:pPr>
        <w:widowControl/>
        <w:snapToGrid w:val="0"/>
        <w:spacing w:before="240" w:after="240" w:line="360" w:lineRule="auto"/>
        <w:contextualSpacing/>
        <w:jc w:val="center"/>
        <w:rPr>
          <w:rFonts w:ascii="仿宋" w:hAnsi="仿宋" w:eastAsia="仿宋" w:cs="微软雅黑"/>
          <w:b/>
          <w:color w:val="000000"/>
          <w:kern w:val="0"/>
        </w:rPr>
      </w:pPr>
      <w:r w:rsidRPr="003C684F">
        <w:rPr>
          <w:rFonts w:hint="eastAsia" w:ascii="仿宋" w:hAnsi="仿宋" w:eastAsia="仿宋" w:cs="微软雅黑"/>
          <w:b/>
          <w:color w:val="000000"/>
          <w:kern w:val="0"/>
        </w:rPr>
        <w:t>表</w:t>
      </w:r>
      <w:r w:rsidRPr="003C684F" w:rsidR="004077FC">
        <w:rPr>
          <w:rFonts w:hint="eastAsia" w:ascii="仿宋" w:hAnsi="仿宋" w:eastAsia="仿宋" w:cs="微软雅黑"/>
          <w:b/>
          <w:color w:val="000000"/>
          <w:kern w:val="0"/>
        </w:rPr>
        <w:t>9</w:t>
      </w:r>
      <w:r w:rsidRPr="003C684F">
        <w:rPr>
          <w:rFonts w:hint="eastAsia" w:ascii="仿宋" w:hAnsi="仿宋" w:eastAsia="仿宋" w:cs="微软雅黑"/>
          <w:b/>
          <w:color w:val="000000"/>
          <w:kern w:val="0"/>
        </w:rPr>
        <w:t xml:space="preserve">　儿童患者恩曲替尼的剂量减量方案</w:t>
      </w:r>
    </w:p>
    <w:tbl>
      <w:tblPr>
        <w:tblStyle w:val="11"/>
        <w:tblW w:w="0" w:type="auto"/>
        <w:tblLook w:val="04A0" w:firstRow="1" w:lastRow="0" w:firstColumn="1" w:lastColumn="0" w:noHBand="0" w:noVBand="1"/>
      </w:tblPr>
      <w:tblGrid>
        <w:gridCol w:w="2765"/>
        <w:gridCol w:w="2765"/>
        <w:gridCol w:w="2766"/>
      </w:tblGrid>
      <w:tr w:rsidRPr="003C684F" w:rsidR="009730C1" w14:paraId="6D04A64F" w14:textId="77777777">
        <w:tc>
          <w:tcPr>
            <w:tcW w:w="2765" w:type="dxa"/>
          </w:tcPr>
          <w:p w:rsidRPr="003C684F" w:rsidR="009730C1" w:rsidRDefault="00A315B9" w14:paraId="090832ED" w14:textId="77777777">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措施</w:t>
            </w:r>
          </w:p>
        </w:tc>
        <w:tc>
          <w:tcPr>
            <w:tcW w:w="2765" w:type="dxa"/>
          </w:tcPr>
          <w:p w:rsidRPr="003C684F" w:rsidR="009730C1" w:rsidP="003B4880" w:rsidRDefault="00A315B9" w14:paraId="1491E871" w14:textId="46874B7E">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BSA 1.11-1.50m</w:t>
            </w:r>
            <w:r w:rsidRPr="003C684F">
              <w:rPr>
                <w:rFonts w:hint="eastAsia" w:ascii="仿宋" w:hAnsi="仿宋" w:eastAsia="仿宋" w:cs="Arial"/>
                <w:b/>
                <w:color w:val="000000"/>
                <w:kern w:val="0"/>
                <w:vertAlign w:val="superscript"/>
              </w:rPr>
              <w:t>2</w:t>
            </w:r>
          </w:p>
        </w:tc>
        <w:tc>
          <w:tcPr>
            <w:tcW w:w="2766" w:type="dxa"/>
          </w:tcPr>
          <w:p w:rsidRPr="003C684F" w:rsidR="009730C1" w:rsidP="003B4880" w:rsidRDefault="00A315B9" w14:paraId="532C7EAD" w14:textId="4F67F49E">
            <w:pPr>
              <w:widowControl/>
              <w:snapToGrid w:val="0"/>
              <w:spacing w:line="360" w:lineRule="auto"/>
              <w:contextualSpacing/>
              <w:jc w:val="left"/>
              <w:rPr>
                <w:rFonts w:ascii="仿宋" w:hAnsi="仿宋" w:eastAsia="仿宋" w:cs="Arial"/>
                <w:b/>
                <w:color w:val="000000"/>
                <w:kern w:val="0"/>
              </w:rPr>
            </w:pPr>
            <w:r w:rsidRPr="003C684F">
              <w:rPr>
                <w:rFonts w:hint="eastAsia" w:ascii="仿宋" w:hAnsi="仿宋" w:eastAsia="仿宋" w:cs="Arial"/>
                <w:b/>
                <w:color w:val="000000"/>
                <w:kern w:val="0"/>
              </w:rPr>
              <w:t>BSA≥1.51m</w:t>
            </w:r>
            <w:r w:rsidRPr="003C684F">
              <w:rPr>
                <w:rFonts w:hint="eastAsia" w:ascii="仿宋" w:hAnsi="仿宋" w:eastAsia="仿宋" w:cs="Arial"/>
                <w:b/>
                <w:color w:val="000000"/>
                <w:kern w:val="0"/>
                <w:vertAlign w:val="superscript"/>
              </w:rPr>
              <w:t>2</w:t>
            </w:r>
          </w:p>
        </w:tc>
      </w:tr>
      <w:tr w:rsidRPr="003C684F" w:rsidR="009730C1" w14:paraId="3E85B295" w14:textId="77777777">
        <w:tc>
          <w:tcPr>
            <w:tcW w:w="2765" w:type="dxa"/>
          </w:tcPr>
          <w:p w:rsidRPr="003C684F" w:rsidR="009730C1" w:rsidRDefault="00A315B9" w14:paraId="666D2161"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推荐剂量</w:t>
            </w:r>
          </w:p>
        </w:tc>
        <w:tc>
          <w:tcPr>
            <w:tcW w:w="2765" w:type="dxa"/>
          </w:tcPr>
          <w:p w:rsidRPr="003C684F" w:rsidR="009730C1" w:rsidRDefault="00A315B9" w14:paraId="03A669AC" w14:textId="6C681A55">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400mg</w:t>
            </w:r>
            <w:r w:rsidRPr="003C684F" w:rsidR="003B4880">
              <w:rPr>
                <w:rFonts w:hint="eastAsia" w:ascii="仿宋" w:hAnsi="仿宋" w:eastAsia="仿宋" w:cs="Arial"/>
                <w:color w:val="000000"/>
                <w:kern w:val="0"/>
              </w:rPr>
              <w:t>/次，每天一次，口服</w:t>
            </w:r>
          </w:p>
        </w:tc>
        <w:tc>
          <w:tcPr>
            <w:tcW w:w="2766" w:type="dxa"/>
          </w:tcPr>
          <w:p w:rsidRPr="003C684F" w:rsidR="009730C1" w:rsidRDefault="00A315B9" w14:paraId="2230A063" w14:textId="3EC9EC76">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600mg</w:t>
            </w:r>
            <w:r w:rsidRPr="003C684F" w:rsidR="003B4880">
              <w:rPr>
                <w:rFonts w:hint="eastAsia" w:ascii="仿宋" w:hAnsi="仿宋" w:eastAsia="仿宋" w:cs="Arial"/>
                <w:color w:val="000000"/>
                <w:kern w:val="0"/>
              </w:rPr>
              <w:t>/次，每天一次，口服</w:t>
            </w:r>
          </w:p>
        </w:tc>
      </w:tr>
      <w:tr w:rsidRPr="003C684F" w:rsidR="009730C1" w14:paraId="19E6BDF9" w14:textId="77777777">
        <w:tc>
          <w:tcPr>
            <w:tcW w:w="2765" w:type="dxa"/>
          </w:tcPr>
          <w:p w:rsidRPr="003C684F" w:rsidR="009730C1" w:rsidRDefault="00A315B9" w14:paraId="2A20D5F2"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首次减量</w:t>
            </w:r>
          </w:p>
        </w:tc>
        <w:tc>
          <w:tcPr>
            <w:tcW w:w="2765" w:type="dxa"/>
          </w:tcPr>
          <w:p w:rsidRPr="003C684F" w:rsidR="009730C1" w:rsidRDefault="00A315B9" w14:paraId="48BC7A42" w14:textId="7587B10E">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300mg</w:t>
            </w:r>
            <w:r w:rsidRPr="003C684F" w:rsidR="003B4880">
              <w:rPr>
                <w:rFonts w:hint="eastAsia" w:ascii="仿宋" w:hAnsi="仿宋" w:eastAsia="仿宋" w:cs="Arial"/>
                <w:color w:val="000000"/>
                <w:kern w:val="0"/>
              </w:rPr>
              <w:t>/次，每天一次，口服</w:t>
            </w:r>
          </w:p>
        </w:tc>
        <w:tc>
          <w:tcPr>
            <w:tcW w:w="2766" w:type="dxa"/>
          </w:tcPr>
          <w:p w:rsidRPr="003C684F" w:rsidR="009730C1" w:rsidRDefault="00A315B9" w14:paraId="01AB0B8C" w14:textId="1A99A9BE">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400mg</w:t>
            </w:r>
            <w:r w:rsidRPr="003C684F" w:rsidR="003B4880">
              <w:rPr>
                <w:rFonts w:hint="eastAsia" w:ascii="仿宋" w:hAnsi="仿宋" w:eastAsia="仿宋" w:cs="Arial"/>
                <w:color w:val="000000"/>
                <w:kern w:val="0"/>
              </w:rPr>
              <w:t>/次，每天一次，口服</w:t>
            </w:r>
          </w:p>
        </w:tc>
      </w:tr>
      <w:tr w:rsidRPr="003C684F" w:rsidR="009730C1" w14:paraId="79112C42" w14:textId="77777777">
        <w:tc>
          <w:tcPr>
            <w:tcW w:w="2765" w:type="dxa"/>
          </w:tcPr>
          <w:p w:rsidRPr="003C684F" w:rsidR="009730C1" w:rsidRDefault="00A315B9" w14:paraId="4412B135"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第2次减量</w:t>
            </w:r>
          </w:p>
        </w:tc>
        <w:tc>
          <w:tcPr>
            <w:tcW w:w="2765" w:type="dxa"/>
          </w:tcPr>
          <w:p w:rsidRPr="003C684F" w:rsidR="009730C1" w:rsidRDefault="00A315B9" w14:paraId="1C250E21"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200mg，每周给药5天</w:t>
            </w:r>
            <w:r w:rsidRPr="003C684F">
              <w:rPr>
                <w:rFonts w:hint="eastAsia" w:ascii="仿宋" w:hAnsi="仿宋" w:eastAsia="仿宋" w:cs="Arial"/>
                <w:color w:val="000000"/>
                <w:kern w:val="0"/>
                <w:vertAlign w:val="superscript"/>
              </w:rPr>
              <w:t>*</w:t>
            </w:r>
          </w:p>
        </w:tc>
        <w:tc>
          <w:tcPr>
            <w:tcW w:w="2766" w:type="dxa"/>
          </w:tcPr>
          <w:p w:rsidRPr="003C684F" w:rsidR="009730C1" w:rsidRDefault="00A315B9" w14:paraId="549BD397" w14:textId="05A32918">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rPr>
              <w:t>200mg</w:t>
            </w:r>
            <w:r w:rsidRPr="003C684F" w:rsidR="003B4880">
              <w:rPr>
                <w:rFonts w:hint="eastAsia" w:ascii="仿宋" w:hAnsi="仿宋" w:eastAsia="仿宋" w:cs="Arial"/>
                <w:color w:val="000000"/>
                <w:kern w:val="0"/>
              </w:rPr>
              <w:t>/次，每天一次，口服</w:t>
            </w:r>
          </w:p>
        </w:tc>
      </w:tr>
      <w:tr w:rsidRPr="003C684F" w:rsidR="009730C1" w14:paraId="64BEBE4A" w14:textId="77777777">
        <w:tc>
          <w:tcPr>
            <w:tcW w:w="8296" w:type="dxa"/>
            <w:gridSpan w:val="3"/>
          </w:tcPr>
          <w:p w:rsidRPr="003C684F" w:rsidR="009730C1" w:rsidRDefault="00A315B9" w14:paraId="22DBC91A" w14:textId="77777777">
            <w:pPr>
              <w:widowControl/>
              <w:snapToGrid w:val="0"/>
              <w:spacing w:line="360" w:lineRule="auto"/>
              <w:contextualSpacing/>
              <w:jc w:val="left"/>
              <w:rPr>
                <w:rFonts w:ascii="仿宋" w:hAnsi="仿宋" w:eastAsia="仿宋" w:cs="Arial"/>
                <w:color w:val="000000"/>
                <w:kern w:val="0"/>
              </w:rPr>
            </w:pPr>
            <w:r w:rsidRPr="003C684F">
              <w:rPr>
                <w:rFonts w:hint="eastAsia" w:ascii="仿宋" w:hAnsi="仿宋" w:eastAsia="仿宋" w:cs="Arial"/>
                <w:color w:val="000000"/>
                <w:kern w:val="0"/>
                <w:vertAlign w:val="superscript"/>
              </w:rPr>
              <w:t>*</w:t>
            </w:r>
            <w:r w:rsidRPr="003C684F">
              <w:rPr>
                <w:rFonts w:hint="eastAsia" w:ascii="仿宋" w:hAnsi="仿宋" w:eastAsia="仿宋" w:cs="Arial"/>
                <w:color w:val="000000"/>
                <w:kern w:val="0"/>
              </w:rPr>
              <w:t>每周5天：周一、周三、周五、周六和周日</w:t>
            </w:r>
          </w:p>
        </w:tc>
      </w:tr>
    </w:tbl>
    <w:p w:rsidRPr="003C684F" w:rsidR="009730C1" w:rsidRDefault="004077FC" w14:paraId="0497008B" w14:textId="1D0BDE02">
      <w:pPr>
        <w:widowControl/>
        <w:snapToGrid w:val="0"/>
        <w:spacing w:line="360" w:lineRule="auto"/>
        <w:ind w:firstLine="640" w:firstLineChars="200"/>
        <w:contextualSpacing/>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lastRenderedPageBreak/>
        <w:t>6</w:t>
      </w:r>
      <w:r w:rsidRPr="003C684F" w:rsidR="00A315B9">
        <w:rPr>
          <w:rFonts w:hint="eastAsia" w:ascii="仿宋" w:hAnsi="仿宋" w:eastAsia="仿宋" w:cs="微软雅黑"/>
          <w:color w:val="000000"/>
          <w:kern w:val="0"/>
          <w:sz w:val="32"/>
          <w:szCs w:val="32"/>
        </w:rPr>
        <w:t>.CYP3A强效或中效抑制剂</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：在成人患者中，应避免与CYP3A</w:t>
      </w:r>
      <w:r w:rsidRPr="003C684F" w:rsidR="00E614C9">
        <w:rPr>
          <w:rFonts w:hint="eastAsia" w:ascii="仿宋" w:hAnsi="仿宋" w:eastAsia="仿宋" w:cs="微软雅黑"/>
          <w:color w:val="000000"/>
          <w:kern w:val="0"/>
          <w:sz w:val="32"/>
          <w:szCs w:val="32"/>
        </w:rPr>
        <w:t>强效或中效</w:t>
      </w:r>
      <w:r w:rsidRPr="003C684F" w:rsidR="00A315B9">
        <w:rPr>
          <w:rFonts w:hint="eastAsia" w:ascii="仿宋" w:hAnsi="仿宋" w:eastAsia="仿宋" w:cs="微软雅黑"/>
          <w:color w:val="000000"/>
          <w:kern w:val="0"/>
          <w:sz w:val="32"/>
          <w:szCs w:val="32"/>
        </w:rPr>
        <w:t>抑制剂</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w:t>
      </w:r>
      <w:r w:rsidRPr="003C684F" w:rsidR="00DB4978">
        <w:rPr>
          <w:rFonts w:hint="eastAsia" w:ascii="仿宋" w:hAnsi="仿宋" w:eastAsia="仿宋" w:cs="微软雅黑"/>
          <w:color w:val="000000"/>
          <w:kern w:val="0"/>
          <w:sz w:val="32"/>
          <w:szCs w:val="32"/>
        </w:rPr>
        <w:t>或</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时间应限制在14天以内。如果</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无法避免，则与</w:t>
      </w:r>
      <w:r w:rsidRPr="003C684F" w:rsidR="003900BE">
        <w:rPr>
          <w:rFonts w:hint="eastAsia" w:ascii="仿宋" w:hAnsi="仿宋" w:eastAsia="仿宋" w:cs="微软雅黑"/>
          <w:color w:val="000000"/>
          <w:kern w:val="0"/>
          <w:sz w:val="32"/>
          <w:szCs w:val="32"/>
        </w:rPr>
        <w:t>CYP3A强效</w:t>
      </w:r>
      <w:r w:rsidRPr="003C684F" w:rsidR="00A315B9">
        <w:rPr>
          <w:rFonts w:hint="eastAsia" w:ascii="仿宋" w:hAnsi="仿宋" w:eastAsia="仿宋" w:cs="微软雅黑"/>
          <w:color w:val="000000"/>
          <w:kern w:val="0"/>
          <w:sz w:val="32"/>
          <w:szCs w:val="32"/>
        </w:rPr>
        <w:t>抑制剂</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时，应将恩曲替尼剂量降至100mg</w:t>
      </w:r>
      <w:r w:rsidRPr="003C684F" w:rsidR="00A24989">
        <w:rPr>
          <w:rFonts w:hint="eastAsia" w:ascii="仿宋" w:hAnsi="仿宋" w:eastAsia="仿宋" w:cs="微软雅黑"/>
          <w:color w:val="000000"/>
          <w:kern w:val="0"/>
          <w:sz w:val="32"/>
          <w:szCs w:val="32"/>
        </w:rPr>
        <w:t>/次，</w:t>
      </w:r>
      <w:r w:rsidRPr="003C684F" w:rsidR="00A315B9">
        <w:rPr>
          <w:rFonts w:hint="eastAsia" w:ascii="仿宋" w:hAnsi="仿宋" w:eastAsia="仿宋" w:cs="微软雅黑"/>
          <w:color w:val="000000"/>
          <w:kern w:val="0"/>
          <w:sz w:val="32"/>
          <w:szCs w:val="32"/>
        </w:rPr>
        <w:t>每天一次，与CYP3A</w:t>
      </w:r>
      <w:r w:rsidRPr="003C684F" w:rsidR="000B48CA">
        <w:rPr>
          <w:rFonts w:hint="eastAsia" w:ascii="仿宋" w:hAnsi="仿宋" w:eastAsia="仿宋" w:cs="微软雅黑"/>
          <w:color w:val="000000"/>
          <w:kern w:val="0"/>
          <w:sz w:val="32"/>
          <w:szCs w:val="32"/>
        </w:rPr>
        <w:t>中效</w:t>
      </w:r>
      <w:r w:rsidRPr="003C684F" w:rsidR="00A315B9">
        <w:rPr>
          <w:rFonts w:hint="eastAsia" w:ascii="仿宋" w:hAnsi="仿宋" w:eastAsia="仿宋" w:cs="微软雅黑"/>
          <w:color w:val="000000"/>
          <w:kern w:val="0"/>
          <w:sz w:val="32"/>
          <w:szCs w:val="32"/>
        </w:rPr>
        <w:t>抑制剂</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时，应将恩曲替尼剂量降至200mg</w:t>
      </w:r>
      <w:r w:rsidRPr="003C684F" w:rsidR="00A24989">
        <w:rPr>
          <w:rFonts w:hint="eastAsia" w:ascii="仿宋" w:hAnsi="仿宋" w:eastAsia="仿宋" w:cs="微软雅黑"/>
          <w:color w:val="000000"/>
          <w:kern w:val="0"/>
          <w:sz w:val="32"/>
          <w:szCs w:val="32"/>
        </w:rPr>
        <w:t>/次，</w:t>
      </w:r>
      <w:r w:rsidRPr="003C684F" w:rsidR="00A315B9">
        <w:rPr>
          <w:rFonts w:hint="eastAsia" w:ascii="仿宋" w:hAnsi="仿宋" w:eastAsia="仿宋" w:cs="微软雅黑"/>
          <w:color w:val="000000"/>
          <w:kern w:val="0"/>
          <w:sz w:val="32"/>
          <w:szCs w:val="32"/>
        </w:rPr>
        <w:t>每天一次。在停止</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的CYP3A</w:t>
      </w:r>
      <w:r w:rsidRPr="003C684F" w:rsidR="00E614C9">
        <w:rPr>
          <w:rFonts w:hint="eastAsia" w:ascii="仿宋" w:hAnsi="仿宋" w:eastAsia="仿宋" w:cs="微软雅黑"/>
          <w:color w:val="000000"/>
          <w:kern w:val="0"/>
          <w:sz w:val="32"/>
          <w:szCs w:val="32"/>
        </w:rPr>
        <w:t>强效或中效</w:t>
      </w:r>
      <w:r w:rsidRPr="003C684F" w:rsidR="00A315B9">
        <w:rPr>
          <w:rFonts w:hint="eastAsia" w:ascii="仿宋" w:hAnsi="仿宋" w:eastAsia="仿宋" w:cs="微软雅黑"/>
          <w:color w:val="000000"/>
          <w:kern w:val="0"/>
          <w:sz w:val="32"/>
          <w:szCs w:val="32"/>
        </w:rPr>
        <w:t>抑制剂后，可以恢复恩曲替尼至</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前的剂量。半衰期长的CYP3A4抑制剂可能需要洗脱期。在儿童患者中，应该避免</w:t>
      </w:r>
      <w:r w:rsidRPr="003C684F" w:rsidR="00E923A0">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CYP3A</w:t>
      </w:r>
      <w:r w:rsidRPr="003C684F" w:rsidR="00E614C9">
        <w:rPr>
          <w:rFonts w:hint="eastAsia" w:ascii="仿宋" w:hAnsi="仿宋" w:eastAsia="仿宋" w:cs="微软雅黑"/>
          <w:color w:val="000000"/>
          <w:kern w:val="0"/>
          <w:sz w:val="32"/>
          <w:szCs w:val="32"/>
        </w:rPr>
        <w:t>强效或中效</w:t>
      </w:r>
      <w:r w:rsidRPr="003C684F" w:rsidR="00A315B9">
        <w:rPr>
          <w:rFonts w:hint="eastAsia" w:ascii="仿宋" w:hAnsi="仿宋" w:eastAsia="仿宋" w:cs="微软雅黑"/>
          <w:color w:val="000000"/>
          <w:kern w:val="0"/>
          <w:sz w:val="32"/>
          <w:szCs w:val="32"/>
        </w:rPr>
        <w:t>抑制剂。CYP3A诱导剂</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：在成人和儿童患者中，应避免</w:t>
      </w:r>
      <w:r w:rsidRPr="003C684F" w:rsidR="00DE313C">
        <w:rPr>
          <w:rFonts w:hint="eastAsia" w:ascii="仿宋" w:hAnsi="仿宋" w:eastAsia="仿宋" w:cs="微软雅黑"/>
          <w:color w:val="000000"/>
          <w:kern w:val="0"/>
          <w:sz w:val="32"/>
          <w:szCs w:val="32"/>
        </w:rPr>
        <w:t>联合使用</w:t>
      </w:r>
      <w:r w:rsidRPr="003C684F" w:rsidR="00A315B9">
        <w:rPr>
          <w:rFonts w:hint="eastAsia" w:ascii="仿宋" w:hAnsi="仿宋" w:eastAsia="仿宋" w:cs="微软雅黑"/>
          <w:color w:val="000000"/>
          <w:kern w:val="0"/>
          <w:sz w:val="32"/>
          <w:szCs w:val="32"/>
        </w:rPr>
        <w:t>CYP3A诱导剂。</w:t>
      </w:r>
    </w:p>
    <w:p w:rsidRPr="003C684F" w:rsidR="009730C1" w:rsidRDefault="004077FC" w14:paraId="2FFC77F0" w14:textId="64E4883F">
      <w:pPr>
        <w:widowControl/>
        <w:snapToGrid w:val="0"/>
        <w:spacing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7</w:t>
      </w:r>
      <w:r w:rsidRPr="003C684F" w:rsidR="00A315B9">
        <w:rPr>
          <w:rFonts w:hint="eastAsia" w:ascii="仿宋" w:hAnsi="仿宋" w:eastAsia="仿宋" w:cs="微软雅黑"/>
          <w:color w:val="000000"/>
          <w:kern w:val="0"/>
          <w:sz w:val="32"/>
          <w:szCs w:val="32"/>
        </w:rPr>
        <w:t>.轻中度肾功能损伤患者</w:t>
      </w:r>
      <w:r w:rsidRPr="003C684F" w:rsidR="00BD154E">
        <w:rPr>
          <w:rFonts w:hint="eastAsia" w:ascii="仿宋" w:hAnsi="仿宋" w:eastAsia="仿宋" w:cs="微软雅黑"/>
          <w:color w:val="000000"/>
          <w:kern w:val="0"/>
          <w:sz w:val="32"/>
          <w:szCs w:val="32"/>
        </w:rPr>
        <w:t>无需</w:t>
      </w:r>
      <w:r w:rsidRPr="003C684F" w:rsidR="00A315B9">
        <w:rPr>
          <w:rFonts w:hint="eastAsia" w:ascii="仿宋" w:hAnsi="仿宋" w:eastAsia="仿宋" w:cs="微软雅黑"/>
          <w:color w:val="000000"/>
          <w:kern w:val="0"/>
          <w:sz w:val="32"/>
          <w:szCs w:val="32"/>
        </w:rPr>
        <w:t>调整剂量。尚未在重度肾功能损伤患者中研究恩曲替尼的安全性与有效性。然而，由于恩曲替尼的肾脏消除率可忽略不计，重度肾功能损伤患者</w:t>
      </w:r>
      <w:r w:rsidRPr="003C684F" w:rsidR="00BD154E">
        <w:rPr>
          <w:rFonts w:hint="eastAsia" w:ascii="仿宋" w:hAnsi="仿宋" w:eastAsia="仿宋" w:cs="微软雅黑"/>
          <w:color w:val="000000"/>
          <w:kern w:val="0"/>
          <w:sz w:val="32"/>
          <w:szCs w:val="32"/>
        </w:rPr>
        <w:t>无需</w:t>
      </w:r>
      <w:r w:rsidRPr="003C684F" w:rsidR="00A315B9">
        <w:rPr>
          <w:rFonts w:hint="eastAsia" w:ascii="仿宋" w:hAnsi="仿宋" w:eastAsia="仿宋" w:cs="微软雅黑"/>
          <w:color w:val="000000"/>
          <w:kern w:val="0"/>
          <w:sz w:val="32"/>
          <w:szCs w:val="32"/>
        </w:rPr>
        <w:t>调整剂量。</w:t>
      </w:r>
    </w:p>
    <w:p w:rsidRPr="003C684F" w:rsidR="009730C1" w:rsidRDefault="004077FC" w14:paraId="039208CF" w14:textId="2D1C4CD1">
      <w:pPr>
        <w:widowControl/>
        <w:snapToGrid w:val="0"/>
        <w:spacing w:line="360" w:lineRule="auto"/>
        <w:ind w:firstLine="640" w:firstLineChars="200"/>
        <w:contextualSpacing/>
        <w:jc w:val="left"/>
        <w:rPr>
          <w:rFonts w:ascii="仿宋" w:hAnsi="仿宋" w:eastAsia="仿宋" w:cs="微软雅黑"/>
          <w:color w:val="000000"/>
          <w:kern w:val="0"/>
          <w:sz w:val="32"/>
          <w:szCs w:val="32"/>
        </w:rPr>
      </w:pPr>
      <w:r w:rsidRPr="003C684F">
        <w:rPr>
          <w:rFonts w:hint="eastAsia" w:ascii="仿宋" w:hAnsi="仿宋" w:eastAsia="仿宋" w:cs="微软雅黑"/>
          <w:color w:val="000000"/>
          <w:kern w:val="0"/>
          <w:sz w:val="32"/>
          <w:szCs w:val="32"/>
        </w:rPr>
        <w:t>8</w:t>
      </w:r>
      <w:r w:rsidRPr="003C684F" w:rsidR="00A315B9">
        <w:rPr>
          <w:rFonts w:hint="eastAsia" w:ascii="仿宋" w:hAnsi="仿宋" w:eastAsia="仿宋" w:cs="微软雅黑"/>
          <w:color w:val="000000"/>
          <w:kern w:val="0"/>
          <w:sz w:val="32"/>
          <w:szCs w:val="32"/>
        </w:rPr>
        <w:t>.驾驶和操纵机械的能力：恩曲替尼可能影响驾驶和操纵器械的能力。应告知患者，在恩曲替尼治疗期间出现认知不良反应、晕厥、视物模糊或头晕时避免驾驶或操纵机械，直至症状消退。</w:t>
      </w:r>
    </w:p>
    <w:p w:rsidRPr="003C684F" w:rsidR="009730C1" w:rsidRDefault="00A315B9" w14:paraId="0CC66013" w14:textId="77777777">
      <w:pPr>
        <w:snapToGrid w:val="0"/>
        <w:spacing w:line="360" w:lineRule="auto"/>
        <w:ind w:firstLine="640" w:firstLineChars="200"/>
        <w:contextualSpacing/>
        <w:rPr>
          <w:rFonts w:ascii="黑体" w:hAnsi="黑体" w:eastAsia="黑体" w:cs="Times New Roman"/>
          <w:sz w:val="32"/>
          <w:szCs w:val="32"/>
        </w:rPr>
      </w:pPr>
      <w:r w:rsidRPr="003C684F">
        <w:rPr>
          <w:rFonts w:hint="eastAsia" w:ascii="黑体" w:hAnsi="黑体" w:eastAsia="黑体" w:cs="黑体"/>
          <w:sz w:val="32"/>
          <w:szCs w:val="32"/>
        </w:rPr>
        <w:t>二十四、纳武利尤单抗 N</w:t>
      </w:r>
      <w:r w:rsidRPr="003C684F">
        <w:rPr>
          <w:rFonts w:ascii="黑体" w:hAnsi="黑体" w:eastAsia="黑体" w:cs="黑体"/>
          <w:sz w:val="32"/>
          <w:szCs w:val="32"/>
        </w:rPr>
        <w:t>ivolumab</w:t>
      </w:r>
    </w:p>
    <w:p w:rsidRPr="003C684F" w:rsidR="009730C1" w:rsidRDefault="00A315B9" w14:paraId="31607705" w14:textId="77777777">
      <w:pPr>
        <w:snapToGrid w:val="0"/>
        <w:spacing w:line="360" w:lineRule="auto"/>
        <w:ind w:firstLine="613" w:firstLineChars="200"/>
        <w:contextualSpacing/>
        <w:rPr>
          <w:rFonts w:ascii="仿宋" w:hAnsi="仿宋" w:eastAsia="仿宋" w:cs="Times New Roman"/>
          <w:b/>
          <w:bCs/>
          <w:w w:val="95"/>
          <w:sz w:val="32"/>
          <w:szCs w:val="32"/>
          <w:lang w:val="it-IT"/>
        </w:rPr>
      </w:pPr>
      <w:r w:rsidRPr="003C684F">
        <w:rPr>
          <w:rFonts w:hint="eastAsia" w:ascii="仿宋" w:hAnsi="仿宋" w:eastAsia="仿宋" w:cs="仿宋"/>
          <w:b/>
          <w:bCs/>
          <w:w w:val="95"/>
          <w:sz w:val="32"/>
          <w:szCs w:val="32"/>
        </w:rPr>
        <w:t>制剂与规格</w:t>
      </w:r>
      <w:r w:rsidRPr="003C684F">
        <w:rPr>
          <w:rFonts w:hint="eastAsia" w:ascii="仿宋" w:hAnsi="仿宋" w:eastAsia="仿宋" w:cs="仿宋"/>
          <w:w w:val="95"/>
          <w:sz w:val="32"/>
          <w:szCs w:val="32"/>
          <w:lang w:val="it-IT"/>
        </w:rPr>
        <w:t>：注射</w:t>
      </w:r>
      <w:r w:rsidRPr="003C684F" w:rsidR="00DE0809">
        <w:rPr>
          <w:rFonts w:hint="eastAsia" w:ascii="仿宋" w:hAnsi="仿宋" w:eastAsia="仿宋" w:cs="仿宋"/>
          <w:w w:val="95"/>
          <w:sz w:val="32"/>
          <w:szCs w:val="32"/>
          <w:lang w:val="it-IT"/>
        </w:rPr>
        <w:t>剂</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40mg</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4ml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w:t>
      </w:r>
      <w:r w:rsidRPr="003C684F">
        <w:rPr>
          <w:rFonts w:ascii="仿宋" w:hAnsi="仿宋" w:eastAsia="仿宋" w:cs="仿宋"/>
          <w:w w:val="95"/>
          <w:sz w:val="32"/>
          <w:szCs w:val="32"/>
          <w:lang w:val="it-IT"/>
        </w:rPr>
        <w:t>100mg</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10ml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w:t>
      </w:r>
    </w:p>
    <w:p w:rsidRPr="003C684F" w:rsidR="009730C1" w:rsidRDefault="00A315B9" w14:paraId="5CC2C48B" w14:textId="77777777">
      <w:pPr>
        <w:snapToGrid w:val="0"/>
        <w:spacing w:line="360" w:lineRule="auto"/>
        <w:ind w:firstLine="643" w:firstLineChars="200"/>
        <w:contextualSpacing/>
        <w:rPr>
          <w:rFonts w:ascii="仿宋" w:hAnsi="仿宋" w:eastAsia="仿宋" w:cs="仿宋"/>
          <w:sz w:val="32"/>
          <w:szCs w:val="32"/>
        </w:rPr>
      </w:pPr>
      <w:r w:rsidRPr="003C684F">
        <w:rPr>
          <w:rFonts w:hint="eastAsia" w:ascii="仿宋" w:hAnsi="仿宋" w:eastAsia="仿宋" w:cs="仿宋"/>
          <w:b/>
          <w:bCs/>
          <w:sz w:val="32"/>
          <w:szCs w:val="32"/>
        </w:rPr>
        <w:lastRenderedPageBreak/>
        <w:t>适应证</w:t>
      </w:r>
      <w:r w:rsidRPr="003C684F">
        <w:rPr>
          <w:rFonts w:hint="eastAsia" w:ascii="仿宋" w:hAnsi="仿宋" w:eastAsia="仿宋" w:cs="仿宋"/>
          <w:sz w:val="32"/>
          <w:szCs w:val="32"/>
        </w:rPr>
        <w:t>：</w:t>
      </w:r>
    </w:p>
    <w:p w:rsidRPr="003C684F" w:rsidR="009730C1" w:rsidRDefault="00A315B9" w14:paraId="36FAFE82"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Times New Roman"/>
          <w:sz w:val="32"/>
          <w:szCs w:val="32"/>
        </w:rPr>
        <w:t>1</w:t>
      </w:r>
      <w:r w:rsidRPr="003C684F">
        <w:rPr>
          <w:rFonts w:hint="eastAsia" w:ascii="仿宋" w:hAnsi="仿宋" w:eastAsia="仿宋" w:cs="Times New Roman"/>
          <w:sz w:val="32"/>
          <w:szCs w:val="32"/>
        </w:rPr>
        <w:t>.本品单药适用于治疗EGFR基因突变阴性和ALK阴性、既往接受过含铂方案化疗后疾病进展或不可耐受的局部晚期或转移性NSCLC成人患者。</w:t>
      </w:r>
    </w:p>
    <w:p w:rsidRPr="003C684F" w:rsidR="009730C1" w:rsidRDefault="00A315B9" w14:paraId="56029E49" w14:textId="77777777">
      <w:pPr>
        <w:snapToGrid w:val="0"/>
        <w:spacing w:line="360" w:lineRule="auto"/>
        <w:ind w:firstLine="640" w:firstLineChars="200"/>
        <w:contextualSpacing/>
        <w:rPr>
          <w:rFonts w:ascii="仿宋" w:hAnsi="仿宋" w:eastAsia="仿宋" w:cs="仿宋"/>
          <w:bCs/>
          <w:sz w:val="32"/>
          <w:szCs w:val="32"/>
        </w:rPr>
      </w:pPr>
      <w:r w:rsidRPr="003C684F">
        <w:rPr>
          <w:rFonts w:hint="eastAsia" w:ascii="仿宋" w:hAnsi="仿宋" w:eastAsia="仿宋" w:cs="仿宋"/>
          <w:bCs/>
          <w:sz w:val="32"/>
          <w:szCs w:val="32"/>
        </w:rPr>
        <w:t>2.本品联合伊匹木单抗用于不可手术切除的、初治的非上皮样恶性胸膜间皮瘤成人患者。</w:t>
      </w:r>
    </w:p>
    <w:p w:rsidRPr="003C684F" w:rsidR="009730C1" w:rsidRDefault="00A315B9" w14:paraId="3D7F4749" w14:textId="77777777">
      <w:pPr>
        <w:snapToGrid w:val="0"/>
        <w:spacing w:line="360" w:lineRule="auto"/>
        <w:ind w:firstLine="643" w:firstLineChars="200"/>
        <w:contextualSpacing/>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56DEA385"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局部晚期或转移性</w:t>
      </w:r>
      <w:r w:rsidRPr="003C684F">
        <w:rPr>
          <w:rFonts w:ascii="仿宋" w:hAnsi="仿宋" w:eastAsia="仿宋" w:cs="仿宋"/>
          <w:sz w:val="32"/>
          <w:szCs w:val="32"/>
        </w:rPr>
        <w:t>NSCLC</w:t>
      </w:r>
      <w:r w:rsidRPr="003C684F">
        <w:rPr>
          <w:rFonts w:hint="eastAsia" w:ascii="仿宋" w:hAnsi="仿宋" w:eastAsia="仿宋" w:cs="仿宋"/>
          <w:sz w:val="32"/>
          <w:szCs w:val="32"/>
        </w:rPr>
        <w:t>成人患者，既往接受过含铂方案化疗后疾病进展或不可耐受。</w:t>
      </w:r>
    </w:p>
    <w:p w:rsidRPr="003C684F" w:rsidR="009730C1" w:rsidRDefault="00A315B9" w14:paraId="363403A7"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患者必须为</w:t>
      </w:r>
      <w:r w:rsidRPr="003C684F">
        <w:rPr>
          <w:rFonts w:ascii="仿宋" w:hAnsi="仿宋" w:eastAsia="仿宋" w:cs="仿宋"/>
          <w:sz w:val="32"/>
          <w:szCs w:val="32"/>
        </w:rPr>
        <w:t>EGFR</w:t>
      </w:r>
      <w:r w:rsidRPr="003C684F">
        <w:rPr>
          <w:rFonts w:hint="eastAsia" w:ascii="仿宋" w:hAnsi="仿宋" w:eastAsia="仿宋" w:cs="仿宋"/>
          <w:sz w:val="32"/>
          <w:szCs w:val="32"/>
        </w:rPr>
        <w:t>阴性和ALK阴性。</w:t>
      </w:r>
    </w:p>
    <w:p w:rsidRPr="003C684F" w:rsidR="009730C1" w:rsidRDefault="00A315B9" w14:paraId="047CEB73"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只要观察到临床获益，应继续纳武利尤单抗治疗，直至患者不能耐受，有可能观察到非典型反应（例如最初几个月内肿瘤暂时增大或出现新的小病灶，随后肿瘤缩小）。如果患者临床症状稳定或持续减轻，即使有疾病进展的初步证据，基于总体临床获益的判断，可考虑继续应用本品治疗，直至证实疾病进展。</w:t>
      </w:r>
    </w:p>
    <w:p w:rsidRPr="003C684F" w:rsidR="009730C1" w:rsidRDefault="00A315B9" w14:paraId="47613CB8" w14:textId="3255ED89">
      <w:pPr>
        <w:snapToGrid w:val="0"/>
        <w:spacing w:line="360" w:lineRule="auto"/>
        <w:ind w:firstLine="640" w:firstLineChars="200"/>
        <w:contextualSpacing/>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纳武利尤单抗在中国基于</w:t>
      </w:r>
      <w:r w:rsidRPr="003C684F">
        <w:rPr>
          <w:rFonts w:ascii="仿宋" w:hAnsi="仿宋" w:eastAsia="仿宋" w:cs="仿宋"/>
          <w:sz w:val="32"/>
          <w:szCs w:val="32"/>
        </w:rPr>
        <w:t>CheckMate 078</w:t>
      </w:r>
      <w:r w:rsidRPr="003C684F">
        <w:rPr>
          <w:rFonts w:hint="eastAsia" w:ascii="仿宋" w:hAnsi="仿宋" w:eastAsia="仿宋" w:cs="仿宋"/>
          <w:sz w:val="32"/>
          <w:szCs w:val="32"/>
        </w:rPr>
        <w:t>研究，单药使用获批的剂量是3mg/kg或240mg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固定剂量，每2周一次，30分钟</w:t>
      </w:r>
      <w:r w:rsidRPr="003C684F" w:rsidR="00A21F47">
        <w:rPr>
          <w:rFonts w:hint="eastAsia" w:ascii="仿宋" w:hAnsi="仿宋" w:eastAsia="仿宋" w:cs="仿宋"/>
          <w:sz w:val="32"/>
          <w:szCs w:val="32"/>
        </w:rPr>
        <w:t>静脉</w:t>
      </w:r>
      <w:r w:rsidRPr="003C684F">
        <w:rPr>
          <w:rFonts w:hint="eastAsia" w:ascii="仿宋" w:hAnsi="仿宋" w:eastAsia="仿宋" w:cs="仿宋"/>
          <w:sz w:val="32"/>
          <w:szCs w:val="32"/>
        </w:rPr>
        <w:t>输注。在欧美，基于</w:t>
      </w:r>
      <w:r w:rsidRPr="003C684F">
        <w:rPr>
          <w:rFonts w:ascii="仿宋" w:hAnsi="仿宋" w:eastAsia="仿宋" w:cs="仿宋"/>
          <w:sz w:val="32"/>
          <w:szCs w:val="32"/>
        </w:rPr>
        <w:t>PPK</w:t>
      </w:r>
      <w:r w:rsidRPr="003C684F">
        <w:rPr>
          <w:rFonts w:hint="eastAsia" w:ascii="仿宋" w:hAnsi="仿宋" w:eastAsia="仿宋" w:cs="仿宋"/>
          <w:sz w:val="32"/>
          <w:szCs w:val="32"/>
        </w:rPr>
        <w:t>研究，纳武利尤单抗已经获批固定剂量，</w:t>
      </w:r>
      <w:r w:rsidRPr="003C684F">
        <w:rPr>
          <w:rFonts w:ascii="仿宋" w:hAnsi="仿宋" w:eastAsia="仿宋" w:cs="仿宋"/>
          <w:sz w:val="32"/>
          <w:szCs w:val="32"/>
        </w:rPr>
        <w:t>480mg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、每</w:t>
      </w:r>
      <w:r w:rsidRPr="003C684F">
        <w:rPr>
          <w:rFonts w:ascii="仿宋" w:hAnsi="仿宋" w:eastAsia="仿宋" w:cs="仿宋"/>
          <w:sz w:val="32"/>
          <w:szCs w:val="32"/>
        </w:rPr>
        <w:t>4</w:t>
      </w:r>
      <w:r w:rsidRPr="003C684F">
        <w:rPr>
          <w:rFonts w:hint="eastAsia" w:ascii="仿宋" w:hAnsi="仿宋" w:eastAsia="仿宋" w:cs="仿宋"/>
          <w:sz w:val="32"/>
          <w:szCs w:val="32"/>
        </w:rPr>
        <w:t>周一次</w:t>
      </w:r>
      <w:r w:rsidRPr="003C684F" w:rsidR="00DB4978">
        <w:rPr>
          <w:rFonts w:hint="eastAsia" w:ascii="仿宋" w:hAnsi="仿宋" w:eastAsia="仿宋" w:cs="仿宋"/>
          <w:sz w:val="32"/>
          <w:szCs w:val="32"/>
        </w:rPr>
        <w:t>或</w:t>
      </w:r>
      <w:r w:rsidRPr="003C684F">
        <w:rPr>
          <w:rFonts w:ascii="仿宋" w:hAnsi="仿宋" w:eastAsia="仿宋" w:cs="仿宋"/>
          <w:sz w:val="32"/>
          <w:szCs w:val="32"/>
        </w:rPr>
        <w:t>240mg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、每</w:t>
      </w:r>
      <w:r w:rsidRPr="003C684F">
        <w:rPr>
          <w:rFonts w:ascii="仿宋" w:hAnsi="仿宋" w:eastAsia="仿宋" w:cs="仿宋"/>
          <w:sz w:val="32"/>
          <w:szCs w:val="32"/>
        </w:rPr>
        <w:t>2</w:t>
      </w:r>
      <w:r w:rsidRPr="003C684F">
        <w:rPr>
          <w:rFonts w:hint="eastAsia" w:ascii="仿宋" w:hAnsi="仿宋" w:eastAsia="仿宋" w:cs="仿宋"/>
          <w:sz w:val="32"/>
          <w:szCs w:val="32"/>
        </w:rPr>
        <w:t>周一次，</w:t>
      </w:r>
      <w:r w:rsidRPr="003C684F">
        <w:rPr>
          <w:rFonts w:ascii="仿宋" w:hAnsi="仿宋" w:eastAsia="仿宋" w:cs="仿宋"/>
          <w:sz w:val="32"/>
          <w:szCs w:val="32"/>
        </w:rPr>
        <w:t>30</w:t>
      </w:r>
      <w:r w:rsidRPr="003C684F">
        <w:rPr>
          <w:rFonts w:hint="eastAsia" w:ascii="仿宋" w:hAnsi="仿宋" w:eastAsia="仿宋" w:cs="仿宋"/>
          <w:sz w:val="32"/>
          <w:szCs w:val="32"/>
        </w:rPr>
        <w:t>分钟</w:t>
      </w:r>
      <w:r w:rsidRPr="003C684F" w:rsidR="00A21F47">
        <w:rPr>
          <w:rFonts w:hint="eastAsia" w:ascii="仿宋" w:hAnsi="仿宋" w:eastAsia="仿宋" w:cs="仿宋"/>
          <w:sz w:val="32"/>
          <w:szCs w:val="32"/>
        </w:rPr>
        <w:t>静脉</w:t>
      </w:r>
      <w:r w:rsidRPr="003C684F">
        <w:rPr>
          <w:rFonts w:hint="eastAsia" w:ascii="仿宋" w:hAnsi="仿宋" w:eastAsia="仿宋" w:cs="仿宋"/>
          <w:sz w:val="32"/>
          <w:szCs w:val="32"/>
        </w:rPr>
        <w:t>输注。</w:t>
      </w:r>
    </w:p>
    <w:p w:rsidRPr="003C684F" w:rsidR="009730C1" w:rsidRDefault="00A315B9" w14:paraId="7863438B" w14:textId="146C0CE5">
      <w:pPr>
        <w:snapToGrid w:val="0"/>
        <w:spacing w:line="360" w:lineRule="auto"/>
        <w:ind w:firstLine="640" w:firstLineChars="200"/>
        <w:contextualSpacing/>
        <w:rPr>
          <w:rFonts w:ascii="仿宋" w:hAnsi="仿宋" w:eastAsia="仿宋" w:cs="仿宋"/>
          <w:sz w:val="32"/>
          <w:szCs w:val="32"/>
        </w:rPr>
      </w:pPr>
      <w:r w:rsidRPr="003C684F">
        <w:rPr>
          <w:rFonts w:ascii="仿宋" w:hAnsi="仿宋" w:eastAsia="仿宋" w:cs="仿宋"/>
          <w:sz w:val="32"/>
          <w:szCs w:val="32"/>
        </w:rPr>
        <w:t>5.本品可采用10mg/ml</w:t>
      </w:r>
      <w:r w:rsidRPr="003C684F">
        <w:rPr>
          <w:rFonts w:hint="eastAsia" w:ascii="仿宋" w:hAnsi="仿宋" w:eastAsia="仿宋" w:cs="仿宋"/>
          <w:sz w:val="32"/>
          <w:szCs w:val="32"/>
        </w:rPr>
        <w:t>溶液直接输注，</w:t>
      </w:r>
      <w:r w:rsidRPr="003C684F" w:rsidR="00DB4978">
        <w:rPr>
          <w:rFonts w:hint="eastAsia" w:ascii="仿宋" w:hAnsi="仿宋" w:eastAsia="仿宋" w:cs="仿宋"/>
          <w:sz w:val="32"/>
          <w:szCs w:val="32"/>
        </w:rPr>
        <w:t>或</w:t>
      </w:r>
      <w:r w:rsidRPr="003C684F" w:rsidR="004C0FCA">
        <w:rPr>
          <w:rFonts w:hint="eastAsia" w:ascii="仿宋" w:hAnsi="仿宋" w:eastAsia="仿宋" w:cs="仿宋"/>
          <w:sz w:val="32"/>
          <w:szCs w:val="32"/>
        </w:rPr>
        <w:t>稀释于</w:t>
      </w:r>
      <w:r w:rsidRPr="003C684F" w:rsidR="004C0FCA">
        <w:rPr>
          <w:rFonts w:ascii="仿宋" w:hAnsi="仿宋" w:eastAsia="仿宋" w:cs="仿宋"/>
          <w:sz w:val="32"/>
          <w:szCs w:val="32"/>
        </w:rPr>
        <w:t>0.9%</w:t>
      </w:r>
      <w:r w:rsidRPr="003C684F">
        <w:rPr>
          <w:rFonts w:hint="eastAsia" w:ascii="仿宋" w:hAnsi="仿宋" w:eastAsia="仿宋" w:cs="仿宋"/>
          <w:sz w:val="32"/>
          <w:szCs w:val="32"/>
        </w:rPr>
        <w:lastRenderedPageBreak/>
        <w:t>氯化钠溶液或</w:t>
      </w:r>
      <w:r w:rsidRPr="003C684F" w:rsidR="004C0FCA">
        <w:rPr>
          <w:rFonts w:ascii="仿宋" w:hAnsi="仿宋" w:eastAsia="仿宋" w:cs="仿宋"/>
          <w:sz w:val="32"/>
          <w:szCs w:val="32"/>
        </w:rPr>
        <w:t>5%</w:t>
      </w:r>
      <w:r w:rsidRPr="003C684F">
        <w:rPr>
          <w:rFonts w:hint="eastAsia" w:ascii="仿宋" w:hAnsi="仿宋" w:eastAsia="仿宋" w:cs="仿宋"/>
          <w:sz w:val="32"/>
          <w:szCs w:val="32"/>
        </w:rPr>
        <w:t>葡萄糖溶液</w:t>
      </w:r>
      <w:r w:rsidRPr="003C684F" w:rsidR="004C0FCA">
        <w:rPr>
          <w:rFonts w:hint="eastAsia" w:ascii="仿宋" w:hAnsi="仿宋" w:eastAsia="仿宋" w:cs="仿宋"/>
          <w:sz w:val="32"/>
          <w:szCs w:val="32"/>
        </w:rPr>
        <w:t>中</w:t>
      </w:r>
      <w:r w:rsidRPr="003C684F">
        <w:rPr>
          <w:rFonts w:hint="eastAsia" w:ascii="仿宋" w:hAnsi="仿宋" w:eastAsia="仿宋" w:cs="仿宋"/>
          <w:sz w:val="32"/>
          <w:szCs w:val="32"/>
        </w:rPr>
        <w:t>，浓度可低至</w:t>
      </w:r>
      <w:r w:rsidRPr="003C684F">
        <w:rPr>
          <w:rFonts w:ascii="仿宋" w:hAnsi="仿宋" w:eastAsia="仿宋" w:cs="仿宋"/>
          <w:sz w:val="32"/>
          <w:szCs w:val="32"/>
        </w:rPr>
        <w:t>1mg/ml。总输注量一定不能超过160m</w:t>
      </w:r>
      <w:r w:rsidRPr="003C684F">
        <w:rPr>
          <w:rFonts w:hint="eastAsia" w:ascii="仿宋" w:hAnsi="仿宋" w:eastAsia="仿宋" w:cs="仿宋"/>
          <w:sz w:val="32"/>
          <w:szCs w:val="32"/>
        </w:rPr>
        <w:t>l。</w:t>
      </w:r>
    </w:p>
    <w:p w:rsidRPr="003C684F" w:rsidR="009730C1" w:rsidRDefault="00A315B9" w14:paraId="1323307F" w14:textId="7119B02D">
      <w:pPr>
        <w:snapToGrid w:val="0"/>
        <w:spacing w:line="360" w:lineRule="auto"/>
        <w:ind w:firstLine="640" w:firstLineChars="200"/>
        <w:contextualSpacing/>
        <w:rPr>
          <w:rFonts w:ascii="仿宋" w:hAnsi="仿宋" w:eastAsia="仿宋" w:cs="Times New Roman"/>
          <w:color w:val="FF0000"/>
          <w:sz w:val="32"/>
          <w:szCs w:val="32"/>
        </w:rPr>
      </w:pPr>
      <w:r w:rsidRPr="003C684F">
        <w:rPr>
          <w:rFonts w:hint="eastAsia" w:ascii="仿宋" w:hAnsi="仿宋" w:eastAsia="仿宋" w:cs="仿宋"/>
          <w:sz w:val="32"/>
          <w:szCs w:val="32"/>
        </w:rPr>
        <w:t>6.与伊匹木单抗联合治疗恶性胸膜间皮瘤推荐剂量为360mg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，每3周一次，或3mg/kg，每2周一次，静脉输注30分钟，联合伊匹木单抗1mg/kg，每6周一次，静脉输注30分钟。对于没有疾病进展的患者，治疗持续最长至24个月。与伊匹木单抗</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时，应先输注本品，之后同一天输注伊匹木单抗。每次输注需使用单独的输液袋和过滤器，输注结束时冲洗输液管，请勿通过同一根输液管同时给予其他药物。</w:t>
      </w:r>
    </w:p>
    <w:p w:rsidRPr="003C684F" w:rsidR="009730C1" w:rsidRDefault="00A315B9" w14:paraId="48083B7F" w14:textId="71BFFECE">
      <w:pPr>
        <w:snapToGrid w:val="0"/>
        <w:spacing w:line="360" w:lineRule="auto"/>
        <w:ind w:firstLine="640" w:firstLineChars="200"/>
        <w:contextualSpacing/>
        <w:rPr>
          <w:rFonts w:ascii="仿宋" w:hAnsi="仿宋" w:eastAsia="仿宋" w:cs="Times New Roman"/>
          <w:sz w:val="32"/>
          <w:szCs w:val="32"/>
        </w:rPr>
      </w:pP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仿宋"/>
          <w:sz w:val="32"/>
          <w:szCs w:val="32"/>
        </w:rPr>
        <w:t>根据个体患者的安全性和耐受性，可暂停给药或</w:t>
      </w:r>
      <w:r w:rsidRPr="003C684F" w:rsidR="00A24989">
        <w:rPr>
          <w:rFonts w:hint="eastAsia" w:ascii="仿宋" w:hAnsi="仿宋" w:eastAsia="仿宋" w:cs="仿宋"/>
          <w:sz w:val="32"/>
          <w:szCs w:val="32"/>
        </w:rPr>
        <w:t>永久停用</w:t>
      </w:r>
      <w:r w:rsidRPr="003C684F">
        <w:rPr>
          <w:rFonts w:hint="eastAsia" w:ascii="仿宋" w:hAnsi="仿宋" w:eastAsia="仿宋" w:cs="仿宋"/>
          <w:sz w:val="32"/>
          <w:szCs w:val="32"/>
        </w:rPr>
        <w:t>。不建议增加或减少剂量。</w:t>
      </w:r>
    </w:p>
    <w:p w:rsidRPr="003C684F" w:rsidR="009730C1" w:rsidRDefault="00A315B9" w14:paraId="7EDF5C49" w14:textId="45BB742C">
      <w:pPr>
        <w:snapToGrid w:val="0"/>
        <w:spacing w:line="360" w:lineRule="auto"/>
        <w:ind w:firstLine="640" w:firstLineChars="200"/>
        <w:contextualSpacing/>
        <w:rPr>
          <w:rFonts w:ascii="仿宋" w:hAnsi="仿宋" w:eastAsia="仿宋" w:cs="Times New Roman"/>
          <w:sz w:val="32"/>
          <w:szCs w:val="32"/>
        </w:rPr>
      </w:pPr>
      <w:r w:rsidRPr="003C684F">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发生</w:t>
      </w:r>
      <w:r w:rsidRPr="003C684F">
        <w:rPr>
          <w:rFonts w:ascii="仿宋" w:hAnsi="仿宋" w:eastAsia="仿宋" w:cs="仿宋"/>
          <w:sz w:val="32"/>
          <w:szCs w:val="32"/>
        </w:rPr>
        <w:t>4</w:t>
      </w:r>
      <w:r w:rsidRPr="003C684F">
        <w:rPr>
          <w:rFonts w:hint="eastAsia" w:ascii="仿宋" w:hAnsi="仿宋" w:eastAsia="仿宋" w:cs="仿宋"/>
          <w:sz w:val="32"/>
          <w:szCs w:val="32"/>
        </w:rPr>
        <w:t>级或复发性</w:t>
      </w:r>
      <w:r w:rsidRPr="003C684F">
        <w:rPr>
          <w:rFonts w:ascii="仿宋" w:hAnsi="仿宋" w:eastAsia="仿宋" w:cs="仿宋"/>
          <w:sz w:val="32"/>
          <w:szCs w:val="32"/>
        </w:rPr>
        <w:t>3</w:t>
      </w:r>
      <w:r w:rsidRPr="003C684F">
        <w:rPr>
          <w:rFonts w:hint="eastAsia" w:ascii="仿宋" w:hAnsi="仿宋" w:eastAsia="仿宋" w:cs="仿宋"/>
          <w:sz w:val="32"/>
          <w:szCs w:val="32"/>
        </w:rPr>
        <w:t>级不良反应，虽然进行治疗调整但仍持续存在</w:t>
      </w:r>
      <w:r w:rsidRPr="003C684F">
        <w:rPr>
          <w:rFonts w:ascii="仿宋" w:hAnsi="仿宋" w:eastAsia="仿宋" w:cs="仿宋"/>
          <w:sz w:val="32"/>
          <w:szCs w:val="32"/>
        </w:rPr>
        <w:t>2</w:t>
      </w:r>
      <w:r w:rsidRPr="003C684F">
        <w:rPr>
          <w:rFonts w:hint="eastAsia" w:ascii="仿宋" w:hAnsi="仿宋" w:eastAsia="仿宋" w:cs="仿宋"/>
          <w:sz w:val="32"/>
          <w:szCs w:val="32"/>
        </w:rPr>
        <w:t>级或</w:t>
      </w:r>
      <w:r w:rsidRPr="003C684F">
        <w:rPr>
          <w:rFonts w:ascii="仿宋" w:hAnsi="仿宋" w:eastAsia="仿宋" w:cs="仿宋"/>
          <w:sz w:val="32"/>
          <w:szCs w:val="32"/>
        </w:rPr>
        <w:t>3</w:t>
      </w:r>
      <w:r w:rsidRPr="003C684F">
        <w:rPr>
          <w:rFonts w:hint="eastAsia" w:ascii="仿宋" w:hAnsi="仿宋" w:eastAsia="仿宋" w:cs="仿宋"/>
          <w:sz w:val="32"/>
          <w:szCs w:val="32"/>
        </w:rPr>
        <w:t>级不良反应，</w:t>
      </w:r>
      <w:r w:rsidRPr="003C684F" w:rsidR="00373DC1">
        <w:rPr>
          <w:rFonts w:hint="eastAsia" w:ascii="仿宋" w:hAnsi="仿宋" w:eastAsia="仿宋" w:cs="仿宋"/>
          <w:sz w:val="32"/>
          <w:szCs w:val="32"/>
        </w:rPr>
        <w:t>应永久停用</w:t>
      </w:r>
      <w:r w:rsidRPr="003C684F">
        <w:rPr>
          <w:rFonts w:hint="eastAsia" w:ascii="仿宋" w:hAnsi="仿宋" w:eastAsia="仿宋" w:cs="仿宋"/>
          <w:sz w:val="32"/>
          <w:szCs w:val="32"/>
        </w:rPr>
        <w:t>纳武利尤单抗。</w:t>
      </w:r>
    </w:p>
    <w:p w:rsidRPr="003C684F" w:rsidR="009730C1" w:rsidRDefault="00A315B9" w14:paraId="59E464F6" w14:textId="6770F0CC">
      <w:pPr>
        <w:snapToGrid w:val="0"/>
        <w:spacing w:line="360" w:lineRule="auto"/>
        <w:ind w:firstLine="640" w:firstLineChars="200"/>
        <w:contextualSpacing/>
        <w:rPr>
          <w:rFonts w:ascii="仿宋" w:hAnsi="仿宋" w:eastAsia="仿宋" w:cs="Times New Roman"/>
          <w:sz w:val="32"/>
          <w:szCs w:val="32"/>
        </w:rPr>
      </w:pPr>
      <w:r w:rsidRPr="003C684F">
        <w:rPr>
          <w:rFonts w:hint="eastAsia" w:ascii="仿宋" w:hAnsi="仿宋" w:eastAsia="仿宋" w:cs="仿宋"/>
          <w:sz w:val="32"/>
          <w:szCs w:val="32"/>
        </w:rPr>
        <w:t>9</w:t>
      </w:r>
      <w:r w:rsidRPr="003C684F">
        <w:rPr>
          <w:rFonts w:ascii="仿宋" w:hAnsi="仿宋" w:eastAsia="仿宋" w:cs="仿宋"/>
          <w:sz w:val="32"/>
          <w:szCs w:val="32"/>
        </w:rPr>
        <w:t>.</w:t>
      </w:r>
      <w:r w:rsidRPr="003C684F">
        <w:rPr>
          <w:rFonts w:hint="eastAsia" w:ascii="仿宋" w:hAnsi="仿宋" w:eastAsia="仿宋" w:cs="仿宋"/>
          <w:sz w:val="32"/>
          <w:szCs w:val="32"/>
        </w:rPr>
        <w:t>老年患者（≥</w:t>
      </w:r>
      <w:r w:rsidRPr="003C684F">
        <w:rPr>
          <w:rFonts w:ascii="仿宋" w:hAnsi="仿宋" w:eastAsia="仿宋" w:cs="仿宋"/>
          <w:sz w:val="32"/>
          <w:szCs w:val="32"/>
        </w:rPr>
        <w:t>65</w:t>
      </w:r>
      <w:r w:rsidRPr="003C684F">
        <w:rPr>
          <w:rFonts w:hint="eastAsia" w:ascii="仿宋" w:hAnsi="仿宋" w:eastAsia="仿宋" w:cs="仿宋"/>
          <w:sz w:val="32"/>
          <w:szCs w:val="32"/>
        </w:rPr>
        <w:t>岁）</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w:t>
      </w:r>
    </w:p>
    <w:p w:rsidRPr="003C684F" w:rsidR="009730C1" w:rsidRDefault="00A315B9" w14:paraId="2A0228BB" w14:textId="1608BBB1">
      <w:pPr>
        <w:snapToGrid w:val="0"/>
        <w:spacing w:line="360" w:lineRule="auto"/>
        <w:ind w:firstLine="640" w:firstLineChars="200"/>
        <w:contextualSpacing/>
        <w:rPr>
          <w:rFonts w:ascii="仿宋" w:hAnsi="仿宋" w:eastAsia="仿宋" w:cs="Times New Roman"/>
          <w:sz w:val="32"/>
          <w:szCs w:val="32"/>
        </w:rPr>
      </w:pPr>
      <w:r w:rsidRPr="003C684F">
        <w:rPr>
          <w:rFonts w:hint="eastAsia" w:ascii="仿宋" w:hAnsi="仿宋" w:eastAsia="仿宋" w:cs="仿宋"/>
          <w:sz w:val="32"/>
          <w:szCs w:val="32"/>
        </w:rPr>
        <w:t>10</w:t>
      </w:r>
      <w:r w:rsidRPr="003C684F">
        <w:rPr>
          <w:rFonts w:ascii="仿宋" w:hAnsi="仿宋" w:eastAsia="仿宋" w:cs="仿宋"/>
          <w:sz w:val="32"/>
          <w:szCs w:val="32"/>
        </w:rPr>
        <w:t>.</w:t>
      </w:r>
      <w:r w:rsidRPr="003C684F">
        <w:rPr>
          <w:rFonts w:hint="eastAsia" w:ascii="仿宋" w:hAnsi="仿宋" w:eastAsia="仿宋" w:cs="仿宋"/>
          <w:sz w:val="32"/>
          <w:szCs w:val="32"/>
        </w:rPr>
        <w:t>轻中度肾功能损伤患者</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调整剂量。重度肾功能损伤患者的数据有限。轻中度肝功能损伤患者</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调整剂量，没有对重度肝功能损伤患者进行本品的相关研究，重度[总胆红素、</w:t>
      </w:r>
      <w:r w:rsidRPr="003C684F">
        <w:rPr>
          <w:rFonts w:ascii="仿宋" w:hAnsi="仿宋" w:eastAsia="仿宋" w:cs="仿宋"/>
          <w:sz w:val="32"/>
          <w:szCs w:val="32"/>
        </w:rPr>
        <w:t>ALT或AST</w:t>
      </w:r>
      <w:r w:rsidRPr="003C684F">
        <w:rPr>
          <w:rFonts w:hint="eastAsia" w:ascii="仿宋" w:hAnsi="仿宋" w:eastAsia="仿宋" w:cs="仿宋"/>
          <w:sz w:val="32"/>
          <w:szCs w:val="32"/>
        </w:rPr>
        <w:t>＞</w:t>
      </w:r>
      <w:r w:rsidRPr="003C684F">
        <w:rPr>
          <w:rFonts w:ascii="仿宋" w:hAnsi="仿宋" w:eastAsia="仿宋" w:cs="仿宋"/>
          <w:sz w:val="32"/>
          <w:szCs w:val="32"/>
        </w:rPr>
        <w:t>3</w:t>
      </w:r>
      <w:r w:rsidRPr="003C684F">
        <w:rPr>
          <w:rFonts w:hint="eastAsia" w:ascii="仿宋" w:hAnsi="仿宋" w:eastAsia="仿宋" w:cs="仿宋"/>
          <w:sz w:val="32"/>
          <w:szCs w:val="32"/>
        </w:rPr>
        <w:t>倍正常值上限（</w:t>
      </w:r>
      <w:r w:rsidRPr="003C684F">
        <w:rPr>
          <w:rFonts w:ascii="仿宋" w:hAnsi="仿宋" w:eastAsia="仿宋" w:cs="仿宋"/>
          <w:sz w:val="32"/>
          <w:szCs w:val="32"/>
        </w:rPr>
        <w:t>ULN）]</w:t>
      </w:r>
      <w:r w:rsidRPr="003C684F">
        <w:rPr>
          <w:rFonts w:hint="eastAsia" w:ascii="仿宋" w:hAnsi="仿宋" w:eastAsia="仿宋" w:cs="仿宋"/>
          <w:sz w:val="32"/>
          <w:szCs w:val="32"/>
        </w:rPr>
        <w:t>肝功能损伤患者必须慎用本品。</w:t>
      </w:r>
    </w:p>
    <w:p w:rsidRPr="003C684F" w:rsidR="009730C1" w:rsidRDefault="00A315B9" w14:paraId="2FE14EF9"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纳武利尤单抗可引起免疫相关性不良反应。因为不</w:t>
      </w:r>
      <w:r w:rsidRPr="003C684F">
        <w:rPr>
          <w:rFonts w:hint="eastAsia" w:ascii="仿宋" w:hAnsi="仿宋" w:eastAsia="仿宋" w:cs="仿宋"/>
          <w:sz w:val="32"/>
          <w:szCs w:val="32"/>
        </w:rPr>
        <w:lastRenderedPageBreak/>
        <w:t>良反应可能在纳武利尤单抗治疗期间或纳武利尤单抗治疗停止后的任何时间发生，应持续进行患者监测（至少至末次给药后</w:t>
      </w:r>
      <w:r w:rsidRPr="003C684F">
        <w:rPr>
          <w:rFonts w:ascii="仿宋" w:hAnsi="仿宋" w:eastAsia="仿宋" w:cs="仿宋"/>
          <w:sz w:val="32"/>
          <w:szCs w:val="32"/>
        </w:rPr>
        <w:t>5</w:t>
      </w:r>
      <w:r w:rsidRPr="003C684F">
        <w:rPr>
          <w:rFonts w:hint="eastAsia" w:ascii="仿宋" w:hAnsi="仿宋" w:eastAsia="仿宋" w:cs="仿宋"/>
          <w:sz w:val="32"/>
          <w:szCs w:val="32"/>
        </w:rPr>
        <w:t>个月）。</w:t>
      </w:r>
    </w:p>
    <w:p w:rsidRPr="003C684F" w:rsidR="009730C1" w:rsidRDefault="00A315B9" w14:paraId="719F7368"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至少</w:t>
      </w:r>
      <w:r w:rsidRPr="003C684F">
        <w:rPr>
          <w:rFonts w:ascii="仿宋" w:hAnsi="仿宋" w:eastAsia="仿宋" w:cs="仿宋"/>
          <w:sz w:val="32"/>
          <w:szCs w:val="32"/>
        </w:rPr>
        <w:t>1</w:t>
      </w:r>
      <w:r w:rsidRPr="003C684F">
        <w:rPr>
          <w:rFonts w:hint="eastAsia" w:ascii="仿宋" w:hAnsi="仿宋" w:eastAsia="仿宋" w:cs="仿宋"/>
          <w:sz w:val="32"/>
          <w:szCs w:val="32"/>
        </w:rPr>
        <w:t>个月的时间逐渐减量至停药。快速减量可能引起不良反应恶化或复发。如果使用了糖皮质激素但仍恶化或无改善，则应增加非糖皮质激素性免疫抑制治疗。</w:t>
      </w:r>
    </w:p>
    <w:p w:rsidRPr="003C684F" w:rsidR="009730C1" w:rsidRDefault="00A315B9" w14:paraId="0D1B4B87" w14:textId="77777777">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在患者接受免疫抑制剂量的糖皮质激素或其他免疫抑制治疗期间，不可重新使用纳武利尤单抗治疗。</w:t>
      </w:r>
    </w:p>
    <w:p w:rsidRPr="003C684F" w:rsidR="009730C1" w:rsidRDefault="00A315B9" w14:paraId="6B2D3F80" w14:textId="22FAAF8B">
      <w:pPr>
        <w:snapToGrid w:val="0"/>
        <w:spacing w:line="360" w:lineRule="auto"/>
        <w:ind w:firstLine="640" w:firstLineChars="200"/>
        <w:contextualSpacing/>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如果出现任何重度、复发的免疫相关性不良反应以及任何危及生命的免疫相关性不良反应，</w:t>
      </w:r>
      <w:r w:rsidRPr="003C684F" w:rsidR="00A245B0">
        <w:rPr>
          <w:rFonts w:hint="eastAsia" w:ascii="仿宋" w:hAnsi="仿宋" w:eastAsia="仿宋" w:cs="仿宋"/>
          <w:sz w:val="32"/>
          <w:szCs w:val="32"/>
        </w:rPr>
        <w:t>必须</w:t>
      </w:r>
      <w:r w:rsidRPr="003C684F">
        <w:rPr>
          <w:rFonts w:hint="eastAsia" w:ascii="仿宋" w:hAnsi="仿宋" w:eastAsia="仿宋" w:cs="仿宋"/>
          <w:sz w:val="32"/>
          <w:szCs w:val="32"/>
        </w:rPr>
        <w:t>永久停</w:t>
      </w:r>
      <w:r w:rsidRPr="003C684F" w:rsidR="00A245B0">
        <w:rPr>
          <w:rFonts w:hint="eastAsia" w:ascii="仿宋" w:hAnsi="仿宋" w:eastAsia="仿宋" w:cs="仿宋"/>
          <w:sz w:val="32"/>
          <w:szCs w:val="32"/>
        </w:rPr>
        <w:t>用</w:t>
      </w:r>
      <w:r w:rsidRPr="003C684F">
        <w:rPr>
          <w:rFonts w:hint="eastAsia" w:ascii="仿宋" w:hAnsi="仿宋" w:eastAsia="仿宋" w:cs="仿宋"/>
          <w:sz w:val="32"/>
          <w:szCs w:val="32"/>
        </w:rPr>
        <w:t>纳武利尤单抗治疗。</w:t>
      </w:r>
    </w:p>
    <w:p w:rsidRPr="003C684F" w:rsidR="009730C1" w:rsidRDefault="00A315B9" w14:paraId="41E9F9F3" w14:textId="07C4FCEF">
      <w:pPr>
        <w:snapToGrid w:val="0"/>
        <w:spacing w:line="360" w:lineRule="auto"/>
        <w:ind w:firstLine="640" w:firstLineChars="200"/>
        <w:contextualSpacing/>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纳武利尤单抗注射</w:t>
      </w:r>
      <w:r w:rsidRPr="003C684F" w:rsidR="00E614C9">
        <w:rPr>
          <w:rFonts w:hint="eastAsia" w:ascii="仿宋" w:hAnsi="仿宋" w:eastAsia="仿宋" w:cs="仿宋"/>
          <w:sz w:val="32"/>
          <w:szCs w:val="32"/>
        </w:rPr>
        <w:t>剂</w:t>
      </w:r>
      <w:r w:rsidRPr="003C684F">
        <w:rPr>
          <w:rFonts w:hint="eastAsia" w:ascii="仿宋" w:hAnsi="仿宋" w:eastAsia="仿宋" w:cs="仿宋"/>
          <w:sz w:val="32"/>
          <w:szCs w:val="32"/>
        </w:rPr>
        <w:t>每毫升含</w:t>
      </w:r>
      <w:r w:rsidRPr="003C684F">
        <w:rPr>
          <w:rFonts w:ascii="仿宋" w:hAnsi="仿宋" w:eastAsia="仿宋" w:cs="仿宋"/>
          <w:sz w:val="32"/>
          <w:szCs w:val="32"/>
        </w:rPr>
        <w:t>0.1m</w:t>
      </w:r>
      <w:r w:rsidRPr="003C684F">
        <w:rPr>
          <w:rFonts w:hint="eastAsia" w:ascii="仿宋" w:hAnsi="仿宋" w:eastAsia="仿宋" w:cs="仿宋"/>
          <w:sz w:val="32"/>
          <w:szCs w:val="32"/>
        </w:rPr>
        <w:t>mol（或</w:t>
      </w:r>
      <w:r w:rsidRPr="003C684F">
        <w:rPr>
          <w:rFonts w:ascii="仿宋" w:hAnsi="仿宋" w:eastAsia="仿宋" w:cs="仿宋"/>
          <w:sz w:val="32"/>
          <w:szCs w:val="32"/>
        </w:rPr>
        <w:t>2.5mg</w:t>
      </w:r>
      <w:r w:rsidRPr="003C684F">
        <w:rPr>
          <w:rFonts w:hint="eastAsia" w:ascii="仿宋" w:hAnsi="仿宋" w:eastAsia="仿宋" w:cs="仿宋"/>
          <w:sz w:val="32"/>
          <w:szCs w:val="32"/>
        </w:rPr>
        <w:t>）钠，在对控制钠摄入的患者进行治疗时应考虑这一因素。</w:t>
      </w:r>
    </w:p>
    <w:p w:rsidRPr="003C684F" w:rsidR="009730C1" w:rsidRDefault="00A315B9" w14:paraId="4826C135" w14:textId="236C1134">
      <w:pPr>
        <w:snapToGrid w:val="0"/>
        <w:spacing w:line="360" w:lineRule="auto"/>
        <w:ind w:firstLine="640" w:firstLineChars="200"/>
        <w:contextualSpacing/>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纳武利尤单抗是一种人单克隆抗体，因单克隆抗体不经CYP450或其他药物代谢酶代谢，因此，</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使用的药物对这些酶的抑制或诱导作用预期不会影响纳武利尤单抗的药代动力学。</w:t>
      </w:r>
    </w:p>
    <w:p w:rsidRPr="003C684F" w:rsidR="009730C1" w:rsidRDefault="00A315B9" w14:paraId="11CEF79B" w14:textId="77777777">
      <w:pPr>
        <w:snapToGrid w:val="0"/>
        <w:spacing w:line="360" w:lineRule="auto"/>
        <w:ind w:firstLine="640" w:firstLineChars="200"/>
        <w:contextualSpacing/>
        <w:rPr>
          <w:rFonts w:ascii="仿宋" w:hAnsi="仿宋" w:eastAsia="仿宋" w:cs="仿宋"/>
          <w:sz w:val="32"/>
          <w:szCs w:val="32"/>
        </w:rPr>
      </w:pPr>
      <w:r w:rsidRPr="003C684F">
        <w:rPr>
          <w:rFonts w:hint="eastAsia" w:ascii="仿宋" w:hAnsi="仿宋" w:eastAsia="仿宋" w:cs="仿宋"/>
          <w:sz w:val="32"/>
          <w:szCs w:val="32"/>
        </w:rPr>
        <w:t>17.当本品与伊匹木单抗联合治疗时，若暂停任一药物，</w:t>
      </w:r>
      <w:r w:rsidRPr="003C684F">
        <w:rPr>
          <w:rFonts w:hint="eastAsia" w:ascii="仿宋" w:hAnsi="仿宋" w:eastAsia="仿宋" w:cs="仿宋"/>
          <w:sz w:val="32"/>
          <w:szCs w:val="32"/>
        </w:rPr>
        <w:lastRenderedPageBreak/>
        <w:t>则应同时暂停另一药物。若在暂停后重新开始给药，则应根据个体患者的评估情况重新开始联合治疗或本品单药治疗。</w:t>
      </w:r>
    </w:p>
    <w:p w:rsidRPr="003C684F" w:rsidR="009730C1" w:rsidRDefault="00A315B9" w14:paraId="4BFDB79F" w14:textId="53D7B856">
      <w:pPr>
        <w:snapToGrid w:val="0"/>
        <w:spacing w:line="360" w:lineRule="auto"/>
        <w:ind w:firstLine="643" w:firstLineChars="200"/>
        <w:contextualSpacing/>
        <w:rPr>
          <w:rFonts w:ascii="仿宋" w:hAnsi="仿宋" w:eastAsia="仿宋" w:cs="仿宋"/>
          <w:sz w:val="32"/>
          <w:szCs w:val="32"/>
        </w:rPr>
      </w:pPr>
      <w:r w:rsidRPr="003C684F">
        <w:rPr>
          <w:rFonts w:hint="eastAsia" w:ascii="仿宋" w:hAnsi="仿宋" w:eastAsia="仿宋" w:cs="仿宋"/>
          <w:b/>
          <w:sz w:val="32"/>
          <w:szCs w:val="32"/>
          <w:vertAlign w:val="superscript"/>
        </w:rPr>
        <w:t>※</w:t>
      </w:r>
      <w:r w:rsidRPr="003C684F">
        <w:rPr>
          <w:rFonts w:hint="eastAsia" w:ascii="仿宋" w:hAnsi="仿宋" w:eastAsia="仿宋" w:cs="仿宋"/>
          <w:sz w:val="32"/>
          <w:szCs w:val="32"/>
        </w:rPr>
        <w:t>18.美国FDA批准纳武利尤单抗联合伊匹木单抗用于一线治疗肿瘤PD-L1表达阳性（定义为表达PD-L1的肿瘤细胞≥1%）、EGFR基因突变阴性和ALK阴性、晚期或转移性NSCLC，目前国内尚未获批此适应证，可在与患者充分沟通的情况下使用。纳武利尤单抗用法为3mg/kg，每2周一次；伊匹木单抗用法为1mg/kg，每6周一次。此外，美国FDA和欧盟EMA还批准纳武利尤单抗联合伊匹木单抗和两周期含铂双药化疗用于一线治疗EGFR基因突变阴性和ALK阴性、晚期或转移性NSCLC，目前国内尚未获批此适应证，可在与患者充分沟通的情况下使用。纳武利尤单抗用法为360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固定剂量，每3周一次；伊匹木单抗用法为1mg/kg，每6周一次。美国FDA批准纳武利尤单抗联合含铂化疗每</w:t>
      </w:r>
      <w:r w:rsidRPr="003C684F" w:rsidR="00A21F47">
        <w:rPr>
          <w:rFonts w:hint="eastAsia" w:ascii="仿宋" w:hAnsi="仿宋" w:eastAsia="仿宋" w:cs="仿宋"/>
          <w:sz w:val="32"/>
          <w:szCs w:val="32"/>
        </w:rPr>
        <w:t>3</w:t>
      </w:r>
      <w:r w:rsidRPr="003C684F">
        <w:rPr>
          <w:rFonts w:hint="eastAsia" w:ascii="仿宋" w:hAnsi="仿宋" w:eastAsia="仿宋" w:cs="仿宋"/>
          <w:sz w:val="32"/>
          <w:szCs w:val="32"/>
        </w:rPr>
        <w:t>周一次共三个周期，用于新辅助阶段治疗肿瘤≥4cm或淋巴结阳性的可手术</w:t>
      </w:r>
      <w:r w:rsidRPr="003C684F">
        <w:rPr>
          <w:rFonts w:ascii="仿宋" w:hAnsi="仿宋" w:eastAsia="仿宋" w:cs="仿宋"/>
          <w:sz w:val="32"/>
          <w:szCs w:val="32"/>
        </w:rPr>
        <w:t>NSCLC</w:t>
      </w:r>
      <w:r w:rsidRPr="003C684F">
        <w:rPr>
          <w:rFonts w:hint="eastAsia" w:ascii="仿宋" w:hAnsi="仿宋" w:eastAsia="仿宋" w:cs="仿宋"/>
          <w:sz w:val="32"/>
          <w:szCs w:val="32"/>
        </w:rPr>
        <w:t>患者。目前国内尚未获批此适应证，可在与患者充分沟通的情况下使用。纳武利尤单抗用法为360mg</w:t>
      </w:r>
      <w:r w:rsidRPr="003C684F" w:rsidR="00A21F47">
        <w:rPr>
          <w:rFonts w:hint="eastAsia" w:ascii="仿宋" w:hAnsi="仿宋" w:eastAsia="仿宋" w:cs="仿宋"/>
          <w:sz w:val="32"/>
          <w:szCs w:val="32"/>
        </w:rPr>
        <w:t>/次</w:t>
      </w:r>
      <w:r w:rsidRPr="003C684F">
        <w:rPr>
          <w:rFonts w:hint="eastAsia" w:ascii="仿宋" w:hAnsi="仿宋" w:eastAsia="仿宋" w:cs="仿宋"/>
          <w:sz w:val="32"/>
          <w:szCs w:val="32"/>
        </w:rPr>
        <w:t>固定剂量，每3周一次。</w:t>
      </w:r>
    </w:p>
    <w:p w:rsidRPr="003C684F" w:rsidR="009730C1" w:rsidP="0037660B" w:rsidRDefault="00A315B9" w14:paraId="5F7A1F15"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二十五、帕博利珠单抗 Pembrolizumab</w:t>
      </w:r>
    </w:p>
    <w:p w:rsidRPr="003C684F" w:rsidR="009730C1" w:rsidRDefault="00A315B9" w14:paraId="6B075E0A"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2D744B">
        <w:rPr>
          <w:rFonts w:hint="eastAsia" w:ascii="仿宋" w:hAnsi="仿宋" w:eastAsia="仿宋"/>
          <w:color w:val="000000"/>
          <w:sz w:val="32"/>
          <w:szCs w:val="32"/>
        </w:rPr>
        <w:t>剂</w:t>
      </w:r>
      <w:r w:rsidRPr="003C684F">
        <w:rPr>
          <w:rFonts w:hint="eastAsia" w:ascii="仿宋" w:hAnsi="仿宋" w:eastAsia="仿宋"/>
          <w:color w:val="000000"/>
          <w:sz w:val="32"/>
          <w:szCs w:val="32"/>
        </w:rPr>
        <w:t xml:space="preserve">：100mg（4ml）/瓶 </w:t>
      </w:r>
    </w:p>
    <w:p w:rsidRPr="003C684F" w:rsidR="009730C1" w:rsidRDefault="00A315B9" w14:paraId="14AF97AD"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2F5A8D02"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1.帕博利珠单抗联合培美曲塞和铂类化疗药适用于</w:t>
      </w:r>
      <w:r w:rsidRPr="003C684F">
        <w:rPr>
          <w:rFonts w:hint="eastAsia" w:ascii="仿宋" w:hAnsi="仿宋" w:eastAsia="仿宋"/>
          <w:color w:val="000000"/>
          <w:sz w:val="32"/>
          <w:szCs w:val="32"/>
        </w:rPr>
        <w:lastRenderedPageBreak/>
        <w:t>EGFR基因突变阴性和ALK阴性的转移性非鳞状细胞NSCLC的一线治疗。</w:t>
      </w:r>
    </w:p>
    <w:p w:rsidRPr="003C684F" w:rsidR="009730C1" w:rsidRDefault="00A315B9" w14:paraId="3FE0524E"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2.帕博利珠单抗适用于由国家药品监督管理局批准的检测评估为PD-L1肿瘤比例分数（TPS）≥1%的EGFR基因突变阴性和ALK阴性的局部晚期或转移性NSCLC一线单药治疗。</w:t>
      </w:r>
    </w:p>
    <w:p w:rsidRPr="003C684F" w:rsidR="009730C1" w:rsidRDefault="00A315B9" w14:paraId="1BC2463E"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3.帕博利珠单抗联合卡铂和紫杉醇适用于转移性鳞状细胞NSCLC患者的一线治疗。</w:t>
      </w:r>
    </w:p>
    <w:p w:rsidRPr="003C684F" w:rsidR="009730C1" w:rsidRDefault="00A315B9" w14:paraId="070D6C14"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8F7ED8B" w14:textId="6D30A889">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1.只要观察到临床获益，应继续使用帕博利珠单抗治疗至疾病进展或</w:t>
      </w:r>
      <w:r w:rsidRPr="003C684F" w:rsidR="004B304F">
        <w:rPr>
          <w:rFonts w:hint="eastAsia" w:ascii="仿宋" w:hAnsi="仿宋" w:eastAsia="仿宋"/>
          <w:color w:val="000000"/>
          <w:sz w:val="32"/>
          <w:szCs w:val="32"/>
        </w:rPr>
        <w:t>出现不可耐受的毒性</w:t>
      </w:r>
      <w:r w:rsidRPr="003C684F">
        <w:rPr>
          <w:rFonts w:hint="eastAsia" w:ascii="仿宋" w:hAnsi="仿宋" w:eastAsia="仿宋"/>
          <w:color w:val="000000"/>
          <w:sz w:val="32"/>
          <w:szCs w:val="32"/>
        </w:rPr>
        <w:t>，有可能观察到非典型反应。如果患者临床症状稳定，即使有疾病进展的初步证据，但基于总体临床获益的判断，可考虑继续应用本品治疗，直至证实疾病进展。</w:t>
      </w:r>
    </w:p>
    <w:p w:rsidRPr="003C684F" w:rsidR="009730C1" w:rsidRDefault="00A315B9" w14:paraId="4A60C2C4" w14:textId="2AB520D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2.帕博利珠单抗经国家药品监督管理局批准的首个一线肺癌适应证是基于全球Ⅲ期临床研究KEYNOTE-189研究结果，在中国获批的肺癌适应证剂量是200mg</w:t>
      </w:r>
      <w:r w:rsidRPr="003C684F" w:rsidR="007F1D45">
        <w:rPr>
          <w:rFonts w:hint="eastAsia" w:ascii="仿宋" w:hAnsi="仿宋" w:eastAsia="仿宋"/>
          <w:color w:val="000000"/>
          <w:sz w:val="32"/>
          <w:szCs w:val="32"/>
        </w:rPr>
        <w:t>/次</w:t>
      </w:r>
      <w:r w:rsidRPr="003C684F">
        <w:rPr>
          <w:rFonts w:hint="eastAsia" w:ascii="仿宋" w:hAnsi="仿宋" w:eastAsia="仿宋"/>
          <w:color w:val="000000"/>
          <w:sz w:val="32"/>
          <w:szCs w:val="32"/>
        </w:rPr>
        <w:t>，每3周一次，或400mg</w:t>
      </w:r>
      <w:r w:rsidRPr="003C684F" w:rsidR="007F1D45">
        <w:rPr>
          <w:rFonts w:hint="eastAsia" w:ascii="仿宋" w:hAnsi="仿宋" w:eastAsia="仿宋"/>
          <w:color w:val="000000"/>
          <w:sz w:val="32"/>
          <w:szCs w:val="32"/>
        </w:rPr>
        <w:t>/次</w:t>
      </w:r>
      <w:r w:rsidRPr="003C684F">
        <w:rPr>
          <w:rFonts w:hint="eastAsia" w:ascii="仿宋" w:hAnsi="仿宋" w:eastAsia="仿宋"/>
          <w:color w:val="000000"/>
          <w:sz w:val="32"/>
          <w:szCs w:val="32"/>
        </w:rPr>
        <w:t>，每6周一次，静脉输注，每次持续至少30分钟。如果联合化疗给药时，应首先给予帕博利珠单抗。</w:t>
      </w:r>
    </w:p>
    <w:p w:rsidRPr="003C684F" w:rsidR="009730C1" w:rsidRDefault="00A315B9" w14:paraId="7D1CA7CD" w14:textId="52C3D59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在使用本品之前应避免使用全身性糖皮质激素或其他免疫抑制剂，因为这些药物可能会影响本品的药效学活性及疗效。但在本品开始给药后，可使用全身性糖皮质激素或其他免疫抑制剂治疗免疫介导性不良反应。当帕博利珠单抗</w:t>
      </w:r>
      <w:r w:rsidRPr="003C684F">
        <w:rPr>
          <w:rFonts w:hint="eastAsia" w:ascii="仿宋" w:hAnsi="仿宋" w:eastAsia="仿宋"/>
          <w:color w:val="000000"/>
          <w:sz w:val="32"/>
          <w:szCs w:val="32"/>
        </w:rPr>
        <w:lastRenderedPageBreak/>
        <w:t>与化疗</w:t>
      </w:r>
      <w:r w:rsidRPr="003C684F" w:rsidR="00F92328">
        <w:rPr>
          <w:rFonts w:hint="eastAsia" w:ascii="仿宋" w:hAnsi="仿宋" w:eastAsia="仿宋"/>
          <w:color w:val="000000"/>
          <w:sz w:val="32"/>
          <w:szCs w:val="32"/>
        </w:rPr>
        <w:t>联合</w:t>
      </w:r>
      <w:r w:rsidRPr="003C684F" w:rsidR="00E235CE">
        <w:rPr>
          <w:rFonts w:hint="eastAsia" w:ascii="仿宋" w:hAnsi="仿宋" w:eastAsia="仿宋"/>
          <w:color w:val="000000"/>
          <w:sz w:val="32"/>
          <w:szCs w:val="32"/>
        </w:rPr>
        <w:t>使用</w:t>
      </w:r>
      <w:r w:rsidRPr="003C684F">
        <w:rPr>
          <w:rFonts w:hint="eastAsia" w:ascii="仿宋" w:hAnsi="仿宋" w:eastAsia="仿宋"/>
          <w:color w:val="000000"/>
          <w:sz w:val="32"/>
          <w:szCs w:val="32"/>
        </w:rPr>
        <w:t>时，糖皮质激素也可以作为治疗前用药来预防</w:t>
      </w:r>
      <w:r w:rsidRPr="003C684F" w:rsidR="00E614C9">
        <w:rPr>
          <w:rFonts w:hint="eastAsia" w:ascii="仿宋" w:hAnsi="仿宋" w:eastAsia="仿宋"/>
          <w:color w:val="000000"/>
          <w:sz w:val="32"/>
          <w:szCs w:val="32"/>
        </w:rPr>
        <w:t>呕吐</w:t>
      </w:r>
      <w:r w:rsidRPr="003C684F">
        <w:rPr>
          <w:rFonts w:hint="eastAsia" w:ascii="仿宋" w:hAnsi="仿宋" w:eastAsia="仿宋"/>
          <w:color w:val="000000"/>
          <w:sz w:val="32"/>
          <w:szCs w:val="32"/>
        </w:rPr>
        <w:t>和/或缓解化疗相关不良反应。</w:t>
      </w:r>
    </w:p>
    <w:p w:rsidRPr="003C684F" w:rsidR="009730C1" w:rsidRDefault="00A315B9" w14:paraId="4F5E5211" w14:textId="0BBBF50F">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4.根据个体患者的安全性和耐受性，可能需要暂停给药或</w:t>
      </w:r>
      <w:r w:rsidRPr="003C684F" w:rsidR="00A24989">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707F33E9" w14:textId="071C171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5.发生4级或复发性3级的免疫相关性不良反应，</w:t>
      </w:r>
      <w:r w:rsidRPr="003C684F" w:rsidR="00373DC1">
        <w:rPr>
          <w:rFonts w:hint="eastAsia" w:ascii="仿宋" w:hAnsi="仿宋" w:eastAsia="仿宋"/>
          <w:color w:val="000000"/>
          <w:sz w:val="32"/>
          <w:szCs w:val="32"/>
        </w:rPr>
        <w:t>应永久停用</w:t>
      </w:r>
      <w:r w:rsidRPr="003C684F">
        <w:rPr>
          <w:rFonts w:hint="eastAsia" w:ascii="仿宋" w:hAnsi="仿宋" w:eastAsia="仿宋"/>
          <w:color w:val="000000"/>
          <w:sz w:val="32"/>
          <w:szCs w:val="32"/>
        </w:rPr>
        <w:t>帕博利珠单抗。</w:t>
      </w:r>
    </w:p>
    <w:p w:rsidRPr="003C684F" w:rsidR="009730C1" w:rsidRDefault="00A315B9" w14:paraId="5AF75466" w14:textId="681534C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6.老年患者（≥65岁）</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w:t>
      </w:r>
    </w:p>
    <w:p w:rsidRPr="003C684F" w:rsidR="009730C1" w:rsidRDefault="00A315B9" w14:paraId="5D6DB67A" w14:textId="6907AAA0">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7.轻中度肾功能损伤患者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调整剂量，尚未在重度肾功能损伤患者中进行本品的相关研究。</w:t>
      </w:r>
    </w:p>
    <w:p w:rsidRPr="003C684F" w:rsidR="009730C1" w:rsidRDefault="00A315B9" w14:paraId="54FE55F6" w14:textId="089B820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8.轻</w:t>
      </w:r>
      <w:r w:rsidRPr="003C684F" w:rsidR="004077FC">
        <w:rPr>
          <w:rFonts w:hint="eastAsia" w:ascii="仿宋" w:hAnsi="仿宋" w:eastAsia="仿宋"/>
          <w:color w:val="000000"/>
          <w:sz w:val="32"/>
          <w:szCs w:val="32"/>
        </w:rPr>
        <w:t>中</w:t>
      </w:r>
      <w:r w:rsidRPr="003C684F">
        <w:rPr>
          <w:rFonts w:hint="eastAsia" w:ascii="仿宋" w:hAnsi="仿宋" w:eastAsia="仿宋"/>
          <w:color w:val="000000"/>
          <w:sz w:val="32"/>
          <w:szCs w:val="32"/>
        </w:rPr>
        <w:t>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调整剂量，尚未在重度肝功能损伤患者中进行本品的相关研究。</w:t>
      </w:r>
    </w:p>
    <w:p w:rsidRPr="003C684F" w:rsidR="009730C1" w:rsidRDefault="00A315B9" w14:paraId="3C34B0EF" w14:textId="2F64B34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9</w:t>
      </w:r>
      <w:r w:rsidRPr="003C684F">
        <w:rPr>
          <w:rFonts w:hint="eastAsia" w:ascii="仿宋" w:hAnsi="仿宋" w:eastAsia="仿宋"/>
          <w:color w:val="000000"/>
          <w:sz w:val="32"/>
          <w:szCs w:val="32"/>
        </w:rPr>
        <w:t>.对于疑似免疫相关性不良反应，应进行充分的评估以确认病因或排除其他病因。根据不良反应的严重程度，应暂时停用帕博利珠单抗，并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至少一个月的时间逐步减少糖皮质激素的用量直至停药。基于有限的临床研究数据，发生糖皮质激素无法控制的免疫相关性不良反应时可以考虑使用其他全身性免疫抑制剂。如果不良反应</w:t>
      </w:r>
      <w:r w:rsidRPr="003C684F" w:rsidR="00E614C9">
        <w:rPr>
          <w:rFonts w:hint="eastAsia" w:ascii="仿宋" w:hAnsi="仿宋" w:eastAsia="仿宋"/>
          <w:color w:val="000000"/>
          <w:sz w:val="32"/>
          <w:szCs w:val="32"/>
        </w:rPr>
        <w:t>改善</w:t>
      </w:r>
      <w:r w:rsidRPr="003C684F">
        <w:rPr>
          <w:rFonts w:hint="eastAsia" w:ascii="仿宋" w:hAnsi="仿宋" w:eastAsia="仿宋"/>
          <w:color w:val="000000"/>
          <w:sz w:val="32"/>
          <w:szCs w:val="32"/>
        </w:rPr>
        <w:t>到≤1级，且糖皮质激素剂量已降至每天≤10mg泼尼松或等效剂量，则可在最后一次帕博利珠单抗给药后12周内重新开始帕博利珠单抗治疗。</w:t>
      </w:r>
    </w:p>
    <w:p w:rsidRPr="003C684F" w:rsidR="009730C1" w:rsidRDefault="00A315B9" w14:paraId="4C74903F"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10.帕博利珠单抗尚未进行正式药代动力学药物相互作</w:t>
      </w:r>
      <w:r w:rsidRPr="003C684F">
        <w:rPr>
          <w:rFonts w:hint="eastAsia" w:ascii="仿宋" w:hAnsi="仿宋" w:eastAsia="仿宋"/>
          <w:color w:val="000000"/>
          <w:sz w:val="32"/>
          <w:szCs w:val="32"/>
        </w:rPr>
        <w:lastRenderedPageBreak/>
        <w:t>用研究。由于帕博利珠单抗通过分解代谢从血液循环中清除，预计不会发生代谢性药物-药物相互作用。</w:t>
      </w:r>
    </w:p>
    <w:p w:rsidRPr="003C684F" w:rsidR="009730C1" w:rsidRDefault="00A315B9" w14:paraId="2ECEAF68"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olor w:val="000000"/>
          <w:sz w:val="32"/>
          <w:szCs w:val="32"/>
        </w:rPr>
        <w:t>11.美国FDA、欧盟EMA和日本PMDA批准帕博利珠单抗的适应证还包括：在排除EGFR或ALK阳性基础上，用于PD-L1表达≥1%的晚期NSCLC二线单药治疗。美国FDA还批准帕博利珠单抗单药用于治疗成人和儿童不可切除或转移性</w:t>
      </w:r>
      <w:r w:rsidRPr="003C684F">
        <w:rPr>
          <w:rFonts w:hint="eastAsia" w:ascii="仿宋" w:hAnsi="仿宋" w:eastAsia="仿宋"/>
          <w:sz w:val="32"/>
          <w:szCs w:val="32"/>
        </w:rPr>
        <w:t>高度微卫星不稳定型或错配修复基因缺陷型</w:t>
      </w:r>
      <w:r w:rsidRPr="003C684F">
        <w:rPr>
          <w:rFonts w:hint="eastAsia" w:ascii="仿宋" w:hAnsi="仿宋" w:eastAsia="仿宋"/>
          <w:color w:val="000000"/>
          <w:sz w:val="32"/>
          <w:szCs w:val="32"/>
        </w:rPr>
        <w:t>的实体瘤以及肿瘤突变负荷高（TMB-H）的无法切除或转移性实体瘤（包括小细胞肺癌）。目前国内尚未获批这些适应证，可在与患者充分沟通的情况下，按照FDA批准的用法正确使用。</w:t>
      </w:r>
    </w:p>
    <w:p w:rsidRPr="003C684F" w:rsidR="009730C1" w:rsidP="0037660B" w:rsidRDefault="00A315B9" w14:paraId="4A2BFF8C"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二十六、度伐利尤单抗 Durvalumab</w:t>
      </w:r>
    </w:p>
    <w:p w:rsidRPr="003C684F" w:rsidR="009730C1" w:rsidRDefault="00A315B9" w14:paraId="14F784BD"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47445D">
        <w:rPr>
          <w:rFonts w:hint="eastAsia" w:ascii="仿宋" w:hAnsi="仿宋" w:eastAsia="仿宋"/>
          <w:color w:val="000000"/>
          <w:sz w:val="32"/>
          <w:szCs w:val="32"/>
        </w:rPr>
        <w:t>剂</w:t>
      </w:r>
      <w:r w:rsidRPr="003C684F">
        <w:rPr>
          <w:rFonts w:hint="eastAsia" w:ascii="仿宋" w:hAnsi="仿宋" w:eastAsia="仿宋"/>
          <w:color w:val="000000"/>
          <w:sz w:val="32"/>
          <w:szCs w:val="32"/>
        </w:rPr>
        <w:t>：120mg（2.4ml）/瓶、500mg（10ml）/瓶</w:t>
      </w:r>
    </w:p>
    <w:p w:rsidRPr="003C684F" w:rsidR="009730C1" w:rsidRDefault="00A315B9" w14:paraId="76AC0932"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40E9A864"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1</w:t>
      </w:r>
      <w:r w:rsidRPr="003C684F">
        <w:rPr>
          <w:rFonts w:hint="eastAsia" w:ascii="仿宋" w:hAnsi="仿宋" w:eastAsia="仿宋"/>
          <w:b/>
          <w:color w:val="000000"/>
          <w:sz w:val="32"/>
          <w:szCs w:val="32"/>
        </w:rPr>
        <w:t>.</w:t>
      </w:r>
      <w:r w:rsidRPr="003C684F">
        <w:rPr>
          <w:rFonts w:hint="eastAsia" w:ascii="仿宋" w:hAnsi="仿宋" w:eastAsia="仿宋"/>
          <w:color w:val="000000"/>
          <w:sz w:val="32"/>
          <w:szCs w:val="32"/>
        </w:rPr>
        <w:t>度伐利尤单抗适用于在接受铂类药物为基础的化疗同步放疗后未出现疾病进展的不可切除、Ⅲ期NSCLC患者的治疗。</w:t>
      </w:r>
    </w:p>
    <w:p w:rsidRPr="003C684F" w:rsidR="009730C1" w:rsidRDefault="00A315B9" w14:paraId="5EEDED73"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.度伐利尤单抗联合依托泊苷和卡铂或顺铂，一线治疗广泛期小细胞肺癌（ES-SCLC）成人患者。</w:t>
      </w:r>
    </w:p>
    <w:p w:rsidRPr="003C684F" w:rsidR="009730C1" w:rsidRDefault="00A315B9" w14:paraId="68BB4EE9"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74CF1D54" w14:textId="05CFC89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1.不可切除的Ⅲ期NSCLC：度伐利尤单抗的使用方法是10mg/kg，</w:t>
      </w:r>
      <w:r w:rsidRPr="003C684F" w:rsidR="003C33B1">
        <w:rPr>
          <w:rFonts w:hint="eastAsia" w:ascii="仿宋" w:hAnsi="仿宋" w:eastAsia="仿宋"/>
          <w:color w:val="000000"/>
          <w:sz w:val="32"/>
          <w:szCs w:val="32"/>
        </w:rPr>
        <w:t>每2周一次，</w:t>
      </w:r>
      <w:r w:rsidRPr="003C684F">
        <w:rPr>
          <w:rFonts w:hint="eastAsia" w:ascii="仿宋" w:hAnsi="仿宋" w:eastAsia="仿宋"/>
          <w:color w:val="000000"/>
          <w:sz w:val="32"/>
          <w:szCs w:val="32"/>
        </w:rPr>
        <w:t>静脉</w:t>
      </w:r>
      <w:r w:rsidRPr="003C684F" w:rsidR="001043BD">
        <w:rPr>
          <w:rFonts w:hint="eastAsia" w:ascii="仿宋" w:hAnsi="仿宋" w:eastAsia="仿宋"/>
          <w:color w:val="000000"/>
          <w:sz w:val="32"/>
          <w:szCs w:val="32"/>
        </w:rPr>
        <w:t>输注</w:t>
      </w:r>
      <w:r w:rsidRPr="003C684F">
        <w:rPr>
          <w:rFonts w:hint="eastAsia" w:ascii="仿宋" w:hAnsi="仿宋" w:eastAsia="仿宋"/>
          <w:color w:val="000000"/>
          <w:sz w:val="32"/>
          <w:szCs w:val="32"/>
        </w:rPr>
        <w:t>，每次输注需超过60分钟，</w:t>
      </w:r>
      <w:r w:rsidRPr="003C684F">
        <w:rPr>
          <w:rFonts w:hint="eastAsia" w:ascii="仿宋" w:hAnsi="仿宋" w:eastAsia="仿宋"/>
          <w:color w:val="000000"/>
          <w:sz w:val="32"/>
          <w:szCs w:val="32"/>
        </w:rPr>
        <w:lastRenderedPageBreak/>
        <w:t>直至疾病进展或</w:t>
      </w:r>
      <w:r w:rsidRPr="003C684F" w:rsidR="00CC0478">
        <w:rPr>
          <w:rFonts w:hint="eastAsia" w:ascii="仿宋" w:hAnsi="仿宋" w:eastAsia="仿宋"/>
          <w:color w:val="000000"/>
          <w:sz w:val="32"/>
          <w:szCs w:val="32"/>
        </w:rPr>
        <w:t>出现</w:t>
      </w:r>
      <w:r w:rsidRPr="003C684F">
        <w:rPr>
          <w:rFonts w:hint="eastAsia" w:ascii="仿宋" w:hAnsi="仿宋" w:eastAsia="仿宋"/>
          <w:color w:val="000000"/>
          <w:sz w:val="32"/>
          <w:szCs w:val="32"/>
        </w:rPr>
        <w:t>不</w:t>
      </w:r>
      <w:r w:rsidRPr="003C684F" w:rsidR="00D978AD">
        <w:rPr>
          <w:rFonts w:hint="eastAsia" w:ascii="仿宋" w:hAnsi="仿宋" w:eastAsia="仿宋"/>
          <w:color w:val="000000"/>
          <w:sz w:val="32"/>
          <w:szCs w:val="32"/>
        </w:rPr>
        <w:t>可</w:t>
      </w:r>
      <w:r w:rsidRPr="003C684F">
        <w:rPr>
          <w:rFonts w:hint="eastAsia" w:ascii="仿宋" w:hAnsi="仿宋" w:eastAsia="仿宋"/>
          <w:color w:val="000000"/>
          <w:sz w:val="32"/>
          <w:szCs w:val="32"/>
        </w:rPr>
        <w:t>耐受的毒性。最长使用不超过12个月。</w:t>
      </w:r>
    </w:p>
    <w:p w:rsidRPr="003C684F" w:rsidR="009730C1" w:rsidRDefault="00A315B9" w14:paraId="48A513CE" w14:textId="134AB38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2.ES-SCLC：1500mg度伐利尤单抗联合依托泊苷和卡铂或顺铂，每3周一次，持续4个周期，继之以1500mg每4周一次作为单药治疗，直至疾病进展或</w:t>
      </w:r>
      <w:r w:rsidRPr="003C684F" w:rsidR="004B304F">
        <w:rPr>
          <w:rFonts w:hint="eastAsia" w:ascii="仿宋" w:hAnsi="仿宋" w:eastAsia="仿宋"/>
          <w:color w:val="000000"/>
          <w:sz w:val="32"/>
          <w:szCs w:val="32"/>
        </w:rPr>
        <w:t>出现</w:t>
      </w:r>
      <w:r w:rsidRPr="003C684F" w:rsidR="00D978AD">
        <w:rPr>
          <w:rFonts w:hint="eastAsia" w:ascii="仿宋" w:hAnsi="仿宋" w:eastAsia="仿宋"/>
          <w:color w:val="000000"/>
          <w:sz w:val="32"/>
          <w:szCs w:val="32"/>
        </w:rPr>
        <w:t>不可耐受</w:t>
      </w:r>
      <w:r w:rsidRPr="003C684F">
        <w:rPr>
          <w:rFonts w:hint="eastAsia" w:ascii="仿宋" w:hAnsi="仿宋" w:eastAsia="仿宋"/>
          <w:color w:val="000000"/>
          <w:sz w:val="32"/>
          <w:szCs w:val="32"/>
        </w:rPr>
        <w:t>的毒性。体重在30kg或以下的患者必须接受基于体重的给药，即度伐利尤单抗20mg/kg联合化疗</w:t>
      </w:r>
      <w:r w:rsidRPr="003C684F" w:rsidR="00D978AD">
        <w:rPr>
          <w:rFonts w:hint="eastAsia" w:ascii="仿宋" w:hAnsi="仿宋" w:eastAsia="仿宋"/>
          <w:color w:val="000000"/>
          <w:sz w:val="32"/>
          <w:szCs w:val="32"/>
        </w:rPr>
        <w:t>，</w:t>
      </w:r>
      <w:r w:rsidRPr="003C684F">
        <w:rPr>
          <w:rFonts w:hint="eastAsia" w:ascii="仿宋" w:hAnsi="仿宋" w:eastAsia="仿宋"/>
          <w:color w:val="000000"/>
          <w:sz w:val="32"/>
          <w:szCs w:val="32"/>
        </w:rPr>
        <w:t>每3周一次，持续4个周期，继之以20mg/kg每4周一次单药治疗，直至体重增加至大于30kg。</w:t>
      </w:r>
    </w:p>
    <w:p w:rsidRPr="003C684F" w:rsidR="009730C1" w:rsidRDefault="00A315B9" w14:paraId="7FF59C13" w14:textId="5F0AA44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bookmarkStart w:name="_Hlk59364010" w:id="2"/>
      <w:r w:rsidRPr="003C684F">
        <w:rPr>
          <w:rFonts w:hint="eastAsia" w:ascii="仿宋" w:hAnsi="仿宋" w:eastAsia="仿宋"/>
          <w:color w:val="000000"/>
          <w:sz w:val="32"/>
          <w:szCs w:val="32"/>
        </w:rPr>
        <w:t>对于疑似免疫相关性不良反应，应进行充分的评估以确认病因或排除其他病因。</w:t>
      </w:r>
      <w:bookmarkEnd w:id="2"/>
      <w:r w:rsidRPr="003C684F">
        <w:rPr>
          <w:rFonts w:hint="eastAsia" w:ascii="仿宋" w:hAnsi="仿宋" w:eastAsia="仿宋"/>
          <w:color w:val="000000"/>
          <w:sz w:val="32"/>
          <w:szCs w:val="32"/>
        </w:rPr>
        <w:t>根据免疫相关性不良反应的类型和严重程度，暂停给药或</w:t>
      </w:r>
      <w:r w:rsidRPr="003C684F" w:rsidR="00373DC1">
        <w:rPr>
          <w:rFonts w:hint="eastAsia" w:ascii="仿宋" w:hAnsi="仿宋" w:eastAsia="仿宋" w:cs="仿宋"/>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0C7187BB" w14:textId="65E9453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4.尚未确</w:t>
      </w:r>
      <w:r w:rsidRPr="003C684F" w:rsidR="00242E9A">
        <w:rPr>
          <w:rFonts w:hint="eastAsia" w:ascii="仿宋" w:hAnsi="仿宋" w:eastAsia="仿宋"/>
          <w:color w:val="000000"/>
          <w:sz w:val="32"/>
          <w:szCs w:val="32"/>
        </w:rPr>
        <w:t>定</w:t>
      </w:r>
      <w:r w:rsidRPr="003C684F">
        <w:rPr>
          <w:rFonts w:hint="eastAsia" w:ascii="仿宋" w:hAnsi="仿宋" w:eastAsia="仿宋"/>
          <w:color w:val="000000"/>
          <w:sz w:val="32"/>
          <w:szCs w:val="32"/>
        </w:rPr>
        <w:t>度伐利尤单抗在</w:t>
      </w:r>
      <w:r w:rsidRPr="003C684F" w:rsidR="00D61FBA">
        <w:rPr>
          <w:rFonts w:hint="eastAsia" w:ascii="仿宋" w:hAnsi="仿宋" w:eastAsia="仿宋"/>
          <w:color w:val="000000"/>
          <w:sz w:val="32"/>
          <w:szCs w:val="32"/>
        </w:rPr>
        <w:t>18岁以下儿童和青少年</w:t>
      </w:r>
      <w:r w:rsidRPr="003C684F" w:rsidR="005D77F3">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的安全性和有效性。老年患者（≥65岁）、轻度肝功能损伤患者、轻中度肾功能损伤患者，均</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进行剂量调整。在中重度肝功能损伤患者、重度肾功能损伤患者中使用的安全性及有效性尚未建立，如经医师评估使用本品预期获益大于风险，需在医师指导下谨慎使用。</w:t>
      </w:r>
    </w:p>
    <w:p w:rsidRPr="003C684F" w:rsidR="009730C1" w:rsidP="0037660B" w:rsidRDefault="00A315B9" w14:paraId="7A70CA1A"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二十七、阿替利珠单抗 Atezolizumab</w:t>
      </w:r>
    </w:p>
    <w:p w:rsidRPr="003C684F" w:rsidR="009730C1" w:rsidRDefault="00A315B9" w14:paraId="540637FD"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43D7E">
        <w:rPr>
          <w:rFonts w:hint="eastAsia" w:ascii="仿宋" w:hAnsi="仿宋" w:eastAsia="仿宋"/>
          <w:color w:val="000000"/>
          <w:sz w:val="32"/>
          <w:szCs w:val="32"/>
        </w:rPr>
        <w:t>剂</w:t>
      </w:r>
      <w:r w:rsidRPr="003C684F">
        <w:rPr>
          <w:rFonts w:hint="eastAsia" w:ascii="仿宋" w:hAnsi="仿宋" w:eastAsia="仿宋"/>
          <w:color w:val="000000"/>
          <w:sz w:val="32"/>
          <w:szCs w:val="32"/>
        </w:rPr>
        <w:t xml:space="preserve">：1200mg（20ml）/瓶 </w:t>
      </w:r>
    </w:p>
    <w:p w:rsidRPr="003C684F" w:rsidR="009730C1" w:rsidRDefault="00A315B9" w14:paraId="0D9EB829"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1D0BA8CE" w14:textId="2A84C718">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阿替利珠单抗与卡铂和依托泊苷</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于ES-SCLC</w:t>
      </w:r>
      <w:r w:rsidRPr="003C684F">
        <w:rPr>
          <w:rFonts w:hint="eastAsia" w:ascii="仿宋" w:hAnsi="仿宋" w:eastAsia="仿宋"/>
          <w:color w:val="000000"/>
          <w:sz w:val="32"/>
          <w:szCs w:val="32"/>
        </w:rPr>
        <w:lastRenderedPageBreak/>
        <w:t>患者的一线治疗。</w:t>
      </w:r>
    </w:p>
    <w:p w:rsidRPr="003C684F" w:rsidR="009730C1" w:rsidRDefault="00A315B9" w14:paraId="6357AB3E"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阿替利珠单抗用于经国家药品监督管理局批准的检测方法评估为≥50%肿瘤细胞PD-L1染色阳性（TC≥50%）或肿瘤浸润PD-L1阳性免疫细胞（IC）覆盖≥10%的肿瘤面积（IC≥10%）的EGFR基因突变阴性和ALK阴性的转移性NSCLC一线单药治疗。</w:t>
      </w:r>
    </w:p>
    <w:p w:rsidRPr="003C684F" w:rsidR="009730C1" w:rsidRDefault="00A315B9" w14:paraId="35516382"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3.阿替利珠单抗联合培美曲塞和铂类化疗用于EGFR基因突变阴性和ALK阴性的转移性非鳞状细胞NSCLC患者的一线治疗。</w:t>
      </w:r>
    </w:p>
    <w:p w:rsidRPr="003C684F" w:rsidR="009730C1" w:rsidRDefault="00A315B9" w14:paraId="0E6340FB"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4.阿替利珠单抗单药用于检测评估为≥1%肿瘤细胞（TC）PD-L1染色阳性、经手术切除、以铂类为基础化疗之后的Ⅱ～ⅢA期N</w:t>
      </w:r>
      <w:r w:rsidRPr="003C684F">
        <w:rPr>
          <w:rFonts w:ascii="仿宋" w:hAnsi="仿宋" w:eastAsia="仿宋"/>
          <w:color w:val="000000"/>
          <w:sz w:val="32"/>
          <w:szCs w:val="32"/>
        </w:rPr>
        <w:t>SCLC</w:t>
      </w:r>
      <w:r w:rsidRPr="003C684F">
        <w:rPr>
          <w:rFonts w:hint="eastAsia" w:ascii="仿宋" w:hAnsi="仿宋" w:eastAsia="仿宋"/>
          <w:color w:val="000000"/>
          <w:sz w:val="32"/>
          <w:szCs w:val="32"/>
        </w:rPr>
        <w:t>患者的辅助治疗</w:t>
      </w:r>
      <w:bookmarkStart w:name="OLE_LINK4" w:id="3"/>
      <w:r w:rsidRPr="003C684F">
        <w:rPr>
          <w:rFonts w:hint="eastAsia" w:ascii="仿宋" w:hAnsi="仿宋" w:eastAsia="仿宋"/>
          <w:color w:val="000000"/>
          <w:sz w:val="32"/>
          <w:szCs w:val="32"/>
        </w:rPr>
        <w:t>（国际抗癌联盟/美国癌症联合会分期系统IASLC/AJCC第7版分期）</w:t>
      </w:r>
      <w:bookmarkEnd w:id="3"/>
      <w:r w:rsidRPr="003C684F">
        <w:rPr>
          <w:rFonts w:hint="eastAsia" w:ascii="仿宋" w:hAnsi="仿宋" w:eastAsia="仿宋"/>
          <w:color w:val="000000"/>
          <w:sz w:val="32"/>
          <w:szCs w:val="32"/>
        </w:rPr>
        <w:t>。</w:t>
      </w:r>
    </w:p>
    <w:p w:rsidRPr="003C684F" w:rsidR="009730C1" w:rsidRDefault="00A315B9" w14:paraId="10C08CFE"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5ED9B67" w14:textId="204A2F86">
      <w:pPr>
        <w:spacing w:line="360" w:lineRule="auto"/>
        <w:ind w:firstLine="640" w:firstLineChars="200"/>
        <w:rPr>
          <w:rFonts w:ascii="仿宋" w:hAnsi="仿宋" w:eastAsia="仿宋"/>
          <w:sz w:val="32"/>
          <w:szCs w:val="32"/>
        </w:rPr>
      </w:pPr>
      <w:r w:rsidRPr="003C684F">
        <w:rPr>
          <w:rFonts w:hint="eastAsia" w:ascii="仿宋" w:hAnsi="仿宋" w:eastAsia="仿宋"/>
          <w:color w:val="000000"/>
          <w:sz w:val="32"/>
          <w:szCs w:val="32"/>
        </w:rPr>
        <w:t>1.阿替利珠单抗的用法是固定剂量1200mg</w:t>
      </w:r>
      <w:r w:rsidRPr="003C684F" w:rsidR="003F7378">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71399F">
        <w:rPr>
          <w:rFonts w:hint="eastAsia" w:ascii="仿宋" w:hAnsi="仿宋" w:eastAsia="仿宋"/>
          <w:color w:val="000000"/>
          <w:sz w:val="32"/>
          <w:szCs w:val="32"/>
        </w:rPr>
        <w:t>每3周一次</w:t>
      </w:r>
      <w:r w:rsidRPr="003C684F" w:rsidR="006F755F">
        <w:rPr>
          <w:rFonts w:hint="eastAsia" w:ascii="仿宋" w:hAnsi="仿宋" w:eastAsia="仿宋"/>
          <w:color w:val="000000"/>
          <w:sz w:val="32"/>
          <w:szCs w:val="32"/>
        </w:rPr>
        <w:t>，</w:t>
      </w:r>
      <w:r w:rsidRPr="003C684F">
        <w:rPr>
          <w:rFonts w:hint="eastAsia" w:ascii="仿宋" w:hAnsi="仿宋" w:eastAsia="仿宋"/>
          <w:color w:val="000000"/>
          <w:sz w:val="32"/>
          <w:szCs w:val="32"/>
        </w:rPr>
        <w:t>静脉</w:t>
      </w:r>
      <w:r w:rsidRPr="003C684F" w:rsidR="00E614C9">
        <w:rPr>
          <w:rFonts w:hint="eastAsia" w:ascii="仿宋" w:hAnsi="仿宋" w:eastAsia="仿宋"/>
          <w:color w:val="000000"/>
          <w:sz w:val="32"/>
          <w:szCs w:val="32"/>
        </w:rPr>
        <w:t>输注</w:t>
      </w:r>
      <w:r w:rsidRPr="003C684F">
        <w:rPr>
          <w:rFonts w:hint="eastAsia" w:ascii="仿宋" w:hAnsi="仿宋" w:eastAsia="仿宋"/>
          <w:color w:val="000000"/>
          <w:sz w:val="32"/>
          <w:szCs w:val="32"/>
        </w:rPr>
        <w:t>，不得</w:t>
      </w:r>
      <w:r w:rsidRPr="003C684F" w:rsidR="00D978AD">
        <w:rPr>
          <w:rFonts w:hint="eastAsia" w:ascii="仿宋" w:hAnsi="仿宋" w:eastAsia="仿宋"/>
          <w:color w:val="000000"/>
          <w:sz w:val="32"/>
          <w:szCs w:val="32"/>
        </w:rPr>
        <w:t>采用</w:t>
      </w:r>
      <w:r w:rsidRPr="003C684F">
        <w:rPr>
          <w:rFonts w:hint="eastAsia" w:ascii="仿宋" w:hAnsi="仿宋" w:eastAsia="仿宋"/>
          <w:color w:val="000000"/>
          <w:sz w:val="32"/>
          <w:szCs w:val="32"/>
        </w:rPr>
        <w:t>静脉推注或快速静脉输注的方式给药。不得与其他药物使用同一输液管给药。首次给药至少持续60分钟，若首次输注患者耐受性良好，后续可至少30分钟。</w:t>
      </w:r>
      <w:r w:rsidRPr="003C684F">
        <w:rPr>
          <w:rFonts w:ascii="仿宋" w:hAnsi="仿宋" w:eastAsia="仿宋" w:cs="Arial"/>
          <w:sz w:val="32"/>
          <w:szCs w:val="32"/>
        </w:rPr>
        <w:t>与其他药品</w:t>
      </w:r>
      <w:r w:rsidRPr="003C684F" w:rsidR="00F92328">
        <w:rPr>
          <w:rFonts w:ascii="仿宋" w:hAnsi="仿宋" w:eastAsia="仿宋" w:cs="Arial"/>
          <w:sz w:val="32"/>
          <w:szCs w:val="32"/>
        </w:rPr>
        <w:t>联合使用</w:t>
      </w:r>
      <w:r w:rsidRPr="003C684F">
        <w:rPr>
          <w:rFonts w:ascii="仿宋" w:hAnsi="仿宋" w:eastAsia="仿宋" w:cs="Arial"/>
          <w:sz w:val="32"/>
          <w:szCs w:val="32"/>
        </w:rPr>
        <w:t>时，也应同时参考</w:t>
      </w:r>
      <w:r w:rsidRPr="003C684F" w:rsidR="00DE313C">
        <w:rPr>
          <w:rFonts w:ascii="仿宋" w:hAnsi="仿宋" w:eastAsia="仿宋" w:cs="Arial"/>
          <w:sz w:val="32"/>
          <w:szCs w:val="32"/>
        </w:rPr>
        <w:t>联合使用</w:t>
      </w:r>
      <w:r w:rsidRPr="003C684F">
        <w:rPr>
          <w:rFonts w:ascii="仿宋" w:hAnsi="仿宋" w:eastAsia="仿宋" w:cs="Arial"/>
          <w:sz w:val="32"/>
          <w:szCs w:val="32"/>
        </w:rPr>
        <w:t>药品的完整处方信息。如在同一天给药，本品应在其</w:t>
      </w:r>
      <w:r w:rsidRPr="003C684F" w:rsidR="00DE313C">
        <w:rPr>
          <w:rFonts w:ascii="仿宋" w:hAnsi="仿宋" w:eastAsia="仿宋" w:cs="Arial"/>
          <w:sz w:val="32"/>
          <w:szCs w:val="32"/>
        </w:rPr>
        <w:t>联合使用</w:t>
      </w:r>
      <w:r w:rsidRPr="003C684F">
        <w:rPr>
          <w:rFonts w:ascii="仿宋" w:hAnsi="仿宋" w:eastAsia="仿宋" w:cs="Arial"/>
          <w:sz w:val="32"/>
          <w:szCs w:val="32"/>
        </w:rPr>
        <w:t>药品之前先行给药。</w:t>
      </w:r>
    </w:p>
    <w:p w:rsidRPr="003C684F" w:rsidR="009730C1" w:rsidRDefault="00A315B9" w14:paraId="476FA1EC" w14:textId="1D972638">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用于ES-SCLC时，诱导期联合卡铂和依托泊苷方案每</w:t>
      </w:r>
      <w:r w:rsidRPr="003C684F">
        <w:rPr>
          <w:rFonts w:hint="eastAsia" w:ascii="仿宋" w:hAnsi="仿宋" w:eastAsia="仿宋"/>
          <w:color w:val="000000"/>
          <w:sz w:val="32"/>
          <w:szCs w:val="32"/>
        </w:rPr>
        <w:lastRenderedPageBreak/>
        <w:t>3周一次，治疗4个周期后进入无化疗的维持期。用于NSCLC一线单药治疗，</w:t>
      </w:r>
      <w:r w:rsidRPr="003C684F" w:rsidR="0071399F">
        <w:rPr>
          <w:rFonts w:hint="eastAsia" w:ascii="仿宋" w:hAnsi="仿宋" w:eastAsia="仿宋"/>
          <w:color w:val="000000"/>
          <w:sz w:val="32"/>
          <w:szCs w:val="32"/>
        </w:rPr>
        <w:t>每3周一次</w:t>
      </w:r>
      <w:r w:rsidRPr="003C684F">
        <w:rPr>
          <w:rFonts w:hint="eastAsia" w:ascii="仿宋" w:hAnsi="仿宋" w:eastAsia="仿宋"/>
          <w:color w:val="000000"/>
          <w:sz w:val="32"/>
          <w:szCs w:val="32"/>
        </w:rPr>
        <w:t>。用于NSCLC一线联合化疗时，诱导期联合培美曲塞和铂类方案每3周一次，治疗4个或6个周期后进入阿替利珠单抗联合培美曲塞的维持期。</w:t>
      </w:r>
    </w:p>
    <w:p w:rsidRPr="003C684F" w:rsidR="009730C1" w:rsidRDefault="00A315B9" w14:paraId="20A3BCF8" w14:textId="330BBC05">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患者可接受阿替利珠单抗治疗直至无临床获益或出现不可耐受的毒性。如果患者临床症状稳定，即使有疾病进展的初步证据，但基于总体临床获益的判断，可考虑继续应用本品治疗。应对疾病进展后继续使用阿替利珠单抗治疗的患者开展密切监测，4～8周内重复肿瘤疗效评估。对于早期NSCLC术后辅助阿替利珠单抗治疗，患者可接受本品治疗1年，除非</w:t>
      </w:r>
      <w:r w:rsidRPr="003C684F" w:rsidR="00B95507">
        <w:rPr>
          <w:rFonts w:hint="eastAsia" w:ascii="仿宋" w:hAnsi="仿宋" w:eastAsia="仿宋"/>
          <w:color w:val="000000"/>
          <w:sz w:val="32"/>
          <w:szCs w:val="32"/>
        </w:rPr>
        <w:t>疾病进展或出现不可耐受的毒性。</w:t>
      </w:r>
    </w:p>
    <w:p w:rsidRPr="003C684F" w:rsidR="009730C1" w:rsidRDefault="00A315B9" w14:paraId="44952E97" w14:textId="39C90E5A">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4</w:t>
      </w:r>
      <w:r w:rsidRPr="003C684F">
        <w:rPr>
          <w:rFonts w:hint="eastAsia" w:ascii="仿宋" w:hAnsi="仿宋" w:eastAsia="仿宋"/>
          <w:color w:val="000000"/>
          <w:sz w:val="32"/>
          <w:szCs w:val="32"/>
        </w:rPr>
        <w:t>.对于疑似免疫相关性不良反应，应进行充分的评估以确认病因或排除其他病因。根据免疫相关性不良反应的类型和严重程度，可能需要暂停给药或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2A292F0C"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达到免疫抑制剂量的糖皮质激素或其他免疫抑制剂治疗期间，不建议重新使用阿替利珠单抗治疗。</w:t>
      </w:r>
    </w:p>
    <w:p w:rsidRPr="003C684F" w:rsidR="009730C1" w:rsidRDefault="00A315B9" w14:paraId="08FEB12F" w14:textId="4110AA44">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.尚未确</w:t>
      </w:r>
      <w:r w:rsidRPr="003C684F" w:rsidR="007811E9">
        <w:rPr>
          <w:rFonts w:hint="eastAsia" w:ascii="仿宋" w:hAnsi="仿宋" w:eastAsia="仿宋"/>
          <w:color w:val="000000"/>
          <w:sz w:val="32"/>
          <w:szCs w:val="32"/>
        </w:rPr>
        <w:t>定</w:t>
      </w:r>
      <w:r w:rsidRPr="003C684F">
        <w:rPr>
          <w:rFonts w:hint="eastAsia" w:ascii="仿宋" w:hAnsi="仿宋" w:eastAsia="仿宋"/>
          <w:color w:val="000000"/>
          <w:sz w:val="32"/>
          <w:szCs w:val="32"/>
        </w:rPr>
        <w:t>阿替利珠单抗在18岁</w:t>
      </w:r>
      <w:r w:rsidRPr="003C684F" w:rsidR="005D77F3">
        <w:rPr>
          <w:rFonts w:hint="eastAsia" w:ascii="仿宋" w:hAnsi="仿宋" w:eastAsia="仿宋"/>
          <w:color w:val="000000"/>
          <w:sz w:val="32"/>
          <w:szCs w:val="32"/>
        </w:rPr>
        <w:t>以下儿童和青少年患</w:t>
      </w:r>
      <w:r w:rsidRPr="003C684F" w:rsidR="005D77F3">
        <w:rPr>
          <w:rFonts w:hint="eastAsia" w:ascii="仿宋" w:hAnsi="仿宋" w:eastAsia="仿宋"/>
          <w:color w:val="000000"/>
          <w:sz w:val="32"/>
          <w:szCs w:val="32"/>
        </w:rPr>
        <w:lastRenderedPageBreak/>
        <w:t>者</w:t>
      </w:r>
      <w:r w:rsidRPr="003C684F">
        <w:rPr>
          <w:rFonts w:hint="eastAsia" w:ascii="仿宋" w:hAnsi="仿宋" w:eastAsia="仿宋"/>
          <w:color w:val="000000"/>
          <w:sz w:val="32"/>
          <w:szCs w:val="32"/>
        </w:rPr>
        <w:t>的安全性和有效性。老年患者（≥65岁）、轻度肝功能损伤患者、轻中度肾功能损伤患者，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调整剂量。在中重度肝功能损伤患者、重度肾功能损伤患者中使用的安全性及有效性尚未建立，如经医师评估使用本品预期获益大于风险，需在医师指导下谨慎使用。</w:t>
      </w:r>
    </w:p>
    <w:p w:rsidRPr="003C684F" w:rsidR="009730C1" w:rsidRDefault="00A315B9" w14:paraId="2DE0190A" w14:textId="7962A063">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bCs/>
          <w:sz w:val="32"/>
          <w:szCs w:val="32"/>
          <w:vertAlign w:val="superscript"/>
        </w:rPr>
        <w:t>※</w:t>
      </w:r>
      <w:r w:rsidRPr="003C684F">
        <w:rPr>
          <w:rFonts w:ascii="仿宋" w:hAnsi="仿宋" w:eastAsia="仿宋"/>
          <w:color w:val="000000"/>
          <w:sz w:val="32"/>
          <w:szCs w:val="32"/>
        </w:rPr>
        <w:t>7</w:t>
      </w:r>
      <w:r w:rsidRPr="003C684F">
        <w:rPr>
          <w:rFonts w:hint="eastAsia" w:ascii="仿宋" w:hAnsi="仿宋" w:eastAsia="仿宋"/>
          <w:color w:val="000000"/>
          <w:sz w:val="32"/>
          <w:szCs w:val="32"/>
        </w:rPr>
        <w:t>.美国FDA批准阿替利珠单抗的适应证还包括：阿替利珠单抗联合白蛋白紫杉醇和卡铂用于EGFR/ALK阴性的晚期非鳞状细胞NSCLC一线治疗；联合贝伐珠单抗和紫杉醇和卡铂用于EGFR/ALK阴性的晚期非鳞状细胞NSCLC一线治疗；阿替利珠单抗单药用于晚期NSCLC含铂化疗进展后的二线治疗；联合贝伐珠单抗治疗既往接受过全身系统性治疗的不可切除肝细胞癌；作为不适合含铂化疗的局部晚期或转移性尿路上皮癌的一线治疗；与卡比替尼和维莫非尼</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于治疗BRAF V600突变阳性的不可切除或转移性黑色素瘤。除肝细胞癌外，这些适应证目前国内尚未获批，可在与患者充分沟通的情况下，按照FDA批准的用法正确使用。</w:t>
      </w:r>
    </w:p>
    <w:p w:rsidRPr="003C684F" w:rsidR="009730C1" w:rsidP="0037660B" w:rsidRDefault="00A315B9" w14:paraId="092D5A9F"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二十八、卡瑞利珠单抗 Camrelizumab</w:t>
      </w:r>
    </w:p>
    <w:p w:rsidRPr="003C684F" w:rsidR="009730C1" w:rsidRDefault="00A315B9" w14:paraId="2BFA2BE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粉针剂：200mg/瓶</w:t>
      </w:r>
    </w:p>
    <w:p w:rsidRPr="003C684F" w:rsidR="009730C1" w:rsidRDefault="00A315B9" w14:paraId="377301DA"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521AE63B"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1.卡瑞利珠单抗联合培美曲塞和卡铂适用于EGFR基因突变阴性和ALK阴性的、不可手术切除的局部晚期或转移性非鳞状细胞NSCLC的一线治疗。</w:t>
      </w:r>
    </w:p>
    <w:p w:rsidRPr="003C684F" w:rsidR="009730C1" w:rsidRDefault="00A315B9" w14:paraId="6CFF3DB2"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2.卡瑞利珠单抗联合紫杉醇和卡铂用于局部晚期或转移性鳞状细胞NSCLC患者的一线治疗。</w:t>
      </w:r>
    </w:p>
    <w:p w:rsidRPr="003C684F" w:rsidR="009730C1" w:rsidRDefault="00A315B9" w14:paraId="16EED4D2"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3673934"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1.对于非鳞状细胞NSCLC，用药前必须明确诊断为EGFR突变阴性和ALK阴性。</w:t>
      </w:r>
    </w:p>
    <w:p w:rsidRPr="003C684F" w:rsidR="009730C1" w:rsidRDefault="00A315B9" w14:paraId="0A0A739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2.应该按照相关疾病指南，治疗前做基线评估，治疗期间定期监测治疗反应及毒性。</w:t>
      </w:r>
    </w:p>
    <w:p w:rsidRPr="003C684F" w:rsidR="009730C1" w:rsidRDefault="00A315B9" w14:paraId="4E00DFFD" w14:textId="73D8265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3.本品推荐剂量为200mg</w:t>
      </w:r>
      <w:r w:rsidRPr="003C684F" w:rsidR="006F755F">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71399F">
        <w:rPr>
          <w:rFonts w:hint="eastAsia" w:ascii="仿宋" w:hAnsi="仿宋" w:eastAsia="仿宋"/>
          <w:color w:val="000000"/>
          <w:sz w:val="32"/>
          <w:szCs w:val="32"/>
        </w:rPr>
        <w:t>每3周一次</w:t>
      </w:r>
      <w:r w:rsidRPr="003C684F" w:rsidR="006F755F">
        <w:rPr>
          <w:rFonts w:hint="eastAsia" w:ascii="仿宋" w:hAnsi="仿宋" w:eastAsia="仿宋"/>
          <w:color w:val="000000"/>
          <w:sz w:val="32"/>
          <w:szCs w:val="32"/>
        </w:rPr>
        <w:t>，静脉输注，</w:t>
      </w:r>
      <w:r w:rsidRPr="003C684F">
        <w:rPr>
          <w:rFonts w:hint="eastAsia" w:ascii="仿宋" w:hAnsi="仿宋" w:eastAsia="仿宋"/>
          <w:color w:val="000000"/>
          <w:sz w:val="32"/>
          <w:szCs w:val="32"/>
        </w:rPr>
        <w:t>每次持续30～60分钟，直至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当卡瑞利珠单抗联合化疗给药时，应首先给予卡瑞利珠单抗</w:t>
      </w:r>
      <w:r w:rsidRPr="003C684F" w:rsidR="00FC21CC">
        <w:rPr>
          <w:rFonts w:hint="eastAsia" w:ascii="仿宋" w:hAnsi="仿宋" w:eastAsia="仿宋"/>
          <w:color w:val="000000"/>
          <w:sz w:val="32"/>
          <w:szCs w:val="32"/>
        </w:rPr>
        <w:t>静脉输注</w:t>
      </w:r>
      <w:r w:rsidRPr="003C684F">
        <w:rPr>
          <w:rFonts w:hint="eastAsia" w:ascii="仿宋" w:hAnsi="仿宋" w:eastAsia="仿宋"/>
          <w:color w:val="000000"/>
          <w:sz w:val="32"/>
          <w:szCs w:val="32"/>
        </w:rPr>
        <w:t>，间隔至少30分钟后再给予化疗。</w:t>
      </w:r>
    </w:p>
    <w:p w:rsidRPr="003C684F" w:rsidR="009730C1" w:rsidRDefault="00A315B9" w14:paraId="129DC3FB" w14:textId="50453F1D">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4.有可能观察到非典型反应。如果患者临床症状稳定或持续减轻，即使影像学有疾病进展的初步证据，基于总体临床获益的判断，可考虑继续应用本品治疗，直至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49742A35" w14:textId="1A97AD3D">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5.如出现免疫相关性不良反应，根据个体患者的安全性和耐受性，可能需要暂停给药或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08840BAC" w14:textId="3760CC6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6.目前本品尚无针对中重度肝功能损伤患者的研究数据，中重度肝功能损伤患者不推荐使用。轻度肝功能损伤患者应在医师指导下慎用本品，如需使用，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4CC085D9" w14:textId="178E026E">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7.目前本品尚无针对中重度肾功能损伤患者的研究数</w:t>
      </w:r>
      <w:r w:rsidRPr="003C684F">
        <w:rPr>
          <w:rFonts w:hint="eastAsia" w:ascii="仿宋" w:hAnsi="仿宋" w:eastAsia="仿宋"/>
          <w:color w:val="000000"/>
          <w:sz w:val="32"/>
          <w:szCs w:val="32"/>
        </w:rPr>
        <w:lastRenderedPageBreak/>
        <w:t>据，中重度肾功能损伤患者不推荐使用。轻度肾功能损伤患者应在医师指导下慎用本品，如需使用，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10DBB0CC" w14:textId="732CC14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7811E9">
        <w:rPr>
          <w:rFonts w:hint="eastAsia" w:ascii="仿宋" w:hAnsi="仿宋" w:eastAsia="仿宋"/>
          <w:color w:val="000000"/>
          <w:sz w:val="32"/>
          <w:szCs w:val="32"/>
        </w:rPr>
        <w:t>尚未确定本品</w:t>
      </w:r>
      <w:r w:rsidRPr="003C684F">
        <w:rPr>
          <w:rFonts w:hint="eastAsia" w:ascii="仿宋" w:hAnsi="仿宋" w:eastAsia="仿宋"/>
          <w:color w:val="000000"/>
          <w:sz w:val="32"/>
          <w:szCs w:val="32"/>
        </w:rPr>
        <w:t>在</w:t>
      </w:r>
      <w:r w:rsidRPr="003C684F" w:rsidR="00D61FBA">
        <w:rPr>
          <w:rFonts w:hint="eastAsia" w:ascii="仿宋" w:hAnsi="仿宋" w:eastAsia="仿宋"/>
          <w:color w:val="000000"/>
          <w:sz w:val="32"/>
          <w:szCs w:val="32"/>
        </w:rPr>
        <w:t>18岁以下儿童和青少年</w:t>
      </w:r>
      <w:r w:rsidRPr="003C684F" w:rsidR="00C55613">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w:t>
      </w:r>
    </w:p>
    <w:p w:rsidRPr="003C684F" w:rsidR="009730C1" w:rsidRDefault="00A315B9" w14:paraId="571A4937" w14:textId="3DFFF13B">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9.本品在</w:t>
      </w:r>
      <w:r w:rsidRPr="003C684F" w:rsidR="000B2FBD">
        <w:rPr>
          <w:rFonts w:hint="eastAsia" w:ascii="仿宋" w:hAnsi="仿宋" w:eastAsia="仿宋"/>
          <w:color w:val="000000"/>
          <w:sz w:val="32"/>
          <w:szCs w:val="32"/>
        </w:rPr>
        <w:t>老年患者（≥65岁）</w:t>
      </w:r>
      <w:r w:rsidRPr="003C684F">
        <w:rPr>
          <w:rFonts w:hint="eastAsia" w:ascii="仿宋" w:hAnsi="仿宋" w:eastAsia="仿宋"/>
          <w:color w:val="000000"/>
          <w:sz w:val="32"/>
          <w:szCs w:val="32"/>
        </w:rPr>
        <w:t>中应用数据有限，建议在医师的指导下慎用，如需使用，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2677AB48"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10.不建议在妊娠期间使用本品治疗。</w:t>
      </w:r>
    </w:p>
    <w:p w:rsidRPr="003C684F" w:rsidR="009730C1" w:rsidRDefault="00A315B9" w14:paraId="57F2BD00"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11.因可能干扰本品药效学活性，应避免在开始本品治疗前使用全身性糖皮质激素及其他免疫抑制剂。但是如果为了治疗免疫相关性不良反应，可在开始本品治疗后使用全身性糖皮质激素及其他免疫抑制剂。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9730C1" w:rsidRDefault="00A315B9" w14:paraId="16498CA8" w14:textId="3A72B77F">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12.卡瑞利珠单抗是一种人源化单克隆抗体，尚未进行与其他药物的药代动力学相互作用研究。因单克隆抗体不经CYP450酶或其他药物代谢酶代谢，因此</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使用的药物对这些酶的抑制或诱导作用预期不会影响卡瑞利珠单抗的药代动力学。</w:t>
      </w:r>
    </w:p>
    <w:p w:rsidRPr="003C684F" w:rsidR="009730C1" w:rsidRDefault="00A315B9" w14:paraId="1EA5D2D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Pr>
          <w:rFonts w:ascii="仿宋" w:hAnsi="仿宋" w:eastAsia="仿宋"/>
          <w:color w:val="000000"/>
          <w:sz w:val="32"/>
          <w:szCs w:val="32"/>
        </w:rPr>
        <w:t>3</w:t>
      </w:r>
      <w:r w:rsidRPr="003C684F">
        <w:rPr>
          <w:rFonts w:hint="eastAsia" w:ascii="仿宋" w:hAnsi="仿宋" w:eastAsia="仿宋"/>
          <w:color w:val="000000"/>
          <w:sz w:val="32"/>
          <w:szCs w:val="32"/>
        </w:rPr>
        <w:t>.反应性毛细血管增生症的处理：在接受本品治疗的患者中，共</w:t>
      </w:r>
      <w:r w:rsidRPr="003C684F">
        <w:rPr>
          <w:rFonts w:ascii="仿宋" w:hAnsi="仿宋" w:eastAsia="仿宋"/>
          <w:color w:val="000000"/>
          <w:sz w:val="32"/>
          <w:szCs w:val="32"/>
        </w:rPr>
        <w:t>1529</w:t>
      </w:r>
      <w:r w:rsidRPr="003C684F">
        <w:rPr>
          <w:rFonts w:hint="eastAsia" w:ascii="仿宋" w:hAnsi="仿宋" w:eastAsia="仿宋"/>
          <w:color w:val="000000"/>
          <w:sz w:val="32"/>
          <w:szCs w:val="32"/>
        </w:rPr>
        <w:t>例（7</w:t>
      </w:r>
      <w:r w:rsidRPr="003C684F">
        <w:rPr>
          <w:rFonts w:ascii="仿宋" w:hAnsi="仿宋" w:eastAsia="仿宋"/>
          <w:color w:val="000000"/>
          <w:sz w:val="32"/>
          <w:szCs w:val="32"/>
        </w:rPr>
        <w:t>6.0</w:t>
      </w:r>
      <w:r w:rsidRPr="003C684F">
        <w:rPr>
          <w:rFonts w:hint="eastAsia" w:ascii="仿宋" w:hAnsi="仿宋" w:eastAsia="仿宋"/>
          <w:color w:val="000000"/>
          <w:sz w:val="32"/>
          <w:szCs w:val="32"/>
        </w:rPr>
        <w:t>%）发生反应性毛细血管增生症，其中1级为</w:t>
      </w:r>
      <w:r w:rsidRPr="003C684F">
        <w:rPr>
          <w:rFonts w:ascii="仿宋" w:hAnsi="仿宋" w:eastAsia="仿宋"/>
          <w:color w:val="000000"/>
          <w:sz w:val="32"/>
          <w:szCs w:val="32"/>
        </w:rPr>
        <w:t>1240</w:t>
      </w:r>
      <w:r w:rsidRPr="003C684F">
        <w:rPr>
          <w:rFonts w:hint="eastAsia" w:ascii="仿宋" w:hAnsi="仿宋" w:eastAsia="仿宋"/>
          <w:color w:val="000000"/>
          <w:sz w:val="32"/>
          <w:szCs w:val="32"/>
        </w:rPr>
        <w:t>例（6</w:t>
      </w:r>
      <w:r w:rsidRPr="003C684F">
        <w:rPr>
          <w:rFonts w:ascii="仿宋" w:hAnsi="仿宋" w:eastAsia="仿宋"/>
          <w:color w:val="000000"/>
          <w:sz w:val="32"/>
          <w:szCs w:val="32"/>
        </w:rPr>
        <w:t>1.7</w:t>
      </w:r>
      <w:r w:rsidRPr="003C684F">
        <w:rPr>
          <w:rFonts w:hint="eastAsia" w:ascii="仿宋" w:hAnsi="仿宋" w:eastAsia="仿宋"/>
          <w:color w:val="000000"/>
          <w:sz w:val="32"/>
          <w:szCs w:val="32"/>
        </w:rPr>
        <w:t>%），2级为</w:t>
      </w:r>
      <w:r w:rsidRPr="003C684F">
        <w:rPr>
          <w:rFonts w:ascii="仿宋" w:hAnsi="仿宋" w:eastAsia="仿宋"/>
          <w:color w:val="000000"/>
          <w:sz w:val="32"/>
          <w:szCs w:val="32"/>
        </w:rPr>
        <w:t>267</w:t>
      </w:r>
      <w:r w:rsidRPr="003C684F">
        <w:rPr>
          <w:rFonts w:hint="eastAsia" w:ascii="仿宋" w:hAnsi="仿宋" w:eastAsia="仿宋"/>
          <w:color w:val="000000"/>
          <w:sz w:val="32"/>
          <w:szCs w:val="32"/>
        </w:rPr>
        <w:t>例（13.</w:t>
      </w:r>
      <w:r w:rsidRPr="003C684F">
        <w:rPr>
          <w:rFonts w:ascii="仿宋" w:hAnsi="仿宋" w:eastAsia="仿宋"/>
          <w:color w:val="000000"/>
          <w:sz w:val="32"/>
          <w:szCs w:val="32"/>
        </w:rPr>
        <w:t>3</w:t>
      </w:r>
      <w:r w:rsidRPr="003C684F">
        <w:rPr>
          <w:rFonts w:hint="eastAsia" w:ascii="仿宋" w:hAnsi="仿宋" w:eastAsia="仿宋"/>
          <w:color w:val="000000"/>
          <w:sz w:val="32"/>
          <w:szCs w:val="32"/>
        </w:rPr>
        <w:t>%），3级为</w:t>
      </w:r>
      <w:r w:rsidRPr="003C684F">
        <w:rPr>
          <w:rFonts w:ascii="仿宋" w:hAnsi="仿宋" w:eastAsia="仿宋"/>
          <w:color w:val="000000"/>
          <w:sz w:val="32"/>
          <w:szCs w:val="32"/>
        </w:rPr>
        <w:t>22</w:t>
      </w:r>
      <w:r w:rsidRPr="003C684F">
        <w:rPr>
          <w:rFonts w:hint="eastAsia" w:ascii="仿宋" w:hAnsi="仿宋" w:eastAsia="仿宋"/>
          <w:color w:val="000000"/>
          <w:sz w:val="32"/>
          <w:szCs w:val="32"/>
        </w:rPr>
        <w:t>例（1.1%）。所有反应性毛细血管增生症均发生在体表，其中</w:t>
      </w:r>
      <w:r w:rsidRPr="003C684F">
        <w:rPr>
          <w:rFonts w:ascii="仿宋" w:hAnsi="仿宋" w:eastAsia="仿宋"/>
          <w:color w:val="000000"/>
          <w:sz w:val="32"/>
          <w:szCs w:val="32"/>
        </w:rPr>
        <w:t>4.6</w:t>
      </w:r>
      <w:r w:rsidRPr="003C684F">
        <w:rPr>
          <w:rFonts w:hint="eastAsia" w:ascii="仿宋" w:hAnsi="仿宋" w:eastAsia="仿宋"/>
          <w:color w:val="000000"/>
          <w:sz w:val="32"/>
          <w:szCs w:val="32"/>
        </w:rPr>
        <w:t>%（</w:t>
      </w:r>
      <w:r w:rsidRPr="003C684F">
        <w:rPr>
          <w:rFonts w:ascii="仿宋" w:hAnsi="仿宋" w:eastAsia="仿宋"/>
          <w:color w:val="000000"/>
          <w:sz w:val="32"/>
          <w:szCs w:val="32"/>
        </w:rPr>
        <w:t>93</w:t>
      </w:r>
      <w:r w:rsidRPr="003C684F">
        <w:rPr>
          <w:rFonts w:hint="eastAsia" w:ascii="仿宋" w:hAnsi="仿宋" w:eastAsia="仿宋"/>
          <w:color w:val="000000"/>
          <w:sz w:val="32"/>
          <w:szCs w:val="32"/>
        </w:rPr>
        <w:t>/</w:t>
      </w:r>
      <w:r w:rsidRPr="003C684F">
        <w:rPr>
          <w:rFonts w:ascii="仿宋" w:hAnsi="仿宋" w:eastAsia="仿宋"/>
          <w:color w:val="000000"/>
          <w:sz w:val="32"/>
          <w:szCs w:val="32"/>
        </w:rPr>
        <w:t>2011</w:t>
      </w:r>
      <w:r w:rsidRPr="003C684F">
        <w:rPr>
          <w:rFonts w:hint="eastAsia" w:ascii="仿宋" w:hAnsi="仿宋" w:eastAsia="仿宋"/>
          <w:color w:val="000000"/>
          <w:sz w:val="32"/>
          <w:szCs w:val="32"/>
        </w:rPr>
        <w:t>）伴发于口腔、</w:t>
      </w:r>
      <w:r w:rsidRPr="003C684F">
        <w:rPr>
          <w:rFonts w:ascii="仿宋" w:hAnsi="仿宋" w:eastAsia="仿宋"/>
          <w:color w:val="000000"/>
          <w:sz w:val="32"/>
          <w:szCs w:val="32"/>
        </w:rPr>
        <w:t>1.4</w:t>
      </w:r>
      <w:r w:rsidRPr="003C684F">
        <w:rPr>
          <w:rFonts w:hint="eastAsia" w:ascii="仿宋" w:hAnsi="仿宋" w:eastAsia="仿宋"/>
          <w:color w:val="000000"/>
          <w:sz w:val="32"/>
          <w:szCs w:val="32"/>
        </w:rPr>
        <w:t>%（</w:t>
      </w:r>
      <w:r w:rsidRPr="003C684F">
        <w:rPr>
          <w:rFonts w:ascii="仿宋" w:hAnsi="仿宋" w:eastAsia="仿宋"/>
          <w:color w:val="000000"/>
          <w:sz w:val="32"/>
          <w:szCs w:val="32"/>
        </w:rPr>
        <w:t>29</w:t>
      </w:r>
      <w:r w:rsidRPr="003C684F">
        <w:rPr>
          <w:rFonts w:hint="eastAsia" w:ascii="仿宋" w:hAnsi="仿宋" w:eastAsia="仿宋"/>
          <w:color w:val="000000"/>
          <w:sz w:val="32"/>
          <w:szCs w:val="32"/>
        </w:rPr>
        <w:t>/</w:t>
      </w:r>
      <w:r w:rsidRPr="003C684F">
        <w:rPr>
          <w:rFonts w:ascii="仿宋" w:hAnsi="仿宋" w:eastAsia="仿宋"/>
          <w:color w:val="000000"/>
          <w:sz w:val="32"/>
          <w:szCs w:val="32"/>
        </w:rPr>
        <w:t>2011</w:t>
      </w:r>
      <w:r w:rsidRPr="003C684F">
        <w:rPr>
          <w:rFonts w:hint="eastAsia" w:ascii="仿宋" w:hAnsi="仿宋" w:eastAsia="仿宋"/>
          <w:color w:val="000000"/>
          <w:sz w:val="32"/>
          <w:szCs w:val="32"/>
        </w:rPr>
        <w:t>）伴发于鼻腔黏膜、</w:t>
      </w:r>
      <w:r w:rsidRPr="003C684F">
        <w:rPr>
          <w:rFonts w:ascii="仿宋" w:hAnsi="仿宋" w:eastAsia="仿宋"/>
          <w:color w:val="000000"/>
          <w:sz w:val="32"/>
          <w:szCs w:val="32"/>
        </w:rPr>
        <w:t>1</w:t>
      </w:r>
      <w:r w:rsidRPr="003C684F">
        <w:rPr>
          <w:rFonts w:hint="eastAsia" w:ascii="仿宋" w:hAnsi="仿宋" w:eastAsia="仿宋"/>
          <w:color w:val="000000"/>
          <w:sz w:val="32"/>
          <w:szCs w:val="32"/>
        </w:rPr>
        <w:t>.5%（</w:t>
      </w:r>
      <w:r w:rsidRPr="003C684F">
        <w:rPr>
          <w:rFonts w:ascii="仿宋" w:hAnsi="仿宋" w:eastAsia="仿宋"/>
          <w:color w:val="000000"/>
          <w:sz w:val="32"/>
          <w:szCs w:val="32"/>
        </w:rPr>
        <w:t>31</w:t>
      </w:r>
      <w:r w:rsidRPr="003C684F">
        <w:rPr>
          <w:rFonts w:hint="eastAsia" w:ascii="仿宋" w:hAnsi="仿宋" w:eastAsia="仿宋"/>
          <w:color w:val="000000"/>
          <w:sz w:val="32"/>
          <w:szCs w:val="32"/>
        </w:rPr>
        <w:t>/</w:t>
      </w:r>
      <w:r w:rsidRPr="003C684F">
        <w:rPr>
          <w:rFonts w:ascii="仿宋" w:hAnsi="仿宋" w:eastAsia="仿宋"/>
          <w:color w:val="000000"/>
          <w:sz w:val="32"/>
          <w:szCs w:val="32"/>
        </w:rPr>
        <w:t>2011</w:t>
      </w:r>
      <w:r w:rsidRPr="003C684F">
        <w:rPr>
          <w:rFonts w:hint="eastAsia" w:ascii="仿宋" w:hAnsi="仿宋" w:eastAsia="仿宋"/>
          <w:color w:val="000000"/>
          <w:sz w:val="32"/>
          <w:szCs w:val="32"/>
        </w:rPr>
        <w:t>）伴发于眼部；</w:t>
      </w:r>
      <w:r w:rsidRPr="003C684F">
        <w:rPr>
          <w:rFonts w:ascii="仿宋" w:hAnsi="仿宋" w:eastAsia="仿宋"/>
          <w:color w:val="000000"/>
          <w:sz w:val="32"/>
          <w:szCs w:val="32"/>
        </w:rPr>
        <w:t>22</w:t>
      </w:r>
      <w:r w:rsidRPr="003C684F">
        <w:rPr>
          <w:rFonts w:hint="eastAsia" w:ascii="仿宋" w:hAnsi="仿宋" w:eastAsia="仿宋"/>
          <w:color w:val="000000"/>
          <w:sz w:val="32"/>
          <w:szCs w:val="32"/>
        </w:rPr>
        <w:t>.5%</w:t>
      </w:r>
      <w:r w:rsidRPr="003C684F">
        <w:rPr>
          <w:rFonts w:hint="eastAsia" w:ascii="仿宋" w:hAnsi="仿宋" w:eastAsia="仿宋"/>
          <w:color w:val="000000"/>
          <w:sz w:val="32"/>
          <w:szCs w:val="32"/>
        </w:rPr>
        <w:lastRenderedPageBreak/>
        <w:t>（4</w:t>
      </w:r>
      <w:r w:rsidRPr="003C684F">
        <w:rPr>
          <w:rFonts w:ascii="仿宋" w:hAnsi="仿宋" w:eastAsia="仿宋"/>
          <w:color w:val="000000"/>
          <w:sz w:val="32"/>
          <w:szCs w:val="32"/>
        </w:rPr>
        <w:t>53</w:t>
      </w:r>
      <w:r w:rsidRPr="003C684F">
        <w:rPr>
          <w:rFonts w:hint="eastAsia" w:ascii="仿宋" w:hAnsi="仿宋" w:eastAsia="仿宋"/>
          <w:color w:val="000000"/>
          <w:sz w:val="32"/>
          <w:szCs w:val="32"/>
        </w:rPr>
        <w:t>/</w:t>
      </w:r>
      <w:r w:rsidRPr="003C684F">
        <w:rPr>
          <w:rFonts w:ascii="仿宋" w:hAnsi="仿宋" w:eastAsia="仿宋"/>
          <w:color w:val="000000"/>
          <w:sz w:val="32"/>
          <w:szCs w:val="32"/>
        </w:rPr>
        <w:t>2011</w:t>
      </w:r>
      <w:r w:rsidRPr="003C684F">
        <w:rPr>
          <w:rFonts w:hint="eastAsia" w:ascii="仿宋" w:hAnsi="仿宋" w:eastAsia="仿宋"/>
          <w:color w:val="000000"/>
          <w:sz w:val="32"/>
          <w:szCs w:val="32"/>
        </w:rPr>
        <w:t>）发生合并出血，1.</w:t>
      </w:r>
      <w:r w:rsidRPr="003C684F">
        <w:rPr>
          <w:rFonts w:ascii="仿宋" w:hAnsi="仿宋" w:eastAsia="仿宋"/>
          <w:color w:val="000000"/>
          <w:sz w:val="32"/>
          <w:szCs w:val="32"/>
        </w:rPr>
        <w:t>8</w:t>
      </w:r>
      <w:r w:rsidRPr="003C684F">
        <w:rPr>
          <w:rFonts w:hint="eastAsia" w:ascii="仿宋" w:hAnsi="仿宋" w:eastAsia="仿宋"/>
          <w:color w:val="000000"/>
          <w:sz w:val="32"/>
          <w:szCs w:val="32"/>
        </w:rPr>
        <w:t>%（3</w:t>
      </w:r>
      <w:r w:rsidRPr="003C684F">
        <w:rPr>
          <w:rFonts w:ascii="仿宋" w:hAnsi="仿宋" w:eastAsia="仿宋"/>
          <w:color w:val="000000"/>
          <w:sz w:val="32"/>
          <w:szCs w:val="32"/>
        </w:rPr>
        <w:t>7</w:t>
      </w:r>
      <w:r w:rsidRPr="003C684F">
        <w:rPr>
          <w:rFonts w:hint="eastAsia" w:ascii="仿宋" w:hAnsi="仿宋" w:eastAsia="仿宋"/>
          <w:color w:val="000000"/>
          <w:sz w:val="32"/>
          <w:szCs w:val="32"/>
        </w:rPr>
        <w:t>/</w:t>
      </w:r>
      <w:r w:rsidRPr="003C684F">
        <w:rPr>
          <w:rFonts w:ascii="仿宋" w:hAnsi="仿宋" w:eastAsia="仿宋"/>
          <w:color w:val="000000"/>
          <w:sz w:val="32"/>
          <w:szCs w:val="32"/>
        </w:rPr>
        <w:t>2011</w:t>
      </w:r>
      <w:r w:rsidRPr="003C684F">
        <w:rPr>
          <w:rFonts w:hint="eastAsia" w:ascii="仿宋" w:hAnsi="仿宋" w:eastAsia="仿宋"/>
          <w:color w:val="000000"/>
          <w:sz w:val="32"/>
          <w:szCs w:val="32"/>
        </w:rPr>
        <w:t>）发生合并感染。至反应性毛细血管增生症发生的中位时间为</w:t>
      </w:r>
      <w:r w:rsidRPr="003C684F">
        <w:rPr>
          <w:rFonts w:ascii="仿宋" w:hAnsi="仿宋" w:eastAsia="仿宋"/>
          <w:color w:val="000000"/>
          <w:sz w:val="32"/>
          <w:szCs w:val="32"/>
        </w:rPr>
        <w:t>1.1</w:t>
      </w:r>
      <w:r w:rsidRPr="003C684F">
        <w:rPr>
          <w:rFonts w:hint="eastAsia" w:ascii="仿宋" w:hAnsi="仿宋" w:eastAsia="仿宋"/>
          <w:color w:val="000000"/>
          <w:sz w:val="32"/>
          <w:szCs w:val="32"/>
        </w:rPr>
        <w:t>个月（范围：0.0～</w:t>
      </w:r>
      <w:r w:rsidRPr="003C684F">
        <w:rPr>
          <w:rFonts w:ascii="仿宋" w:hAnsi="仿宋" w:eastAsia="仿宋"/>
          <w:color w:val="000000"/>
          <w:sz w:val="32"/>
          <w:szCs w:val="32"/>
        </w:rPr>
        <w:t>17.6</w:t>
      </w:r>
      <w:r w:rsidRPr="003C684F">
        <w:rPr>
          <w:rFonts w:hint="eastAsia" w:ascii="仿宋" w:hAnsi="仿宋" w:eastAsia="仿宋"/>
          <w:color w:val="000000"/>
          <w:sz w:val="32"/>
          <w:szCs w:val="32"/>
        </w:rPr>
        <w:t>个月），持续的中位时间是6.</w:t>
      </w:r>
      <w:r w:rsidRPr="003C684F">
        <w:rPr>
          <w:rFonts w:ascii="仿宋" w:hAnsi="仿宋" w:eastAsia="仿宋"/>
          <w:color w:val="000000"/>
          <w:sz w:val="32"/>
          <w:szCs w:val="32"/>
        </w:rPr>
        <w:t>5</w:t>
      </w:r>
      <w:r w:rsidRPr="003C684F">
        <w:rPr>
          <w:rFonts w:hint="eastAsia" w:ascii="仿宋" w:hAnsi="仿宋" w:eastAsia="仿宋"/>
          <w:color w:val="000000"/>
          <w:sz w:val="32"/>
          <w:szCs w:val="32"/>
        </w:rPr>
        <w:t>个月（范围：0.</w:t>
      </w:r>
      <w:r w:rsidRPr="003C684F">
        <w:rPr>
          <w:rFonts w:ascii="仿宋" w:hAnsi="仿宋" w:eastAsia="仿宋"/>
          <w:color w:val="000000"/>
          <w:sz w:val="32"/>
          <w:szCs w:val="32"/>
        </w:rPr>
        <w:t>1</w:t>
      </w:r>
      <w:r w:rsidRPr="003C684F">
        <w:rPr>
          <w:rFonts w:hint="eastAsia" w:ascii="仿宋" w:hAnsi="仿宋" w:eastAsia="仿宋"/>
          <w:color w:val="000000"/>
          <w:sz w:val="32"/>
          <w:szCs w:val="32"/>
        </w:rPr>
        <w:t>～</w:t>
      </w:r>
      <w:r w:rsidRPr="003C684F">
        <w:rPr>
          <w:rFonts w:ascii="仿宋" w:hAnsi="仿宋" w:eastAsia="仿宋"/>
          <w:color w:val="000000"/>
          <w:sz w:val="32"/>
          <w:szCs w:val="32"/>
        </w:rPr>
        <w:t>45.5</w:t>
      </w:r>
      <w:r w:rsidRPr="003C684F">
        <w:rPr>
          <w:rFonts w:hint="eastAsia" w:ascii="仿宋" w:hAnsi="仿宋" w:eastAsia="仿宋"/>
          <w:color w:val="000000"/>
          <w:sz w:val="32"/>
          <w:szCs w:val="32"/>
        </w:rPr>
        <w:t>个月）。发生于皮肤的反应性毛细血管增生，初始多表现为体表鲜红色点状物，直径≤2mm，随着用药次数增加，病变范围可逐渐增大，多为结节状，也有斑片状，颜色鲜红或暗红，需观察临床症状和体征。</w:t>
      </w:r>
    </w:p>
    <w:p w:rsidRPr="003C684F" w:rsidR="009730C1" w:rsidRDefault="00A315B9" w14:paraId="5A96325C" w14:textId="114F73D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当患者出现该不良反应时，应避免抓挠或摩擦，易摩擦部位可用纱布保护以避免出血，同时应联系主管医师，获得恰当的处理建议。破溃出血者可采用局部压迫止血，反复出现者可在止血后于皮肤科就诊，或采取如激光或手术切除等局部治疗；并发感染者应给予抗感染治疗。反应性毛细血管增生症可能在皮肤以外的其他组织发生（包括睑结膜、内外眦、口腔黏膜、咽喉等消化道黏膜或其他脏器），必要时进行相应的医学检查，如大便潜血、内窥镜及影像学检查。</w:t>
      </w:r>
      <w:r w:rsidRPr="003C684F" w:rsidR="00C117E2">
        <w:rPr>
          <w:rFonts w:hint="eastAsia" w:ascii="仿宋" w:hAnsi="仿宋" w:eastAsia="仿宋"/>
          <w:color w:val="000000"/>
          <w:sz w:val="32"/>
          <w:szCs w:val="32"/>
        </w:rPr>
        <w:t>分级标准和治疗建议详见附表3。</w:t>
      </w:r>
    </w:p>
    <w:p w:rsidRPr="003C684F" w:rsidR="009730C1" w:rsidRDefault="00A315B9" w14:paraId="4F16CC5C"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二十九、替雷利珠单抗</w:t>
      </w:r>
      <w:r w:rsidRPr="003C684F">
        <w:rPr>
          <w:rFonts w:ascii="黑体" w:hAnsi="黑体" w:eastAsia="黑体"/>
          <w:color w:val="000000"/>
          <w:sz w:val="32"/>
          <w:szCs w:val="32"/>
        </w:rPr>
        <w:t xml:space="preserve"> Tislelizumab</w:t>
      </w:r>
    </w:p>
    <w:p w:rsidRPr="003C684F" w:rsidR="009730C1" w:rsidRDefault="00A315B9" w14:paraId="38AAD690"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5195D">
        <w:rPr>
          <w:rFonts w:hint="eastAsia" w:ascii="仿宋" w:hAnsi="仿宋" w:eastAsia="仿宋"/>
          <w:color w:val="000000"/>
          <w:sz w:val="32"/>
          <w:szCs w:val="32"/>
        </w:rPr>
        <w:t>剂</w:t>
      </w:r>
      <w:r w:rsidRPr="003C684F">
        <w:rPr>
          <w:rFonts w:hint="eastAsia" w:ascii="仿宋" w:hAnsi="仿宋" w:eastAsia="仿宋"/>
          <w:color w:val="000000"/>
          <w:sz w:val="32"/>
          <w:szCs w:val="32"/>
        </w:rPr>
        <w:t>：100mg（10ml）</w:t>
      </w:r>
      <w:r w:rsidRPr="003C684F">
        <w:rPr>
          <w:rFonts w:ascii="仿宋" w:hAnsi="仿宋" w:eastAsia="仿宋"/>
          <w:color w:val="000000"/>
          <w:sz w:val="32"/>
          <w:szCs w:val="32"/>
        </w:rPr>
        <w:t>/瓶</w:t>
      </w:r>
    </w:p>
    <w:p w:rsidRPr="003C684F" w:rsidR="009730C1" w:rsidRDefault="00A315B9" w14:paraId="0CF636CB"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5CA0D379"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替雷利珠单抗联合紫杉醇和卡铂或白蛋白紫杉醇和卡铂用于局部晚期或转移性鳞状细胞</w:t>
      </w:r>
      <w:r w:rsidRPr="003C684F">
        <w:rPr>
          <w:rFonts w:ascii="仿宋" w:hAnsi="仿宋" w:eastAsia="仿宋"/>
          <w:color w:val="000000"/>
          <w:sz w:val="32"/>
          <w:szCs w:val="32"/>
        </w:rPr>
        <w:t>NSCLC</w:t>
      </w:r>
      <w:r w:rsidRPr="003C684F">
        <w:rPr>
          <w:rFonts w:hint="eastAsia" w:ascii="仿宋" w:hAnsi="仿宋" w:eastAsia="仿宋"/>
          <w:color w:val="000000"/>
          <w:sz w:val="32"/>
          <w:szCs w:val="32"/>
        </w:rPr>
        <w:t>的一线治疗。</w:t>
      </w:r>
    </w:p>
    <w:p w:rsidRPr="003C684F" w:rsidR="009730C1" w:rsidRDefault="00A315B9" w14:paraId="20DDBEF9"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2.替雷利珠单抗联合培美曲塞和铂类化疗用于EGFR基</w:t>
      </w:r>
      <w:r w:rsidRPr="003C684F">
        <w:rPr>
          <w:rFonts w:hint="eastAsia" w:ascii="仿宋" w:hAnsi="仿宋" w:eastAsia="仿宋"/>
          <w:color w:val="000000"/>
          <w:sz w:val="32"/>
          <w:szCs w:val="32"/>
        </w:rPr>
        <w:lastRenderedPageBreak/>
        <w:t>因突变阴性和ALK阴性、不可手术切除的局部晚期或转移性非鳞状细胞NSCLC的一线治疗。</w:t>
      </w:r>
    </w:p>
    <w:p w:rsidRPr="003C684F" w:rsidR="009730C1" w:rsidRDefault="00A315B9" w14:paraId="75F40D27" w14:textId="77777777">
      <w:pPr>
        <w:autoSpaceDE w:val="0"/>
        <w:autoSpaceDN w:val="0"/>
        <w:adjustRightInd w:val="0"/>
        <w:ind w:firstLine="640" w:firstLineChars="200"/>
        <w:jc w:val="left"/>
        <w:rPr>
          <w:rFonts w:ascii="仿宋" w:hAnsi="仿宋" w:eastAsia="仿宋" w:cs="HiddenHorzOCR"/>
          <w:color w:val="1C1C1C"/>
          <w:kern w:val="0"/>
          <w:sz w:val="32"/>
          <w:szCs w:val="32"/>
        </w:rPr>
      </w:pPr>
      <w:r w:rsidRPr="003C684F">
        <w:rPr>
          <w:rFonts w:hint="eastAsia" w:ascii="仿宋" w:hAnsi="仿宋" w:eastAsia="仿宋"/>
          <w:color w:val="000000"/>
          <w:sz w:val="32"/>
          <w:szCs w:val="32"/>
        </w:rPr>
        <w:t>3.替雷利珠单抗</w:t>
      </w:r>
      <w:r w:rsidRPr="003C684F">
        <w:rPr>
          <w:rFonts w:hint="eastAsia" w:ascii="仿宋" w:hAnsi="仿宋" w:eastAsia="仿宋" w:cs="宋体"/>
          <w:color w:val="1C1C1C"/>
          <w:kern w:val="0"/>
          <w:sz w:val="32"/>
          <w:szCs w:val="32"/>
        </w:rPr>
        <w:t>单药</w:t>
      </w:r>
      <w:r w:rsidRPr="003C684F">
        <w:rPr>
          <w:rFonts w:hint="eastAsia" w:ascii="仿宋" w:hAnsi="仿宋" w:eastAsia="仿宋" w:cs="Yu Gothic"/>
          <w:color w:val="1C1C1C"/>
          <w:kern w:val="0"/>
          <w:sz w:val="32"/>
          <w:szCs w:val="32"/>
        </w:rPr>
        <w:t>适用于治</w:t>
      </w:r>
      <w:r w:rsidRPr="003C684F">
        <w:rPr>
          <w:rFonts w:hint="eastAsia" w:ascii="仿宋" w:hAnsi="仿宋" w:eastAsia="仿宋" w:cs="宋体"/>
          <w:color w:val="1C1C1C"/>
          <w:kern w:val="0"/>
          <w:sz w:val="32"/>
          <w:szCs w:val="32"/>
        </w:rPr>
        <w:t>疗</w:t>
      </w:r>
      <w:r w:rsidRPr="003C684F">
        <w:rPr>
          <w:rFonts w:ascii="仿宋" w:hAnsi="仿宋" w:eastAsia="仿宋" w:cs="HiddenHorzOCR"/>
          <w:color w:val="1C1C1C"/>
          <w:kern w:val="0"/>
          <w:sz w:val="32"/>
          <w:szCs w:val="32"/>
        </w:rPr>
        <w:t>EGFR</w:t>
      </w:r>
      <w:r w:rsidRPr="003C684F">
        <w:rPr>
          <w:rFonts w:hint="eastAsia" w:ascii="仿宋" w:hAnsi="仿宋" w:eastAsia="仿宋" w:cs="HiddenHorzOCR"/>
          <w:color w:val="1C1C1C"/>
          <w:kern w:val="0"/>
          <w:sz w:val="32"/>
          <w:szCs w:val="32"/>
        </w:rPr>
        <w:t>基因突</w:t>
      </w:r>
      <w:r w:rsidRPr="003C684F">
        <w:rPr>
          <w:rFonts w:hint="eastAsia" w:ascii="仿宋" w:hAnsi="仿宋" w:eastAsia="仿宋" w:cs="宋体"/>
          <w:color w:val="1C1C1C"/>
          <w:kern w:val="0"/>
          <w:sz w:val="32"/>
          <w:szCs w:val="32"/>
        </w:rPr>
        <w:t>变</w:t>
      </w:r>
      <w:r w:rsidRPr="003C684F">
        <w:rPr>
          <w:rFonts w:hint="eastAsia" w:ascii="仿宋" w:hAnsi="仿宋" w:eastAsia="仿宋" w:cs="Yu Gothic"/>
          <w:color w:val="1C1C1C"/>
          <w:kern w:val="0"/>
          <w:sz w:val="32"/>
          <w:szCs w:val="32"/>
        </w:rPr>
        <w:t>阴性和</w:t>
      </w:r>
      <w:r w:rsidRPr="003C684F">
        <w:rPr>
          <w:rFonts w:ascii="仿宋" w:hAnsi="仿宋" w:eastAsia="仿宋" w:cs="HiddenHorzOCR"/>
          <w:color w:val="1C1C1C"/>
          <w:kern w:val="0"/>
          <w:sz w:val="32"/>
          <w:szCs w:val="32"/>
        </w:rPr>
        <w:t>ALK</w:t>
      </w:r>
      <w:r w:rsidRPr="003C684F">
        <w:rPr>
          <w:rFonts w:hint="eastAsia" w:ascii="仿宋" w:hAnsi="仿宋" w:eastAsia="仿宋" w:cs="HiddenHorzOCR"/>
          <w:color w:val="1C1C1C"/>
          <w:kern w:val="0"/>
          <w:sz w:val="32"/>
          <w:szCs w:val="32"/>
        </w:rPr>
        <w:t>阴性、既往接受</w:t>
      </w:r>
      <w:r w:rsidRPr="003C684F">
        <w:rPr>
          <w:rFonts w:hint="eastAsia" w:ascii="仿宋" w:hAnsi="仿宋" w:eastAsia="仿宋" w:cs="宋体"/>
          <w:color w:val="1C1C1C"/>
          <w:kern w:val="0"/>
          <w:sz w:val="32"/>
          <w:szCs w:val="32"/>
        </w:rPr>
        <w:t>过</w:t>
      </w:r>
      <w:r w:rsidRPr="003C684F">
        <w:rPr>
          <w:rFonts w:hint="eastAsia" w:ascii="仿宋" w:hAnsi="仿宋" w:eastAsia="仿宋" w:cs="Yu Gothic"/>
          <w:color w:val="1C1C1C"/>
          <w:kern w:val="0"/>
          <w:sz w:val="32"/>
          <w:szCs w:val="32"/>
        </w:rPr>
        <w:t>含铂方案化</w:t>
      </w:r>
      <w:r w:rsidRPr="003C684F">
        <w:rPr>
          <w:rFonts w:hint="eastAsia" w:ascii="仿宋" w:hAnsi="仿宋" w:eastAsia="仿宋" w:cs="宋体"/>
          <w:color w:val="1C1C1C"/>
          <w:kern w:val="0"/>
          <w:sz w:val="32"/>
          <w:szCs w:val="32"/>
        </w:rPr>
        <w:t>疗</w:t>
      </w:r>
      <w:r w:rsidRPr="003C684F">
        <w:rPr>
          <w:rFonts w:hint="eastAsia" w:ascii="仿宋" w:hAnsi="仿宋" w:eastAsia="仿宋" w:cs="Yu Gothic"/>
          <w:color w:val="1C1C1C"/>
          <w:kern w:val="0"/>
          <w:sz w:val="32"/>
          <w:szCs w:val="32"/>
        </w:rPr>
        <w:t>后疾病</w:t>
      </w:r>
      <w:r w:rsidRPr="003C684F">
        <w:rPr>
          <w:rFonts w:hint="eastAsia" w:ascii="仿宋" w:hAnsi="仿宋" w:eastAsia="仿宋" w:cs="宋体"/>
          <w:color w:val="1C1C1C"/>
          <w:kern w:val="0"/>
          <w:sz w:val="32"/>
          <w:szCs w:val="32"/>
        </w:rPr>
        <w:t>进</w:t>
      </w:r>
      <w:r w:rsidRPr="003C684F">
        <w:rPr>
          <w:rFonts w:hint="eastAsia" w:ascii="仿宋" w:hAnsi="仿宋" w:eastAsia="仿宋" w:cs="Yu Gothic"/>
          <w:color w:val="1C1C1C"/>
          <w:kern w:val="0"/>
          <w:sz w:val="32"/>
          <w:szCs w:val="32"/>
        </w:rPr>
        <w:t>展或不可耐受的局部晚期或</w:t>
      </w:r>
      <w:r w:rsidRPr="003C684F">
        <w:rPr>
          <w:rFonts w:hint="eastAsia" w:ascii="仿宋" w:hAnsi="仿宋" w:eastAsia="仿宋" w:cs="宋体"/>
          <w:color w:val="1C1C1C"/>
          <w:kern w:val="0"/>
          <w:sz w:val="32"/>
          <w:szCs w:val="32"/>
        </w:rPr>
        <w:t>转</w:t>
      </w:r>
      <w:r w:rsidRPr="003C684F">
        <w:rPr>
          <w:rFonts w:hint="eastAsia" w:ascii="仿宋" w:hAnsi="仿宋" w:eastAsia="仿宋" w:cs="Yu Gothic"/>
          <w:color w:val="1C1C1C"/>
          <w:kern w:val="0"/>
          <w:sz w:val="32"/>
          <w:szCs w:val="32"/>
        </w:rPr>
        <w:t>移性</w:t>
      </w:r>
      <w:r w:rsidRPr="003C684F">
        <w:rPr>
          <w:rFonts w:hint="eastAsia" w:ascii="仿宋" w:hAnsi="仿宋" w:eastAsia="仿宋" w:cs="HiddenHorzOCR"/>
          <w:color w:val="1C1C1C"/>
          <w:kern w:val="0"/>
          <w:sz w:val="32"/>
          <w:szCs w:val="32"/>
        </w:rPr>
        <w:t>非</w:t>
      </w:r>
      <w:r w:rsidRPr="003C684F">
        <w:rPr>
          <w:rFonts w:hint="eastAsia" w:ascii="仿宋" w:hAnsi="仿宋" w:eastAsia="仿宋" w:cs="宋体"/>
          <w:color w:val="1C1C1C"/>
          <w:kern w:val="0"/>
          <w:sz w:val="32"/>
          <w:szCs w:val="32"/>
        </w:rPr>
        <w:t>鳞状细胞</w:t>
      </w:r>
      <w:r w:rsidRPr="003C684F">
        <w:rPr>
          <w:rFonts w:ascii="仿宋" w:hAnsi="仿宋" w:eastAsia="仿宋" w:cs="HiddenHorzOCR"/>
          <w:color w:val="1C1C1C"/>
          <w:kern w:val="0"/>
          <w:sz w:val="32"/>
          <w:szCs w:val="32"/>
        </w:rPr>
        <w:t>NSCLC</w:t>
      </w:r>
      <w:r w:rsidRPr="003C684F">
        <w:rPr>
          <w:rFonts w:hint="eastAsia" w:ascii="仿宋" w:hAnsi="仿宋" w:eastAsia="仿宋" w:cs="HiddenHorzOCR"/>
          <w:color w:val="1C1C1C"/>
          <w:kern w:val="0"/>
          <w:sz w:val="32"/>
          <w:szCs w:val="32"/>
        </w:rPr>
        <w:t>成人患者，以及</w:t>
      </w:r>
      <w:r w:rsidRPr="003C684F">
        <w:rPr>
          <w:rFonts w:ascii="仿宋" w:hAnsi="仿宋" w:eastAsia="仿宋" w:cs="HiddenHorzOCR"/>
          <w:color w:val="1C1C1C"/>
          <w:kern w:val="0"/>
          <w:sz w:val="32"/>
          <w:szCs w:val="32"/>
        </w:rPr>
        <w:t>EGFR</w:t>
      </w:r>
      <w:r w:rsidRPr="003C684F">
        <w:rPr>
          <w:rFonts w:hint="eastAsia" w:ascii="仿宋" w:hAnsi="仿宋" w:eastAsia="仿宋" w:cs="HiddenHorzOCR"/>
          <w:color w:val="1C1C1C"/>
          <w:kern w:val="0"/>
          <w:sz w:val="32"/>
          <w:szCs w:val="32"/>
        </w:rPr>
        <w:t>和</w:t>
      </w:r>
      <w:r w:rsidRPr="003C684F">
        <w:rPr>
          <w:rFonts w:ascii="仿宋" w:hAnsi="仿宋" w:eastAsia="仿宋" w:cs="HiddenHorzOCR"/>
          <w:color w:val="1C1C1C"/>
          <w:kern w:val="0"/>
          <w:sz w:val="32"/>
          <w:szCs w:val="32"/>
        </w:rPr>
        <w:t>ALK</w:t>
      </w:r>
      <w:r w:rsidRPr="003C684F">
        <w:rPr>
          <w:rFonts w:hint="eastAsia" w:ascii="仿宋" w:hAnsi="仿宋" w:eastAsia="仿宋" w:cs="HiddenHorzOCR"/>
          <w:color w:val="1C1C1C"/>
          <w:kern w:val="0"/>
          <w:sz w:val="32"/>
          <w:szCs w:val="32"/>
        </w:rPr>
        <w:t>阴性或未知的，既往接受</w:t>
      </w:r>
      <w:r w:rsidRPr="003C684F">
        <w:rPr>
          <w:rFonts w:hint="eastAsia" w:ascii="仿宋" w:hAnsi="仿宋" w:eastAsia="仿宋" w:cs="宋体"/>
          <w:color w:val="1C1C1C"/>
          <w:kern w:val="0"/>
          <w:sz w:val="32"/>
          <w:szCs w:val="32"/>
        </w:rPr>
        <w:t>过</w:t>
      </w:r>
      <w:r w:rsidRPr="003C684F">
        <w:rPr>
          <w:rFonts w:hint="eastAsia" w:ascii="仿宋" w:hAnsi="仿宋" w:eastAsia="仿宋" w:cs="Yu Gothic"/>
          <w:color w:val="1C1C1C"/>
          <w:kern w:val="0"/>
          <w:sz w:val="32"/>
          <w:szCs w:val="32"/>
        </w:rPr>
        <w:t>含</w:t>
      </w:r>
      <w:r w:rsidRPr="003C684F">
        <w:rPr>
          <w:rFonts w:hint="eastAsia" w:ascii="仿宋" w:hAnsi="仿宋" w:eastAsia="仿宋" w:cs="宋体"/>
          <w:color w:val="1C1C1C"/>
          <w:kern w:val="0"/>
          <w:sz w:val="32"/>
          <w:szCs w:val="32"/>
        </w:rPr>
        <w:t>铂</w:t>
      </w:r>
      <w:r w:rsidRPr="003C684F">
        <w:rPr>
          <w:rFonts w:hint="eastAsia" w:ascii="仿宋" w:hAnsi="仿宋" w:eastAsia="仿宋" w:cs="Yu Gothic"/>
          <w:color w:val="1C1C1C"/>
          <w:kern w:val="0"/>
          <w:sz w:val="32"/>
          <w:szCs w:val="32"/>
        </w:rPr>
        <w:t>方案化</w:t>
      </w:r>
      <w:r w:rsidRPr="003C684F">
        <w:rPr>
          <w:rFonts w:hint="eastAsia" w:ascii="仿宋" w:hAnsi="仿宋" w:eastAsia="仿宋" w:cs="宋体"/>
          <w:color w:val="1C1C1C"/>
          <w:kern w:val="0"/>
          <w:sz w:val="32"/>
          <w:szCs w:val="32"/>
        </w:rPr>
        <w:t>疗</w:t>
      </w:r>
      <w:r w:rsidRPr="003C684F">
        <w:rPr>
          <w:rFonts w:hint="eastAsia" w:ascii="仿宋" w:hAnsi="仿宋" w:eastAsia="仿宋" w:cs="Yu Gothic"/>
          <w:color w:val="1C1C1C"/>
          <w:kern w:val="0"/>
          <w:sz w:val="32"/>
          <w:szCs w:val="32"/>
        </w:rPr>
        <w:t>后疾病</w:t>
      </w:r>
      <w:r w:rsidRPr="003C684F">
        <w:rPr>
          <w:rFonts w:hint="eastAsia" w:ascii="仿宋" w:hAnsi="仿宋" w:eastAsia="仿宋" w:cs="宋体"/>
          <w:color w:val="1C1C1C"/>
          <w:kern w:val="0"/>
          <w:sz w:val="32"/>
          <w:szCs w:val="32"/>
        </w:rPr>
        <w:t>进</w:t>
      </w:r>
      <w:r w:rsidRPr="003C684F">
        <w:rPr>
          <w:rFonts w:hint="eastAsia" w:ascii="仿宋" w:hAnsi="仿宋" w:eastAsia="仿宋" w:cs="Yu Gothic"/>
          <w:color w:val="1C1C1C"/>
          <w:kern w:val="0"/>
          <w:sz w:val="32"/>
          <w:szCs w:val="32"/>
        </w:rPr>
        <w:t>展或不可耐受的局部晚期或</w:t>
      </w:r>
      <w:r w:rsidRPr="003C684F">
        <w:rPr>
          <w:rFonts w:hint="eastAsia" w:ascii="仿宋" w:hAnsi="仿宋" w:eastAsia="仿宋" w:cs="宋体"/>
          <w:color w:val="1C1C1C"/>
          <w:kern w:val="0"/>
          <w:sz w:val="32"/>
          <w:szCs w:val="32"/>
        </w:rPr>
        <w:t>转</w:t>
      </w:r>
      <w:r w:rsidRPr="003C684F">
        <w:rPr>
          <w:rFonts w:hint="eastAsia" w:ascii="仿宋" w:hAnsi="仿宋" w:eastAsia="仿宋" w:cs="Yu Gothic"/>
          <w:color w:val="1C1C1C"/>
          <w:kern w:val="0"/>
          <w:sz w:val="32"/>
          <w:szCs w:val="32"/>
        </w:rPr>
        <w:t>移性</w:t>
      </w:r>
      <w:r w:rsidRPr="003C684F">
        <w:rPr>
          <w:rFonts w:hint="eastAsia" w:ascii="仿宋" w:hAnsi="仿宋" w:eastAsia="仿宋" w:cs="宋体"/>
          <w:color w:val="1C1C1C"/>
          <w:kern w:val="0"/>
          <w:sz w:val="32"/>
          <w:szCs w:val="32"/>
        </w:rPr>
        <w:t>鳞状细胞</w:t>
      </w:r>
      <w:r w:rsidRPr="003C684F">
        <w:rPr>
          <w:rFonts w:ascii="仿宋" w:hAnsi="仿宋" w:eastAsia="仿宋" w:cs="HiddenHorzOCR"/>
          <w:color w:val="1C1C1C"/>
          <w:kern w:val="0"/>
          <w:sz w:val="32"/>
          <w:szCs w:val="32"/>
        </w:rPr>
        <w:t>NSCLC</w:t>
      </w:r>
      <w:r w:rsidRPr="003C684F">
        <w:rPr>
          <w:rFonts w:hint="eastAsia" w:ascii="仿宋" w:hAnsi="仿宋" w:eastAsia="仿宋" w:cs="HiddenHorzOCR"/>
          <w:color w:val="1C1C1C"/>
          <w:kern w:val="0"/>
          <w:sz w:val="32"/>
          <w:szCs w:val="32"/>
        </w:rPr>
        <w:t>成人患者。</w:t>
      </w:r>
    </w:p>
    <w:p w:rsidRPr="003C684F" w:rsidR="009730C1" w:rsidRDefault="00A315B9" w14:paraId="2EA981F0"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37EA95E7" w14:textId="30F834E9">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1.推荐剂量为200mg</w:t>
      </w:r>
      <w:r w:rsidRPr="003C684F" w:rsidR="0047778B">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71399F">
        <w:rPr>
          <w:rFonts w:hint="eastAsia" w:ascii="仿宋" w:hAnsi="仿宋" w:eastAsia="仿宋"/>
          <w:color w:val="000000"/>
          <w:sz w:val="32"/>
          <w:szCs w:val="32"/>
        </w:rPr>
        <w:t>每3周一次</w:t>
      </w:r>
      <w:r w:rsidRPr="003C684F" w:rsidR="0047778B">
        <w:rPr>
          <w:rFonts w:hint="eastAsia" w:ascii="仿宋" w:hAnsi="仿宋" w:eastAsia="仿宋"/>
          <w:color w:val="000000"/>
          <w:sz w:val="32"/>
          <w:szCs w:val="32"/>
        </w:rPr>
        <w:t>，静脉输注</w:t>
      </w:r>
      <w:r w:rsidRPr="003C684F">
        <w:rPr>
          <w:rFonts w:hint="eastAsia" w:ascii="仿宋" w:hAnsi="仿宋" w:eastAsia="仿宋"/>
          <w:color w:val="000000"/>
          <w:sz w:val="32"/>
          <w:szCs w:val="32"/>
        </w:rPr>
        <w:t>。用药</w:t>
      </w:r>
      <w:r w:rsidRPr="003C684F" w:rsidR="00703498">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3D857DDC" w14:textId="536AFC4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2.与化疗</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时，若为同日给药则先输注替雷利珠单抗。</w:t>
      </w:r>
    </w:p>
    <w:p w:rsidRPr="003C684F" w:rsidR="009730C1" w:rsidRDefault="00A315B9" w14:paraId="453A2A94"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3.有可能观察到非典型反应。如果患者症状稳定或持续减轻，即使有初步的疾病进展表现，基于总体临床获益的判断，可考虑继续应用替雷利珠单抗治疗，直至证实疾病进展。</w:t>
      </w:r>
    </w:p>
    <w:p w:rsidRPr="003C684F" w:rsidR="009730C1" w:rsidRDefault="00A315B9" w14:paraId="63803872" w14:textId="2323BCF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49024E99" w14:textId="1ED631E9">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5.轻度肝功能损伤患者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进行剂量调整，中重度肝功能损伤患者不推荐使用。</w:t>
      </w:r>
    </w:p>
    <w:p w:rsidRPr="003C684F" w:rsidR="009730C1" w:rsidRDefault="00A315B9" w14:paraId="788E0D9C" w14:textId="1A458A7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6.轻中度肾功能损伤患者应在医生指导下慎用，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进行剂量调整，重度肾功能损伤患者不推荐使用。</w:t>
      </w:r>
    </w:p>
    <w:p w:rsidRPr="003C684F" w:rsidR="009730C1" w:rsidP="0037660B" w:rsidRDefault="00A315B9" w14:paraId="7CAD0531"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三十、信迪利单抗 Sintilimab</w:t>
      </w:r>
    </w:p>
    <w:p w:rsidRPr="003C684F" w:rsidR="009730C1" w:rsidRDefault="00A315B9" w14:paraId="14AD1BD2"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制剂与规格：</w:t>
      </w:r>
      <w:r w:rsidRPr="003C684F">
        <w:rPr>
          <w:rFonts w:hint="eastAsia" w:ascii="仿宋" w:hAnsi="仿宋" w:eastAsia="仿宋"/>
          <w:color w:val="000000"/>
          <w:sz w:val="32"/>
          <w:szCs w:val="32"/>
        </w:rPr>
        <w:t>注射</w:t>
      </w:r>
      <w:r w:rsidRPr="003C684F" w:rsidR="0005195D">
        <w:rPr>
          <w:rFonts w:hint="eastAsia" w:ascii="仿宋" w:hAnsi="仿宋" w:eastAsia="仿宋"/>
          <w:color w:val="000000"/>
          <w:sz w:val="32"/>
          <w:szCs w:val="32"/>
        </w:rPr>
        <w:t>剂</w:t>
      </w:r>
      <w:r w:rsidRPr="003C684F">
        <w:rPr>
          <w:rFonts w:hint="eastAsia" w:ascii="仿宋" w:hAnsi="仿宋" w:eastAsia="仿宋"/>
          <w:color w:val="000000"/>
          <w:sz w:val="32"/>
          <w:szCs w:val="32"/>
        </w:rPr>
        <w:t>：100mg（10ml）/瓶</w:t>
      </w:r>
    </w:p>
    <w:p w:rsidRPr="003C684F" w:rsidR="009730C1" w:rsidRDefault="00A315B9" w14:paraId="5010F3DF"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35688EC6"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.信迪利单抗联合培美曲塞和铂类化疗，用于EGFR基因突变阴性和ALK阴性、不可手术切除的局部晚期或转移性非鳞状细胞NSCLC的一线治疗。</w:t>
      </w:r>
    </w:p>
    <w:p w:rsidRPr="003C684F" w:rsidR="009730C1" w:rsidRDefault="00A315B9" w14:paraId="073A16D4"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.信迪利单抗联合吉西他滨和铂类化疗，用于不可手术切除的局部晚期或转移性鳞状细胞NSCLC的一线治疗。</w:t>
      </w:r>
    </w:p>
    <w:p w:rsidRPr="003C684F" w:rsidR="009730C1" w:rsidRDefault="00A315B9" w14:paraId="5A8A6EC6"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0BC87EC5" w14:textId="66E6A9D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sidR="00B71759">
        <w:rPr>
          <w:rFonts w:hint="eastAsia" w:ascii="仿宋" w:hAnsi="仿宋" w:eastAsia="仿宋"/>
          <w:color w:val="000000"/>
          <w:sz w:val="32"/>
          <w:szCs w:val="32"/>
        </w:rPr>
        <w:t>推荐剂量为200mg/次，</w:t>
      </w:r>
      <w:r w:rsidRPr="003C684F" w:rsidR="0071399F">
        <w:rPr>
          <w:rFonts w:hint="eastAsia" w:ascii="仿宋" w:hAnsi="仿宋" w:eastAsia="仿宋"/>
          <w:color w:val="000000"/>
          <w:sz w:val="32"/>
          <w:szCs w:val="32"/>
        </w:rPr>
        <w:t>每3周一次</w:t>
      </w:r>
      <w:r w:rsidRPr="003C684F" w:rsidR="00B71759">
        <w:rPr>
          <w:rFonts w:hint="eastAsia" w:ascii="仿宋" w:hAnsi="仿宋" w:eastAsia="仿宋"/>
          <w:color w:val="000000"/>
          <w:sz w:val="32"/>
          <w:szCs w:val="32"/>
        </w:rPr>
        <w:t>，静脉输注</w:t>
      </w:r>
      <w:r w:rsidRPr="003C684F">
        <w:rPr>
          <w:rFonts w:hint="eastAsia" w:ascii="仿宋" w:hAnsi="仿宋" w:eastAsia="仿宋"/>
          <w:color w:val="000000"/>
          <w:sz w:val="32"/>
          <w:szCs w:val="32"/>
        </w:rPr>
        <w:t>，</w:t>
      </w:r>
      <w:r w:rsidRPr="003C684F" w:rsidR="00B71759">
        <w:rPr>
          <w:rFonts w:hint="eastAsia" w:ascii="仿宋" w:hAnsi="仿宋" w:eastAsia="仿宋"/>
          <w:color w:val="000000"/>
          <w:sz w:val="32"/>
          <w:szCs w:val="32"/>
        </w:rPr>
        <w:t>静脉输注时间应在30～60分钟内，</w:t>
      </w:r>
      <w:r w:rsidRPr="003C684F">
        <w:rPr>
          <w:rFonts w:hint="eastAsia" w:ascii="仿宋" w:hAnsi="仿宋" w:eastAsia="仿宋"/>
          <w:color w:val="000000"/>
          <w:sz w:val="32"/>
          <w:szCs w:val="32"/>
        </w:rPr>
        <w:t>直至疾病进展或</w:t>
      </w:r>
      <w:r w:rsidRPr="003C684F" w:rsidR="00614A26">
        <w:rPr>
          <w:rFonts w:hint="eastAsia" w:ascii="仿宋" w:hAnsi="仿宋" w:eastAsia="仿宋"/>
          <w:color w:val="000000"/>
          <w:sz w:val="32"/>
          <w:szCs w:val="32"/>
        </w:rPr>
        <w:t>出现</w:t>
      </w:r>
      <w:r w:rsidRPr="003C684F">
        <w:rPr>
          <w:rFonts w:hint="eastAsia" w:ascii="仿宋" w:hAnsi="仿宋" w:eastAsia="仿宋"/>
          <w:color w:val="000000"/>
          <w:sz w:val="32"/>
          <w:szCs w:val="32"/>
        </w:rPr>
        <w:t>不可耐受的毒性。不得</w:t>
      </w:r>
      <w:r w:rsidRPr="003C684F" w:rsidR="00F9455A">
        <w:rPr>
          <w:rFonts w:hint="eastAsia" w:ascii="仿宋" w:hAnsi="仿宋" w:eastAsia="仿宋"/>
          <w:color w:val="000000"/>
          <w:sz w:val="32"/>
          <w:szCs w:val="32"/>
        </w:rPr>
        <w:t>采用</w:t>
      </w:r>
      <w:r w:rsidRPr="003C684F">
        <w:rPr>
          <w:rFonts w:hint="eastAsia" w:ascii="仿宋" w:hAnsi="仿宋" w:eastAsia="仿宋"/>
          <w:color w:val="000000"/>
          <w:sz w:val="32"/>
          <w:szCs w:val="32"/>
        </w:rPr>
        <w:t>静脉推注或单次快速静脉注射给药。</w:t>
      </w:r>
    </w:p>
    <w:p w:rsidRPr="003C684F" w:rsidR="009730C1" w:rsidRDefault="00A315B9" w14:paraId="25B40111"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2.有可能观察到非典型反应。如果患者临床症状稳定或持续减轻，即使有疾病进展的影像学初步证据，基于总体临床获益的判断，可考虑继续应用本品治疗，直至证实疾病进展。</w:t>
      </w:r>
    </w:p>
    <w:p w:rsidRPr="003C684F" w:rsidR="009730C1" w:rsidRDefault="00A315B9" w14:paraId="0599B72E" w14:textId="22EAF50E">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7515168E" w14:textId="4C85718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4.轻中度肝功能损伤患者，轻中度肾功能损伤患者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进行剂量调整。目前尚无针对重度肝功能损伤或重度肾功能损伤患者的独立研究数据。重度肝功能损伤或重度肾功能损伤患者应在医生指导下慎用本品，如需使用，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450F444A" w14:textId="3660800A">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5.</w:t>
      </w:r>
      <w:r w:rsidRPr="003C684F" w:rsidR="007811E9">
        <w:rPr>
          <w:rFonts w:hint="eastAsia" w:ascii="仿宋" w:hAnsi="仿宋" w:eastAsia="仿宋"/>
          <w:color w:val="000000"/>
          <w:sz w:val="32"/>
          <w:szCs w:val="32"/>
        </w:rPr>
        <w:t>尚未确定本品</w:t>
      </w:r>
      <w:r w:rsidRPr="003C684F">
        <w:rPr>
          <w:rFonts w:hint="eastAsia" w:ascii="仿宋" w:hAnsi="仿宋" w:eastAsia="仿宋"/>
          <w:color w:val="000000"/>
          <w:sz w:val="32"/>
          <w:szCs w:val="32"/>
        </w:rPr>
        <w:t>在</w:t>
      </w:r>
      <w:r w:rsidRPr="003C684F" w:rsidR="00D61FBA">
        <w:rPr>
          <w:rFonts w:hint="eastAsia" w:ascii="仿宋" w:hAnsi="仿宋" w:eastAsia="仿宋"/>
          <w:color w:val="000000"/>
          <w:sz w:val="32"/>
          <w:szCs w:val="32"/>
        </w:rPr>
        <w:t>18岁以下儿童和青少年</w:t>
      </w:r>
      <w:r w:rsidRPr="003C684F" w:rsidR="00482E1B">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的安全性和有效性。在老年患者（≥65岁）与</w:t>
      </w:r>
      <w:r w:rsidRPr="003C684F" w:rsidR="000B2FBD">
        <w:rPr>
          <w:rFonts w:hint="eastAsia" w:ascii="仿宋" w:hAnsi="仿宋" w:eastAsia="仿宋"/>
          <w:color w:val="000000"/>
          <w:sz w:val="32"/>
          <w:szCs w:val="32"/>
        </w:rPr>
        <w:t>＜</w:t>
      </w:r>
      <w:r w:rsidRPr="003C684F" w:rsidR="000B2FBD">
        <w:rPr>
          <w:rFonts w:hint="eastAsia" w:ascii="仿宋" w:hAnsi="仿宋" w:eastAsia="仿宋"/>
          <w:sz w:val="32"/>
          <w:szCs w:val="32"/>
        </w:rPr>
        <w:t>65岁患者</w:t>
      </w:r>
      <w:r w:rsidRPr="003C684F">
        <w:rPr>
          <w:rFonts w:hint="eastAsia" w:ascii="仿宋" w:hAnsi="仿宋" w:eastAsia="仿宋"/>
          <w:color w:val="000000"/>
          <w:sz w:val="32"/>
          <w:szCs w:val="32"/>
        </w:rPr>
        <w:t>中的安全性未显示显著差异。建议在医生的指导下慎用，如需使用，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75BBAAB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6.不建议在妊娠期间使用本品治疗。建议哺乳期妇女在接受本品治疗期间及末次给药后至少5个月内停止哺乳。</w:t>
      </w:r>
    </w:p>
    <w:p w:rsidRPr="003C684F" w:rsidR="009730C1" w:rsidRDefault="00A315B9" w14:paraId="3B911489"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7.应避免在开始本品治疗前使用全身性糖皮质激素及其他免疫抑制剂，但是如果为了治疗免疫相关性不良反应，可在开始本品治疗后使用全身性糖皮质激素及其他免疫抑制剂。</w:t>
      </w:r>
    </w:p>
    <w:p w:rsidRPr="003C684F" w:rsidR="009730C1" w:rsidRDefault="00A315B9" w14:paraId="47CD8E88"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olor w:val="000000"/>
          <w:sz w:val="32"/>
          <w:szCs w:val="32"/>
        </w:rPr>
        <w:t>8.基于发表于Lancet Oncology的Ⅲ期多中心临床研究结果和2022版CSCO指南，对于EGFR敏感突变阳性的晚期非鳞状细胞NSCLC、EGFR-TKI</w:t>
      </w:r>
      <w:r w:rsidRPr="003C684F">
        <w:rPr>
          <w:rFonts w:ascii="仿宋" w:hAnsi="仿宋" w:eastAsia="仿宋"/>
          <w:color w:val="000000"/>
          <w:sz w:val="32"/>
          <w:szCs w:val="32"/>
        </w:rPr>
        <w:t>耐药后</w:t>
      </w:r>
      <w:r w:rsidRPr="003C684F">
        <w:rPr>
          <w:rFonts w:hint="eastAsia" w:ascii="仿宋" w:hAnsi="仿宋" w:eastAsia="仿宋"/>
          <w:color w:val="000000"/>
          <w:sz w:val="32"/>
          <w:szCs w:val="32"/>
        </w:rPr>
        <w:t>、</w:t>
      </w:r>
      <w:r w:rsidRPr="003C684F">
        <w:rPr>
          <w:rFonts w:ascii="仿宋" w:hAnsi="仿宋" w:eastAsia="仿宋"/>
          <w:color w:val="000000"/>
          <w:sz w:val="32"/>
          <w:szCs w:val="32"/>
        </w:rPr>
        <w:t>未接受过系统化疗的患者</w:t>
      </w:r>
      <w:r w:rsidRPr="003C684F">
        <w:rPr>
          <w:rFonts w:hint="eastAsia" w:ascii="仿宋" w:hAnsi="仿宋" w:eastAsia="仿宋"/>
          <w:color w:val="000000"/>
          <w:sz w:val="32"/>
          <w:szCs w:val="32"/>
        </w:rPr>
        <w:t>，</w:t>
      </w:r>
      <w:r w:rsidRPr="003C684F">
        <w:rPr>
          <w:rFonts w:ascii="仿宋" w:hAnsi="仿宋" w:eastAsia="仿宋"/>
          <w:color w:val="000000"/>
          <w:sz w:val="32"/>
          <w:szCs w:val="32"/>
        </w:rPr>
        <w:t>可采用</w:t>
      </w:r>
      <w:r w:rsidRPr="003C684F">
        <w:rPr>
          <w:rFonts w:hint="eastAsia" w:ascii="仿宋" w:hAnsi="仿宋" w:eastAsia="仿宋"/>
          <w:color w:val="000000"/>
          <w:sz w:val="32"/>
          <w:szCs w:val="32"/>
        </w:rPr>
        <w:t>信迪利单抗联合贝伐珠单抗、培美曲塞、顺铂方案治疗。</w:t>
      </w:r>
    </w:p>
    <w:p w:rsidRPr="003C684F" w:rsidR="009730C1" w:rsidRDefault="00A315B9" w14:paraId="33E1CB2D"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三十一、伊匹木单抗</w:t>
      </w:r>
      <w:r w:rsidRPr="003C684F">
        <w:rPr>
          <w:rFonts w:ascii="黑体" w:hAnsi="黑体" w:eastAsia="黑体"/>
          <w:color w:val="000000"/>
          <w:sz w:val="32"/>
          <w:szCs w:val="32"/>
        </w:rPr>
        <w:t xml:space="preserve"> Ipilimumab</w:t>
      </w:r>
    </w:p>
    <w:p w:rsidRPr="003C684F" w:rsidR="009730C1" w:rsidRDefault="00A315B9" w14:paraId="783C5A08"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5195D">
        <w:rPr>
          <w:rFonts w:hint="eastAsia" w:ascii="仿宋" w:hAnsi="仿宋" w:eastAsia="仿宋"/>
          <w:color w:val="000000"/>
          <w:sz w:val="32"/>
          <w:szCs w:val="32"/>
        </w:rPr>
        <w:t>剂</w:t>
      </w:r>
      <w:r w:rsidRPr="003C684F">
        <w:rPr>
          <w:rFonts w:hint="eastAsia" w:ascii="仿宋" w:hAnsi="仿宋" w:eastAsia="仿宋"/>
          <w:color w:val="000000"/>
          <w:sz w:val="32"/>
          <w:szCs w:val="32"/>
        </w:rPr>
        <w:t>：50mg（10ml）/瓶</w:t>
      </w:r>
    </w:p>
    <w:p w:rsidRPr="003C684F" w:rsidR="009730C1" w:rsidRDefault="00A315B9" w14:paraId="3E56D932" w14:textId="77777777">
      <w:pPr>
        <w:spacing w:line="360" w:lineRule="auto"/>
        <w:ind w:left="321" w:leftChars="153" w:firstLine="321" w:firstLineChars="1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本品联合纳武利尤单抗用于不可手术切除的、初治的非上皮样恶性胸膜间皮瘤成人患者。</w:t>
      </w:r>
    </w:p>
    <w:p w:rsidRPr="003C684F" w:rsidR="009730C1" w:rsidRDefault="00A315B9" w14:paraId="24D72969"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D5C573E" w14:textId="5C7D25FD">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1.本品的推荐剂量为1mg/kg，每6周一次，静脉输注30分钟，联合360mg</w:t>
      </w:r>
      <w:r w:rsidRPr="003C684F" w:rsidR="00631EFD">
        <w:rPr>
          <w:rFonts w:hint="eastAsia" w:ascii="仿宋" w:hAnsi="仿宋" w:eastAsia="仿宋"/>
          <w:color w:val="000000"/>
          <w:sz w:val="32"/>
          <w:szCs w:val="32"/>
        </w:rPr>
        <w:t>/次</w:t>
      </w:r>
      <w:r w:rsidRPr="003C684F">
        <w:rPr>
          <w:rFonts w:hint="eastAsia" w:ascii="仿宋" w:hAnsi="仿宋" w:eastAsia="仿宋"/>
          <w:color w:val="000000"/>
          <w:sz w:val="32"/>
          <w:szCs w:val="32"/>
        </w:rPr>
        <w:t>纳武利尤单抗，每3周一次，或联</w:t>
      </w:r>
      <w:r w:rsidRPr="003C684F">
        <w:rPr>
          <w:rFonts w:hint="eastAsia" w:ascii="仿宋" w:hAnsi="仿宋" w:eastAsia="仿宋"/>
          <w:color w:val="000000"/>
          <w:sz w:val="32"/>
          <w:szCs w:val="32"/>
        </w:rPr>
        <w:lastRenderedPageBreak/>
        <w:t>合3mg/kg纳武利尤单抗，每2周一次，静脉输注30分钟，直至疾病进展或</w:t>
      </w:r>
      <w:r w:rsidRPr="003C684F" w:rsidR="00614A26">
        <w:rPr>
          <w:rFonts w:hint="eastAsia" w:ascii="仿宋" w:hAnsi="仿宋" w:eastAsia="仿宋"/>
          <w:color w:val="000000"/>
          <w:sz w:val="32"/>
          <w:szCs w:val="32"/>
        </w:rPr>
        <w:t>出现</w:t>
      </w:r>
      <w:r w:rsidRPr="003C684F">
        <w:rPr>
          <w:rFonts w:hint="eastAsia" w:ascii="仿宋" w:hAnsi="仿宋" w:eastAsia="仿宋"/>
          <w:color w:val="000000"/>
          <w:sz w:val="32"/>
          <w:szCs w:val="32"/>
        </w:rPr>
        <w:t>不可耐受的毒性，或至24个月的患者没有疾病进展。</w:t>
      </w:r>
    </w:p>
    <w:p w:rsidRPr="003C684F" w:rsidR="009730C1" w:rsidRDefault="00A315B9" w14:paraId="0A8BC4E9"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2.已观察到非典型反应。对于临床稳定且有疾病进展初步证据的患者，建议继续使用本品联合纳武利尤单抗治疗，直至证实疾病进展。</w:t>
      </w:r>
    </w:p>
    <w:p w:rsidRPr="003C684F" w:rsidR="009730C1" w:rsidRDefault="00A315B9" w14:paraId="2F0DDAF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3.应在基线时和每剂本品给药之前评估肝功能和甲状腺功能。此外，在用本品治疗期间，必须评估免疫相关性不良反应的任何体征或症状（包括腹泻和结肠炎）。</w:t>
      </w:r>
    </w:p>
    <w:p w:rsidRPr="003C684F" w:rsidR="009730C1" w:rsidRDefault="00A315B9" w14:paraId="4195F1AC" w14:textId="51925D2C">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4.本品可不经稀释用于静脉输注，</w:t>
      </w:r>
      <w:r w:rsidRPr="003C684F" w:rsidR="004C0FCA">
        <w:rPr>
          <w:rFonts w:hint="eastAsia" w:ascii="仿宋" w:hAnsi="仿宋" w:eastAsia="仿宋"/>
          <w:color w:val="000000"/>
          <w:sz w:val="32"/>
          <w:szCs w:val="32"/>
        </w:rPr>
        <w:t>或稀释于0.9%氯化钠溶液或5%葡萄糖溶液中，</w:t>
      </w:r>
      <w:r w:rsidRPr="003C684F">
        <w:rPr>
          <w:rFonts w:hint="eastAsia" w:ascii="仿宋" w:hAnsi="仿宋" w:eastAsia="仿宋"/>
          <w:color w:val="000000"/>
          <w:sz w:val="32"/>
          <w:szCs w:val="32"/>
        </w:rPr>
        <w:t>浓度至1～4mg/ml后输注使用。本品不得</w:t>
      </w:r>
      <w:r w:rsidRPr="003C684F" w:rsidR="00F9455A">
        <w:rPr>
          <w:rFonts w:hint="eastAsia" w:ascii="仿宋" w:hAnsi="仿宋" w:eastAsia="仿宋"/>
          <w:color w:val="000000"/>
          <w:sz w:val="32"/>
          <w:szCs w:val="32"/>
        </w:rPr>
        <w:t>采用</w:t>
      </w:r>
      <w:r w:rsidRPr="003C684F">
        <w:rPr>
          <w:rFonts w:hint="eastAsia" w:ascii="仿宋" w:hAnsi="仿宋" w:eastAsia="仿宋"/>
          <w:color w:val="000000"/>
          <w:sz w:val="32"/>
          <w:szCs w:val="32"/>
        </w:rPr>
        <w:t>静脉推注或单次快速静脉注射给药。</w:t>
      </w:r>
    </w:p>
    <w:p w:rsidRPr="003C684F" w:rsidR="009730C1" w:rsidRDefault="00A315B9" w14:paraId="30653950" w14:textId="67195F5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5.当与纳武利尤单抗</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时，应先输注纳武利尤单抗，之后同一天输注本品。每次输注需使用单独的输液袋和过滤器。</w:t>
      </w:r>
    </w:p>
    <w:p w:rsidRPr="003C684F" w:rsidR="009730C1" w:rsidRDefault="00A315B9" w14:paraId="36548622"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6.伊匹木单抗联合纳武利尤单抗最常见的不良反应是皮疹、疲乏、腹泻、瘙痒、甲状腺功能减退和恶心。大多数不良反应为轻中度。</w:t>
      </w:r>
    </w:p>
    <w:p w:rsidRPr="003C684F" w:rsidR="009730C1" w:rsidRDefault="00A315B9" w14:paraId="63AA988C" w14:textId="263C2CBC">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7.出现4级或复发性3级不良反应，</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虽然进行治疗调整但仍持续存在的2级或3级不良反应时，应永久停止本品与纳武利尤单抗联合治疗</w:t>
      </w:r>
      <w:r w:rsidRPr="003C684F" w:rsidR="00A12A3F">
        <w:rPr>
          <w:rFonts w:hint="eastAsia" w:ascii="仿宋" w:hAnsi="仿宋" w:eastAsia="仿宋"/>
          <w:color w:val="000000"/>
          <w:sz w:val="32"/>
          <w:szCs w:val="32"/>
        </w:rPr>
        <w:t>。</w:t>
      </w:r>
    </w:p>
    <w:p w:rsidRPr="003C684F" w:rsidR="009730C1" w:rsidRDefault="00A315B9" w14:paraId="22AB16AA" w14:textId="1F069B7B">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8.当本品与纳武利尤单抗联合</w:t>
      </w:r>
      <w:r w:rsidRPr="003C684F" w:rsidR="004B1BA5">
        <w:rPr>
          <w:rFonts w:hint="eastAsia" w:ascii="仿宋" w:hAnsi="仿宋" w:eastAsia="仿宋"/>
          <w:color w:val="000000"/>
          <w:sz w:val="32"/>
          <w:szCs w:val="32"/>
        </w:rPr>
        <w:t>使用</w:t>
      </w:r>
      <w:r w:rsidRPr="003C684F">
        <w:rPr>
          <w:rFonts w:hint="eastAsia" w:ascii="仿宋" w:hAnsi="仿宋" w:eastAsia="仿宋"/>
          <w:color w:val="000000"/>
          <w:sz w:val="32"/>
          <w:szCs w:val="32"/>
        </w:rPr>
        <w:t>时，若暂停任一药物，</w:t>
      </w:r>
      <w:r w:rsidRPr="003C684F">
        <w:rPr>
          <w:rFonts w:hint="eastAsia" w:ascii="仿宋" w:hAnsi="仿宋" w:eastAsia="仿宋"/>
          <w:color w:val="000000"/>
          <w:sz w:val="32"/>
          <w:szCs w:val="32"/>
        </w:rPr>
        <w:lastRenderedPageBreak/>
        <w:t>则应同时暂停另一药物。若在暂停后重新开始给药，则应根据个体患者的评估情况重新开始联合治疗或纳武利尤单抗单药治疗。</w:t>
      </w:r>
    </w:p>
    <w:p w:rsidRPr="003C684F" w:rsidR="009730C1" w:rsidRDefault="00A315B9" w14:paraId="18914F80"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sz w:val="32"/>
          <w:szCs w:val="32"/>
          <w:vertAlign w:val="superscript"/>
        </w:rPr>
        <w:t>※</w:t>
      </w:r>
      <w:r w:rsidRPr="003C684F">
        <w:rPr>
          <w:rFonts w:hint="eastAsia" w:ascii="仿宋" w:hAnsi="仿宋" w:eastAsia="仿宋"/>
          <w:color w:val="000000"/>
          <w:sz w:val="32"/>
          <w:szCs w:val="32"/>
        </w:rPr>
        <w:t>9.美国FDA和欧盟EMA批准伊匹木单抗联合纳武利尤单抗治疗晚期和转移性NSCLC，详见“纳武利尤单抗”合理用药要点第18条。</w:t>
      </w:r>
    </w:p>
    <w:p w:rsidRPr="003C684F" w:rsidR="009730C1" w:rsidP="0037660B" w:rsidRDefault="00A315B9" w14:paraId="19A3AFE1" w14:textId="77777777">
      <w:pPr>
        <w:pStyle w:val="Default"/>
        <w:ind w:firstLine="640" w:firstLineChars="200"/>
        <w:outlineLvl w:val="0"/>
        <w:rPr>
          <w:rFonts w:ascii="黑体" w:hAnsi="黑体" w:eastAsia="黑体"/>
          <w:sz w:val="32"/>
          <w:szCs w:val="32"/>
        </w:rPr>
      </w:pPr>
      <w:r w:rsidRPr="003C684F">
        <w:rPr>
          <w:rFonts w:hint="eastAsia" w:ascii="黑体" w:hAnsi="黑体" w:eastAsia="黑体"/>
          <w:sz w:val="32"/>
          <w:szCs w:val="32"/>
        </w:rPr>
        <w:t>三十二、舒格利单抗</w:t>
      </w:r>
      <w:r w:rsidRPr="003C684F">
        <w:rPr>
          <w:rFonts w:ascii="黑体" w:hAnsi="黑体" w:eastAsia="黑体"/>
          <w:sz w:val="32"/>
          <w:szCs w:val="32"/>
        </w:rPr>
        <w:t>Sugemalimab</w:t>
      </w:r>
    </w:p>
    <w:p w:rsidRPr="003C684F" w:rsidR="009730C1" w:rsidRDefault="00A315B9" w14:paraId="379EFE11" w14:textId="77777777">
      <w:pPr>
        <w:pStyle w:val="Default"/>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注射</w:t>
      </w:r>
      <w:r w:rsidRPr="003C684F" w:rsidR="00174564">
        <w:rPr>
          <w:rFonts w:hint="eastAsia" w:ascii="仿宋" w:hAnsi="仿宋" w:eastAsia="仿宋"/>
          <w:sz w:val="32"/>
          <w:szCs w:val="32"/>
        </w:rPr>
        <w:t>剂</w:t>
      </w:r>
      <w:r w:rsidRPr="003C684F">
        <w:rPr>
          <w:rFonts w:hint="eastAsia" w:ascii="仿宋" w:hAnsi="仿宋" w:eastAsia="仿宋"/>
          <w:sz w:val="32"/>
          <w:szCs w:val="32"/>
        </w:rPr>
        <w:t>：600mg（20ml）/瓶</w:t>
      </w:r>
    </w:p>
    <w:p w:rsidRPr="003C684F" w:rsidR="009730C1" w:rsidRDefault="00A315B9" w14:paraId="698595E9" w14:textId="77777777">
      <w:pPr>
        <w:pStyle w:val="Default"/>
        <w:ind w:firstLine="643" w:firstLineChars="200"/>
        <w:rPr>
          <w:rFonts w:ascii="仿宋" w:hAnsi="仿宋" w:eastAsia="仿宋"/>
          <w:b/>
          <w:sz w:val="32"/>
          <w:szCs w:val="32"/>
        </w:rPr>
      </w:pPr>
      <w:r w:rsidRPr="003C684F">
        <w:rPr>
          <w:rFonts w:hint="eastAsia" w:ascii="仿宋" w:hAnsi="仿宋" w:eastAsia="仿宋"/>
          <w:b/>
          <w:sz w:val="32"/>
          <w:szCs w:val="32"/>
        </w:rPr>
        <w:t>适应证：</w:t>
      </w:r>
    </w:p>
    <w:p w:rsidRPr="003C684F" w:rsidR="009730C1" w:rsidRDefault="00A315B9" w14:paraId="44D4ED4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1.舒格利单抗联合培美曲塞和卡铂用于EGFR基因突变阴性和ALK阴性的转移性非鳞状细胞NSCLC患者的一线治疗。舒格利单抗联合紫杉醇和卡铂用于转移性鳞状细胞NSCLC患者的一线治疗。</w:t>
      </w:r>
    </w:p>
    <w:p w:rsidRPr="003C684F" w:rsidR="009730C1" w:rsidRDefault="00A315B9" w14:paraId="379F8A45" w14:textId="77777777">
      <w:pPr>
        <w:spacing w:line="360" w:lineRule="auto"/>
        <w:ind w:firstLine="640" w:firstLineChars="200"/>
        <w:rPr>
          <w:rFonts w:ascii="仿宋" w:hAnsi="仿宋" w:eastAsia="仿宋"/>
          <w:b/>
          <w:color w:val="000000"/>
          <w:sz w:val="32"/>
          <w:szCs w:val="32"/>
        </w:rPr>
      </w:pPr>
      <w:r w:rsidRPr="003C684F">
        <w:rPr>
          <w:rFonts w:hint="eastAsia" w:ascii="仿宋" w:hAnsi="仿宋" w:eastAsia="仿宋"/>
          <w:color w:val="000000"/>
          <w:sz w:val="32"/>
          <w:szCs w:val="32"/>
        </w:rPr>
        <w:t>2.舒格利单抗用于在接受铂类药物为基础的同步或序贯放化疗后未出现疾病进展的、不可切除、Ⅲ期NSCLC患者的治疗。</w:t>
      </w:r>
    </w:p>
    <w:p w:rsidRPr="003C684F" w:rsidR="009730C1" w:rsidRDefault="00A315B9" w14:paraId="7E884BDC"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DD32C1C" w14:textId="4677ED1A">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1.推荐剂量为</w:t>
      </w:r>
      <w:r w:rsidRPr="003C684F">
        <w:rPr>
          <w:rFonts w:ascii="仿宋" w:hAnsi="仿宋" w:eastAsia="仿宋"/>
          <w:color w:val="000000"/>
          <w:sz w:val="32"/>
          <w:szCs w:val="32"/>
        </w:rPr>
        <w:t>1200mg/</w:t>
      </w:r>
      <w:r w:rsidRPr="003C684F">
        <w:rPr>
          <w:rFonts w:hint="eastAsia" w:ascii="仿宋" w:hAnsi="仿宋" w:eastAsia="仿宋"/>
          <w:color w:val="000000"/>
          <w:sz w:val="32"/>
          <w:szCs w:val="32"/>
        </w:rPr>
        <w:t>次，每</w:t>
      </w:r>
      <w:r w:rsidRPr="003C684F">
        <w:rPr>
          <w:rFonts w:ascii="仿宋" w:hAnsi="仿宋" w:eastAsia="仿宋"/>
          <w:color w:val="000000"/>
          <w:sz w:val="32"/>
          <w:szCs w:val="32"/>
        </w:rPr>
        <w:t>3</w:t>
      </w:r>
      <w:r w:rsidRPr="003C684F">
        <w:rPr>
          <w:rFonts w:hint="eastAsia" w:ascii="仿宋" w:hAnsi="仿宋" w:eastAsia="仿宋"/>
          <w:color w:val="000000"/>
          <w:sz w:val="32"/>
          <w:szCs w:val="32"/>
        </w:rPr>
        <w:t>周</w:t>
      </w:r>
      <w:r w:rsidRPr="003C684F">
        <w:rPr>
          <w:rFonts w:ascii="仿宋" w:hAnsi="仿宋" w:eastAsia="仿宋"/>
          <w:color w:val="000000"/>
          <w:sz w:val="32"/>
          <w:szCs w:val="32"/>
        </w:rPr>
        <w:t>一次</w:t>
      </w:r>
      <w:r w:rsidRPr="003C684F">
        <w:rPr>
          <w:rFonts w:hint="eastAsia" w:ascii="仿宋" w:hAnsi="仿宋" w:eastAsia="仿宋"/>
          <w:color w:val="000000"/>
          <w:sz w:val="32"/>
          <w:szCs w:val="32"/>
        </w:rPr>
        <w:t>，</w:t>
      </w:r>
      <w:r w:rsidRPr="003C684F" w:rsidR="00CF3A3A">
        <w:rPr>
          <w:rFonts w:hint="eastAsia" w:ascii="仿宋" w:hAnsi="仿宋" w:eastAsia="仿宋"/>
          <w:color w:val="000000"/>
          <w:sz w:val="32"/>
          <w:szCs w:val="32"/>
        </w:rPr>
        <w:t>静脉输注，</w:t>
      </w:r>
      <w:r w:rsidRPr="003C684F">
        <w:rPr>
          <w:rFonts w:hint="eastAsia" w:ascii="仿宋" w:hAnsi="仿宋" w:eastAsia="仿宋"/>
          <w:color w:val="000000"/>
          <w:sz w:val="32"/>
          <w:szCs w:val="32"/>
        </w:rPr>
        <w:t>每次输注时间为</w:t>
      </w:r>
      <w:r w:rsidRPr="003C684F">
        <w:rPr>
          <w:rFonts w:ascii="仿宋" w:hAnsi="仿宋" w:eastAsia="仿宋"/>
          <w:color w:val="000000"/>
          <w:sz w:val="32"/>
          <w:szCs w:val="32"/>
        </w:rPr>
        <w:t>60</w:t>
      </w:r>
      <w:r w:rsidRPr="003C684F">
        <w:rPr>
          <w:rFonts w:hint="eastAsia" w:ascii="仿宋" w:hAnsi="仿宋" w:eastAsia="仿宋"/>
          <w:color w:val="000000"/>
          <w:sz w:val="32"/>
          <w:szCs w:val="32"/>
        </w:rPr>
        <w:t>分钟或以上，</w:t>
      </w:r>
      <w:r w:rsidRPr="003C684F">
        <w:rPr>
          <w:rFonts w:hint="eastAsia" w:ascii="仿宋" w:hAnsi="仿宋" w:eastAsia="仿宋" w:cs="Times New Roman"/>
          <w:sz w:val="32"/>
          <w:szCs w:val="32"/>
        </w:rPr>
        <w:t>禁止静脉推注或快速注射，</w:t>
      </w:r>
      <w:r w:rsidRPr="003C684F">
        <w:rPr>
          <w:rFonts w:hint="eastAsia" w:ascii="仿宋" w:hAnsi="仿宋" w:eastAsia="仿宋"/>
          <w:color w:val="000000"/>
          <w:sz w:val="32"/>
          <w:szCs w:val="32"/>
        </w:rPr>
        <w:t>直至疾病进展或</w:t>
      </w:r>
      <w:r w:rsidRPr="003C684F" w:rsidR="00614A26">
        <w:rPr>
          <w:rFonts w:hint="eastAsia" w:ascii="仿宋" w:hAnsi="仿宋" w:eastAsia="仿宋"/>
          <w:color w:val="000000"/>
          <w:sz w:val="32"/>
          <w:szCs w:val="32"/>
        </w:rPr>
        <w:t>出现</w:t>
      </w:r>
      <w:r w:rsidRPr="003C684F">
        <w:rPr>
          <w:rFonts w:hint="eastAsia" w:ascii="仿宋" w:hAnsi="仿宋" w:eastAsia="仿宋"/>
          <w:color w:val="000000"/>
          <w:sz w:val="32"/>
          <w:szCs w:val="32"/>
        </w:rPr>
        <w:t>不可耐受的毒性。如用于巩固治疗，本品治疗不超过</w:t>
      </w:r>
      <w:r w:rsidRPr="003C684F">
        <w:rPr>
          <w:rFonts w:ascii="仿宋" w:hAnsi="仿宋" w:eastAsia="仿宋"/>
          <w:color w:val="000000"/>
          <w:sz w:val="32"/>
          <w:szCs w:val="32"/>
        </w:rPr>
        <w:t>24</w:t>
      </w:r>
      <w:r w:rsidRPr="003C684F">
        <w:rPr>
          <w:rFonts w:hint="eastAsia" w:ascii="仿宋" w:hAnsi="仿宋" w:eastAsia="仿宋"/>
          <w:color w:val="000000"/>
          <w:sz w:val="32"/>
          <w:szCs w:val="32"/>
        </w:rPr>
        <w:t>个月。</w:t>
      </w:r>
    </w:p>
    <w:p w:rsidRPr="003C684F" w:rsidR="009730C1" w:rsidRDefault="00A315B9" w14:paraId="39500B4F" w14:textId="2F1CC41E">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2.老年</w:t>
      </w:r>
      <w:r w:rsidRPr="003C684F" w:rsidR="003A5C08">
        <w:rPr>
          <w:rFonts w:hint="eastAsia" w:ascii="仿宋" w:hAnsi="仿宋" w:eastAsia="仿宋"/>
          <w:color w:val="000000"/>
          <w:sz w:val="32"/>
          <w:szCs w:val="32"/>
        </w:rPr>
        <w:t>患者</w:t>
      </w:r>
      <w:r w:rsidRPr="003C684F">
        <w:rPr>
          <w:rFonts w:hint="eastAsia" w:ascii="仿宋" w:hAnsi="仿宋" w:eastAsia="仿宋"/>
          <w:color w:val="000000"/>
          <w:sz w:val="32"/>
          <w:szCs w:val="32"/>
        </w:rPr>
        <w:t>（</w:t>
      </w:r>
      <w:r w:rsidRPr="003C684F">
        <w:rPr>
          <w:rFonts w:ascii="仿宋" w:hAnsi="仿宋" w:eastAsia="仿宋"/>
          <w:color w:val="000000"/>
          <w:sz w:val="32"/>
          <w:szCs w:val="32"/>
        </w:rPr>
        <w:t>≥65</w:t>
      </w:r>
      <w:r w:rsidRPr="003C684F">
        <w:rPr>
          <w:rFonts w:hint="eastAsia" w:ascii="仿宋" w:hAnsi="仿宋" w:eastAsia="仿宋"/>
          <w:color w:val="000000"/>
          <w:sz w:val="32"/>
          <w:szCs w:val="32"/>
        </w:rPr>
        <w:t>岁）与</w:t>
      </w:r>
      <w:r w:rsidRPr="003C684F" w:rsidR="003A5C08">
        <w:rPr>
          <w:rFonts w:hint="eastAsia" w:ascii="仿宋" w:hAnsi="仿宋" w:eastAsia="仿宋"/>
          <w:color w:val="000000"/>
          <w:sz w:val="32"/>
          <w:szCs w:val="32"/>
        </w:rPr>
        <w:t>＜65岁的</w:t>
      </w:r>
      <w:r w:rsidRPr="003C684F">
        <w:rPr>
          <w:rFonts w:hint="eastAsia" w:ascii="仿宋" w:hAnsi="仿宋" w:eastAsia="仿宋"/>
          <w:color w:val="000000"/>
          <w:sz w:val="32"/>
          <w:szCs w:val="32"/>
        </w:rPr>
        <w:t>患者在安全性或有</w:t>
      </w:r>
      <w:r w:rsidRPr="003C684F">
        <w:rPr>
          <w:rFonts w:hint="eastAsia" w:ascii="仿宋" w:hAnsi="仿宋" w:eastAsia="仿宋"/>
          <w:color w:val="000000"/>
          <w:sz w:val="32"/>
          <w:szCs w:val="32"/>
        </w:rPr>
        <w:lastRenderedPageBreak/>
        <w:t>效性上未出现总体的差异，</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在这一人群中进行剂量调整。</w:t>
      </w:r>
    </w:p>
    <w:p w:rsidRPr="003C684F" w:rsidR="009730C1" w:rsidRDefault="00A315B9" w14:paraId="4ECEA712" w14:textId="7D9C8D7C">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.本品尚无针对中重度肝功能损伤患者的研究数据，中重度肝功能损伤患者不推荐使用。轻度肝功能损伤患者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68EC416B" w14:textId="79ECBF09">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4</w:t>
      </w:r>
      <w:r w:rsidRPr="003C684F">
        <w:rPr>
          <w:rFonts w:hint="eastAsia" w:ascii="仿宋" w:hAnsi="仿宋" w:eastAsia="仿宋"/>
          <w:color w:val="000000"/>
          <w:sz w:val="32"/>
          <w:szCs w:val="32"/>
        </w:rPr>
        <w:t>.本品尚无针对重度肾功能损伤患者的研究数据，重度肾功能损伤患者不推荐使用。轻中度肾功能损伤患者应在医生指导下慎用本品，基于群体药代动力学结果，如需使用，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4A96849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sz w:val="32"/>
          <w:szCs w:val="32"/>
        </w:rPr>
        <w:t>5.</w:t>
      </w:r>
      <w:r w:rsidRPr="003C684F">
        <w:rPr>
          <w:rFonts w:ascii="仿宋" w:hAnsi="仿宋" w:eastAsia="仿宋"/>
          <w:sz w:val="32"/>
          <w:szCs w:val="32"/>
        </w:rPr>
        <w:t>不建议在妊娠期间使用本品治疗</w:t>
      </w:r>
      <w:r w:rsidRPr="003C684F">
        <w:rPr>
          <w:rFonts w:hint="eastAsia" w:ascii="仿宋" w:hAnsi="仿宋" w:eastAsia="仿宋"/>
          <w:sz w:val="32"/>
          <w:szCs w:val="32"/>
        </w:rPr>
        <w:t>。</w:t>
      </w:r>
    </w:p>
    <w:p w:rsidRPr="003C684F" w:rsidR="009730C1" w:rsidRDefault="00A315B9" w14:paraId="0B691263" w14:textId="4F4B11CB">
      <w:pPr>
        <w:pStyle w:val="Default"/>
        <w:ind w:firstLine="640" w:firstLineChars="200"/>
        <w:rPr>
          <w:rFonts w:ascii="仿宋" w:hAnsi="仿宋" w:eastAsia="仿宋"/>
          <w:sz w:val="32"/>
          <w:szCs w:val="32"/>
        </w:rPr>
      </w:pPr>
      <w:r w:rsidRPr="003C684F">
        <w:rPr>
          <w:rFonts w:hint="eastAsia" w:ascii="仿宋" w:hAnsi="仿宋" w:eastAsia="仿宋"/>
          <w:sz w:val="32"/>
          <w:szCs w:val="32"/>
        </w:rPr>
        <w:t>6.根据个体患者的安全性和耐受性</w:t>
      </w:r>
      <w:r w:rsidRPr="003C684F" w:rsidR="00FB3F31">
        <w:rPr>
          <w:rFonts w:hint="eastAsia" w:ascii="仿宋" w:hAnsi="仿宋" w:eastAsia="仿宋"/>
          <w:sz w:val="32"/>
          <w:szCs w:val="32"/>
        </w:rPr>
        <w:t>，可能</w:t>
      </w:r>
      <w:r w:rsidRPr="003C684F">
        <w:rPr>
          <w:rFonts w:hint="eastAsia" w:ascii="仿宋" w:hAnsi="仿宋" w:eastAsia="仿宋"/>
          <w:sz w:val="32"/>
          <w:szCs w:val="32"/>
        </w:rPr>
        <w:t>需要暂停给药或</w:t>
      </w:r>
      <w:r w:rsidRPr="003C684F" w:rsidR="00373DC1">
        <w:rPr>
          <w:rFonts w:hint="eastAsia" w:ascii="仿宋" w:hAnsi="仿宋" w:eastAsia="仿宋"/>
          <w:sz w:val="32"/>
          <w:szCs w:val="32"/>
        </w:rPr>
        <w:t>永久停用</w:t>
      </w:r>
      <w:r w:rsidRPr="003C684F">
        <w:rPr>
          <w:rFonts w:hint="eastAsia" w:ascii="仿宋" w:hAnsi="仿宋" w:eastAsia="仿宋"/>
          <w:sz w:val="32"/>
          <w:szCs w:val="32"/>
        </w:rPr>
        <w:t>，不建议增加或减少剂量。对于疑似免疫相关性不良反应，应进行充分的评估以确定病因或排除其他病因。大多数免疫相关性不良反应是可逆的，并且可通过中断本品治疗、给予糖皮质激素治疗和</w:t>
      </w:r>
      <w:r w:rsidRPr="003C684F">
        <w:rPr>
          <w:rFonts w:ascii="仿宋" w:hAnsi="仿宋" w:eastAsia="仿宋" w:cs="Times New Roman"/>
          <w:sz w:val="32"/>
          <w:szCs w:val="32"/>
        </w:rPr>
        <w:t>/</w:t>
      </w:r>
      <w:r w:rsidRPr="003C684F">
        <w:rPr>
          <w:rFonts w:hint="eastAsia" w:ascii="仿宋" w:hAnsi="仿宋" w:eastAsia="仿宋"/>
          <w:sz w:val="32"/>
          <w:szCs w:val="32"/>
        </w:rPr>
        <w:t>或支持治疗来处理。</w:t>
      </w:r>
    </w:p>
    <w:p w:rsidRPr="003C684F" w:rsidR="009730C1" w:rsidRDefault="00A315B9" w14:paraId="58F313AA" w14:textId="112C3CFE">
      <w:pPr>
        <w:pStyle w:val="Default"/>
        <w:ind w:firstLine="640" w:firstLineChars="200"/>
        <w:rPr>
          <w:rFonts w:ascii="仿宋" w:hAnsi="仿宋" w:eastAsia="仿宋"/>
          <w:sz w:val="32"/>
          <w:szCs w:val="32"/>
        </w:rPr>
      </w:pPr>
      <w:r w:rsidRPr="003C684F">
        <w:rPr>
          <w:rFonts w:ascii="仿宋" w:hAnsi="仿宋" w:eastAsia="仿宋"/>
          <w:sz w:val="32"/>
          <w:szCs w:val="32"/>
        </w:rPr>
        <w:t>7</w:t>
      </w:r>
      <w:r w:rsidRPr="003C684F">
        <w:rPr>
          <w:rFonts w:hint="eastAsia" w:ascii="仿宋" w:hAnsi="仿宋" w:eastAsia="仿宋"/>
          <w:sz w:val="32"/>
          <w:szCs w:val="32"/>
        </w:rPr>
        <w:t>.本品是一种全人源单克隆抗体，由于单克隆抗体不通过细胞色素</w:t>
      </w:r>
      <w:r w:rsidRPr="003C684F">
        <w:rPr>
          <w:rFonts w:ascii="仿宋" w:hAnsi="仿宋" w:eastAsia="仿宋" w:cs="Times New Roman"/>
          <w:sz w:val="32"/>
          <w:szCs w:val="32"/>
        </w:rPr>
        <w:t>CYP450</w:t>
      </w:r>
      <w:r w:rsidRPr="003C684F">
        <w:rPr>
          <w:rFonts w:hint="eastAsia" w:ascii="仿宋" w:hAnsi="仿宋" w:eastAsia="仿宋"/>
          <w:sz w:val="32"/>
          <w:szCs w:val="32"/>
        </w:rPr>
        <w:t>酶或其他药物代谢酶代谢，也不主要以转运体介导的方式摄取和外排，所以</w:t>
      </w:r>
      <w:r w:rsidRPr="003C684F" w:rsidR="00C3674D">
        <w:rPr>
          <w:rFonts w:hint="eastAsia" w:ascii="仿宋" w:hAnsi="仿宋" w:eastAsia="仿宋"/>
          <w:sz w:val="32"/>
          <w:szCs w:val="32"/>
        </w:rPr>
        <w:t>联合</w:t>
      </w:r>
      <w:r w:rsidRPr="003C684F">
        <w:rPr>
          <w:rFonts w:hint="eastAsia" w:ascii="仿宋" w:hAnsi="仿宋" w:eastAsia="仿宋"/>
          <w:sz w:val="32"/>
          <w:szCs w:val="32"/>
        </w:rPr>
        <w:t>使用对常见代谢酶或转运体的抑制或诱导作用预期不会影响本品的药代动力学特征。</w:t>
      </w:r>
    </w:p>
    <w:p w:rsidRPr="003C684F" w:rsidR="009730C1" w:rsidRDefault="00A315B9" w14:paraId="00464757"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8</w:t>
      </w:r>
      <w:r w:rsidRPr="003C684F">
        <w:rPr>
          <w:rFonts w:hint="eastAsia" w:ascii="仿宋" w:hAnsi="仿宋" w:eastAsia="仿宋"/>
          <w:sz w:val="32"/>
          <w:szCs w:val="32"/>
        </w:rPr>
        <w:t>.因可能影响本品的药效学活性，应避免在开始本品治疗前使用全身性糖皮质激素及其他免疫抑制剂。如果为治疗免疫相关性不良反应，可以在开始本品治疗后使用全身性糖</w:t>
      </w:r>
      <w:r w:rsidRPr="003C684F">
        <w:rPr>
          <w:rFonts w:hint="eastAsia" w:ascii="仿宋" w:hAnsi="仿宋" w:eastAsia="仿宋"/>
          <w:sz w:val="32"/>
          <w:szCs w:val="32"/>
        </w:rPr>
        <w:lastRenderedPageBreak/>
        <w:t>皮质激素及其他免疫抑制剂。</w:t>
      </w:r>
    </w:p>
    <w:p w:rsidRPr="003C684F" w:rsidR="009730C1" w:rsidRDefault="009730C1" w14:paraId="232B7B45" w14:textId="77777777">
      <w:pPr>
        <w:spacing w:line="360" w:lineRule="auto"/>
        <w:ind w:firstLine="640" w:firstLineChars="200"/>
        <w:jc w:val="center"/>
        <w:rPr>
          <w:rFonts w:ascii="仿宋" w:hAnsi="仿宋" w:eastAsia="仿宋"/>
          <w:sz w:val="32"/>
          <w:szCs w:val="32"/>
        </w:rPr>
      </w:pPr>
    </w:p>
    <w:p w:rsidRPr="003C684F" w:rsidR="009730C1" w:rsidRDefault="00A315B9" w14:paraId="5624D56A" w14:textId="77777777">
      <w:pPr>
        <w:spacing w:line="360" w:lineRule="auto"/>
        <w:ind w:firstLine="883" w:firstLineChars="200"/>
        <w:jc w:val="center"/>
        <w:rPr>
          <w:rFonts w:ascii="宋体" w:cs="Times New Roman"/>
          <w:b/>
          <w:bCs/>
          <w:sz w:val="44"/>
          <w:szCs w:val="44"/>
        </w:rPr>
      </w:pPr>
      <w:r w:rsidRPr="003C684F">
        <w:rPr>
          <w:rFonts w:hint="eastAsia" w:ascii="宋体" w:hAnsi="宋体" w:cs="宋体"/>
          <w:b/>
          <w:bCs/>
          <w:sz w:val="44"/>
          <w:szCs w:val="44"/>
        </w:rPr>
        <w:t>消化系统肿瘤用药</w:t>
      </w:r>
    </w:p>
    <w:p w:rsidRPr="003C684F" w:rsidR="009730C1" w:rsidRDefault="009730C1" w14:paraId="5E1C3972" w14:textId="77777777">
      <w:pPr>
        <w:widowControl/>
        <w:spacing w:line="360" w:lineRule="auto"/>
        <w:ind w:firstLine="643" w:firstLineChars="200"/>
        <w:jc w:val="left"/>
        <w:rPr>
          <w:rFonts w:ascii="仿宋" w:hAnsi="仿宋" w:eastAsia="仿宋" w:cs="Times New Roman"/>
          <w:b/>
          <w:bCs/>
          <w:sz w:val="32"/>
          <w:szCs w:val="32"/>
        </w:rPr>
      </w:pPr>
    </w:p>
    <w:p w:rsidRPr="003C684F" w:rsidR="009730C1" w:rsidP="0037660B" w:rsidRDefault="00A315B9" w14:paraId="7BD4A081" w14:textId="77777777">
      <w:pPr>
        <w:spacing w:line="360" w:lineRule="auto"/>
        <w:ind w:firstLine="640" w:firstLineChars="200"/>
        <w:outlineLvl w:val="0"/>
        <w:rPr>
          <w:rFonts w:ascii="黑体" w:hAnsi="黑体" w:eastAsia="黑体" w:cs="Times New Roman"/>
          <w:sz w:val="32"/>
          <w:szCs w:val="32"/>
          <w:lang w:val="it-IT"/>
        </w:rPr>
      </w:pPr>
      <w:r w:rsidRPr="003C684F">
        <w:rPr>
          <w:rFonts w:hint="eastAsia" w:ascii="黑体" w:hAnsi="黑体" w:eastAsia="黑体" w:cs="黑体"/>
          <w:sz w:val="32"/>
          <w:szCs w:val="32"/>
          <w:lang w:val="it-IT"/>
        </w:rPr>
        <w:t>一、</w:t>
      </w:r>
      <w:r w:rsidRPr="003C684F">
        <w:rPr>
          <w:rFonts w:hint="eastAsia" w:ascii="黑体" w:hAnsi="黑体" w:eastAsia="黑体" w:cs="黑体"/>
          <w:sz w:val="32"/>
          <w:szCs w:val="32"/>
        </w:rPr>
        <w:t>索拉非尼 S</w:t>
      </w:r>
      <w:r w:rsidRPr="003C684F">
        <w:rPr>
          <w:rFonts w:ascii="黑体" w:hAnsi="黑体" w:eastAsia="黑体" w:cs="黑体"/>
          <w:sz w:val="32"/>
          <w:szCs w:val="32"/>
        </w:rPr>
        <w:t>orafenib</w:t>
      </w:r>
    </w:p>
    <w:p w:rsidRPr="003C684F" w:rsidR="009730C1" w:rsidRDefault="00A315B9" w14:paraId="271E69C1"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hint="eastAsia" w:ascii="仿宋" w:hAnsi="仿宋" w:eastAsia="仿宋"/>
          <w:color w:val="000000"/>
          <w:sz w:val="32"/>
          <w:szCs w:val="32"/>
        </w:rPr>
        <w:t>200mg</w:t>
      </w:r>
    </w:p>
    <w:p w:rsidRPr="003C684F" w:rsidR="009730C1" w:rsidRDefault="00A315B9" w14:paraId="54CBD260"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治疗无法手术或远处转移的肝细胞癌。</w:t>
      </w:r>
    </w:p>
    <w:p w:rsidRPr="003C684F" w:rsidR="009730C1" w:rsidRDefault="00A315B9" w14:paraId="2A528EBC"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C3A7E51" w14:textId="66310424">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sidR="006F6D60">
        <w:rPr>
          <w:rFonts w:hint="eastAsia" w:ascii="仿宋" w:hAnsi="仿宋" w:eastAsia="仿宋" w:cs="仿宋"/>
          <w:sz w:val="32"/>
          <w:szCs w:val="32"/>
        </w:rPr>
        <w:t>用药期间最常见的不良反应有手足皮肤反应、腹泻、乏力、脱发、感染、皮疹</w:t>
      </w:r>
      <w:r w:rsidRPr="003C684F">
        <w:rPr>
          <w:rFonts w:hint="eastAsia" w:ascii="仿宋" w:hAnsi="仿宋" w:eastAsia="仿宋" w:cs="仿宋"/>
          <w:sz w:val="32"/>
          <w:szCs w:val="32"/>
        </w:rPr>
        <w:t>。</w:t>
      </w:r>
      <w:r w:rsidRPr="003C684F" w:rsidR="00A80484">
        <w:rPr>
          <w:rFonts w:hint="eastAsia" w:ascii="仿宋" w:hAnsi="仿宋" w:eastAsia="仿宋" w:cs="仿宋"/>
          <w:sz w:val="32"/>
          <w:szCs w:val="32"/>
        </w:rPr>
        <w:t>皮疹和手足皮肤反应通常多为NCI CTCAE 1～2级，且多于开始服用索拉非尼后的6周内出现。对皮肤毒性反应的处理包括局部用药以减轻症状，暂停用药或/和对索拉非尼进行剂量调整。对于皮肤毒性严重或反应持久的患者需要永久停用索拉非尼。</w:t>
      </w:r>
    </w:p>
    <w:p w:rsidRPr="003C684F" w:rsidR="009730C1" w:rsidRDefault="00A315B9" w14:paraId="2B0CAFDC" w14:textId="79F49A32">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推荐剂量为</w:t>
      </w:r>
      <w:r w:rsidRPr="003C684F" w:rsidR="00017EC8">
        <w:rPr>
          <w:rFonts w:hint="eastAsia" w:ascii="仿宋" w:hAnsi="仿宋" w:eastAsia="仿宋" w:cs="仿宋"/>
          <w:sz w:val="32"/>
          <w:szCs w:val="32"/>
        </w:rPr>
        <w:t>4</w:t>
      </w:r>
      <w:r w:rsidRPr="003C684F" w:rsidR="00017EC8">
        <w:rPr>
          <w:rFonts w:hint="eastAsia" w:ascii="仿宋" w:hAnsi="仿宋" w:eastAsia="仿宋"/>
          <w:color w:val="000000"/>
          <w:sz w:val="32"/>
          <w:szCs w:val="32"/>
        </w:rPr>
        <w:t>00mg</w:t>
      </w:r>
      <w:r w:rsidRPr="003C684F">
        <w:rPr>
          <w:rFonts w:hint="eastAsia" w:ascii="仿宋" w:hAnsi="仿宋" w:eastAsia="仿宋"/>
          <w:color w:val="000000"/>
          <w:sz w:val="32"/>
          <w:szCs w:val="32"/>
        </w:rPr>
        <w:t>/次</w:t>
      </w:r>
      <w:r w:rsidRPr="003C684F">
        <w:rPr>
          <w:rFonts w:hint="eastAsia" w:ascii="仿宋" w:hAnsi="仿宋" w:eastAsia="仿宋" w:cs="仿宋"/>
          <w:sz w:val="32"/>
          <w:szCs w:val="32"/>
        </w:rPr>
        <w:t>，每天两次，</w:t>
      </w:r>
      <w:r w:rsidRPr="003C684F" w:rsidR="00017EC8">
        <w:rPr>
          <w:rFonts w:hint="eastAsia" w:ascii="仿宋" w:hAnsi="仿宋" w:eastAsia="仿宋" w:cs="仿宋"/>
          <w:sz w:val="32"/>
          <w:szCs w:val="32"/>
        </w:rPr>
        <w:t>口服，</w:t>
      </w:r>
      <w:r w:rsidRPr="003C684F">
        <w:rPr>
          <w:rFonts w:hint="eastAsia" w:ascii="仿宋" w:hAnsi="仿宋" w:eastAsia="仿宋" w:cs="仿宋"/>
          <w:sz w:val="32"/>
          <w:szCs w:val="32"/>
        </w:rPr>
        <w:t>空腹或伴低脂、中脂饮食服用，必须整片吞服。对疑似不良反应的处理包括暂停或减少用量，如需减少剂量，索拉非尼的剂量减为</w:t>
      </w:r>
      <w:r w:rsidRPr="003C684F" w:rsidR="00017EC8">
        <w:rPr>
          <w:rFonts w:hint="eastAsia" w:ascii="仿宋" w:hAnsi="仿宋" w:eastAsia="仿宋" w:cs="仿宋"/>
          <w:sz w:val="32"/>
          <w:szCs w:val="32"/>
        </w:rPr>
        <w:t>4</w:t>
      </w:r>
      <w:r w:rsidRPr="003C684F" w:rsidR="00017EC8">
        <w:rPr>
          <w:rFonts w:hint="eastAsia" w:ascii="仿宋" w:hAnsi="仿宋" w:eastAsia="仿宋"/>
          <w:color w:val="000000"/>
          <w:sz w:val="32"/>
          <w:szCs w:val="32"/>
        </w:rPr>
        <w:t>00mg</w:t>
      </w:r>
      <w:r w:rsidRPr="003C684F">
        <w:rPr>
          <w:rFonts w:hint="eastAsia" w:ascii="仿宋" w:hAnsi="仿宋" w:eastAsia="仿宋"/>
          <w:color w:val="000000"/>
          <w:sz w:val="32"/>
          <w:szCs w:val="32"/>
        </w:rPr>
        <w:t>/次</w:t>
      </w:r>
      <w:r w:rsidRPr="003C684F">
        <w:rPr>
          <w:rFonts w:hint="eastAsia" w:ascii="仿宋" w:hAnsi="仿宋" w:eastAsia="仿宋" w:cs="仿宋"/>
          <w:sz w:val="32"/>
          <w:szCs w:val="32"/>
        </w:rPr>
        <w:t>，</w:t>
      </w:r>
      <w:r w:rsidRPr="003C684F" w:rsidR="00017EC8">
        <w:rPr>
          <w:rFonts w:hint="eastAsia" w:ascii="仿宋" w:hAnsi="仿宋" w:eastAsia="仿宋" w:cs="仿宋"/>
          <w:sz w:val="32"/>
          <w:szCs w:val="32"/>
        </w:rPr>
        <w:t>每天一次，</w:t>
      </w:r>
      <w:r w:rsidRPr="003C684F">
        <w:rPr>
          <w:rFonts w:hint="eastAsia" w:ascii="仿宋" w:hAnsi="仿宋" w:eastAsia="仿宋" w:cs="仿宋"/>
          <w:sz w:val="32"/>
          <w:szCs w:val="32"/>
        </w:rPr>
        <w:t>口服。</w:t>
      </w:r>
    </w:p>
    <w:p w:rsidRPr="003C684F" w:rsidR="009730C1" w:rsidRDefault="00A315B9" w14:paraId="20C35ADF" w14:textId="74F90B1D">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与通过</w:t>
      </w:r>
      <w:r w:rsidRPr="003C684F">
        <w:rPr>
          <w:rFonts w:ascii="仿宋" w:hAnsi="仿宋" w:eastAsia="仿宋" w:cs="仿宋"/>
          <w:sz w:val="32"/>
          <w:szCs w:val="32"/>
        </w:rPr>
        <w:t>UGT1A1</w:t>
      </w:r>
      <w:r w:rsidRPr="003C684F">
        <w:rPr>
          <w:rFonts w:hint="eastAsia" w:ascii="仿宋" w:hAnsi="仿宋" w:eastAsia="仿宋" w:cs="仿宋"/>
          <w:sz w:val="32"/>
          <w:szCs w:val="32"/>
        </w:rPr>
        <w:t>途径代谢</w:t>
      </w:r>
      <w:r w:rsidRPr="003C684F">
        <w:rPr>
          <w:rFonts w:ascii="仿宋" w:hAnsi="仿宋" w:eastAsia="仿宋" w:cs="仿宋"/>
          <w:sz w:val="32"/>
          <w:szCs w:val="32"/>
        </w:rPr>
        <w:t>/</w:t>
      </w:r>
      <w:r w:rsidRPr="003C684F">
        <w:rPr>
          <w:rFonts w:hint="eastAsia" w:ascii="仿宋" w:hAnsi="仿宋" w:eastAsia="仿宋" w:cs="仿宋"/>
          <w:sz w:val="32"/>
          <w:szCs w:val="32"/>
        </w:rPr>
        <w:t>清除的药物（如伊立替康、多西他赛）联合应用时需谨慎。与华法林</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时应定期检测</w:t>
      </w:r>
      <w:r w:rsidRPr="003C684F">
        <w:rPr>
          <w:rFonts w:ascii="仿宋" w:hAnsi="仿宋" w:eastAsia="仿宋" w:cs="仿宋"/>
          <w:sz w:val="32"/>
          <w:szCs w:val="32"/>
        </w:rPr>
        <w:t>INR</w:t>
      </w:r>
      <w:r w:rsidRPr="003C684F">
        <w:rPr>
          <w:rFonts w:hint="eastAsia" w:ascii="仿宋" w:hAnsi="仿宋" w:eastAsia="仿宋" w:cs="仿宋"/>
          <w:sz w:val="32"/>
          <w:szCs w:val="32"/>
        </w:rPr>
        <w:t>值。</w:t>
      </w:r>
    </w:p>
    <w:p w:rsidRPr="003C684F" w:rsidR="00DC7ED2" w:rsidP="00DC7ED2" w:rsidRDefault="00DC7ED2" w14:paraId="11B24DB0" w14:textId="69ECA102">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4.育龄妇女在治疗期间应注意避孕。应告知育龄妇女患</w:t>
      </w:r>
      <w:r w:rsidRPr="003C684F">
        <w:rPr>
          <w:rFonts w:hint="eastAsia" w:ascii="仿宋" w:hAnsi="仿宋" w:eastAsia="仿宋" w:cs="Times New Roman"/>
          <w:sz w:val="32"/>
          <w:szCs w:val="32"/>
        </w:rPr>
        <w:lastRenderedPageBreak/>
        <w:t>者，药物对胎儿可能产生的危害，包括严重畸形（致畸性），发育障碍和胎儿死亡（胚胎毒性）。孕期应避免应用索拉非尼。只有治疗收益超过对胎儿产生的可能危害时，才能应用于妊娠妇女。</w:t>
      </w:r>
    </w:p>
    <w:p w:rsidRPr="003C684F" w:rsidR="009730C1" w:rsidRDefault="00DC7ED2" w14:paraId="0181EF96" w14:textId="63D22E31">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目前缺乏在晚期肝细胞癌患者中索拉非尼与介入治疗如肝动脉栓塞化疗（</w:t>
      </w:r>
      <w:r w:rsidRPr="003C684F" w:rsidR="00A315B9">
        <w:rPr>
          <w:rFonts w:ascii="仿宋" w:hAnsi="仿宋" w:eastAsia="仿宋" w:cs="仿宋"/>
          <w:sz w:val="32"/>
          <w:szCs w:val="32"/>
        </w:rPr>
        <w:t>TACE</w:t>
      </w:r>
      <w:r w:rsidRPr="003C684F" w:rsidR="00A315B9">
        <w:rPr>
          <w:rFonts w:hint="eastAsia" w:ascii="仿宋" w:hAnsi="仿宋" w:eastAsia="仿宋" w:cs="仿宋"/>
          <w:sz w:val="32"/>
          <w:szCs w:val="32"/>
        </w:rPr>
        <w:t>）比较的随机对照临床研究数据，因此尚不能明确本品相对介入治疗的优劣，也不能明确对既往接受过介入治疗后患者使用索拉非尼是否有益。</w:t>
      </w:r>
    </w:p>
    <w:p w:rsidRPr="003C684F" w:rsidR="009730C1" w:rsidRDefault="00DC7ED2" w14:paraId="70D10769" w14:textId="6986BF3B">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sidR="00A315B9">
        <w:rPr>
          <w:rFonts w:ascii="仿宋" w:hAnsi="仿宋" w:eastAsia="仿宋" w:cs="仿宋"/>
          <w:sz w:val="32"/>
          <w:szCs w:val="32"/>
        </w:rPr>
        <w:t>.TACTICS</w:t>
      </w:r>
      <w:r w:rsidRPr="003C684F" w:rsidR="00A315B9">
        <w:rPr>
          <w:rFonts w:hint="eastAsia" w:ascii="仿宋" w:hAnsi="仿宋" w:eastAsia="仿宋" w:cs="仿宋"/>
          <w:sz w:val="32"/>
          <w:szCs w:val="32"/>
        </w:rPr>
        <w:t>研究（</w:t>
      </w:r>
      <w:r w:rsidRPr="003C684F" w:rsidR="00A315B9">
        <w:rPr>
          <w:rFonts w:ascii="仿宋" w:hAnsi="仿宋" w:eastAsia="仿宋" w:cs="仿宋"/>
          <w:sz w:val="32"/>
          <w:szCs w:val="32"/>
        </w:rPr>
        <w:t>NCT01217034</w:t>
      </w:r>
      <w:r w:rsidRPr="003C684F" w:rsidR="00A315B9">
        <w:rPr>
          <w:rFonts w:hint="eastAsia" w:ascii="仿宋" w:hAnsi="仿宋" w:eastAsia="仿宋" w:cs="仿宋"/>
          <w:sz w:val="32"/>
          <w:szCs w:val="32"/>
        </w:rPr>
        <w:t>）</w:t>
      </w:r>
      <w:r w:rsidRPr="003C684F" w:rsidR="004B0F6C">
        <w:rPr>
          <w:rFonts w:hint="eastAsia" w:ascii="仿宋" w:hAnsi="仿宋" w:eastAsia="仿宋" w:cs="仿宋"/>
          <w:sz w:val="32"/>
          <w:szCs w:val="32"/>
        </w:rPr>
        <w:t>首次</w:t>
      </w:r>
      <w:r w:rsidRPr="003C684F" w:rsidR="00A315B9">
        <w:rPr>
          <w:rFonts w:hint="eastAsia" w:ascii="仿宋" w:hAnsi="仿宋" w:eastAsia="仿宋" w:cs="仿宋"/>
          <w:sz w:val="32"/>
          <w:szCs w:val="32"/>
        </w:rPr>
        <w:t>证实</w:t>
      </w:r>
      <w:r w:rsidRPr="003C684F" w:rsidR="00A315B9">
        <w:rPr>
          <w:rFonts w:ascii="仿宋" w:hAnsi="仿宋" w:eastAsia="仿宋" w:cs="仿宋"/>
          <w:sz w:val="32"/>
          <w:szCs w:val="32"/>
        </w:rPr>
        <w:t>TACE</w:t>
      </w:r>
      <w:r w:rsidRPr="003C684F" w:rsidR="00A315B9">
        <w:rPr>
          <w:rFonts w:hint="eastAsia" w:ascii="仿宋" w:hAnsi="仿宋" w:eastAsia="仿宋" w:cs="仿宋"/>
          <w:sz w:val="32"/>
          <w:szCs w:val="32"/>
        </w:rPr>
        <w:t>联合索拉非尼较</w:t>
      </w:r>
      <w:r w:rsidRPr="003C684F" w:rsidR="00DF11BF">
        <w:rPr>
          <w:rFonts w:ascii="仿宋" w:hAnsi="仿宋" w:eastAsia="仿宋" w:cs="仿宋"/>
          <w:sz w:val="32"/>
          <w:szCs w:val="32"/>
        </w:rPr>
        <w:t>TACE</w:t>
      </w:r>
      <w:r w:rsidRPr="003C684F" w:rsidR="00A315B9">
        <w:rPr>
          <w:rFonts w:hint="eastAsia" w:ascii="仿宋" w:hAnsi="仿宋" w:eastAsia="仿宋" w:cs="仿宋"/>
          <w:sz w:val="32"/>
          <w:szCs w:val="32"/>
        </w:rPr>
        <w:t>组获益更佳。</w:t>
      </w:r>
    </w:p>
    <w:p w:rsidRPr="003C684F" w:rsidR="00453D00" w:rsidP="00453D00" w:rsidRDefault="00453D00" w14:paraId="17C34359" w14:textId="54213C82">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7.尚未确定索拉非尼在18岁以下儿童和青少年患者中的安全性和有效性。</w:t>
      </w:r>
      <w:r w:rsidRPr="003C684F" w:rsidR="00722E76">
        <w:rPr>
          <w:rFonts w:hint="eastAsia" w:ascii="仿宋" w:hAnsi="仿宋" w:eastAsia="仿宋" w:cs="仿宋"/>
          <w:sz w:val="32"/>
          <w:szCs w:val="32"/>
        </w:rPr>
        <w:t>如经医师评估使用本品预期获益大于风险，推荐剂量为从80～120mg/次</w:t>
      </w:r>
      <w:r w:rsidRPr="003C684F" w:rsidR="00CA499E">
        <w:rPr>
          <w:rFonts w:hint="eastAsia" w:ascii="仿宋" w:hAnsi="仿宋" w:eastAsia="仿宋" w:cs="仿宋"/>
          <w:sz w:val="32"/>
          <w:szCs w:val="32"/>
        </w:rPr>
        <w:t>开始</w:t>
      </w:r>
      <w:r w:rsidRPr="003C684F" w:rsidR="00722E76">
        <w:rPr>
          <w:rFonts w:hint="eastAsia" w:ascii="仿宋" w:hAnsi="仿宋" w:eastAsia="仿宋" w:cs="仿宋"/>
          <w:sz w:val="32"/>
          <w:szCs w:val="32"/>
        </w:rPr>
        <w:t>，每天两次，口服。</w:t>
      </w:r>
    </w:p>
    <w:p w:rsidRPr="003C684F" w:rsidR="009730C1" w:rsidRDefault="00A315B9" w14:paraId="1E1630A6" w14:textId="77777777">
      <w:pPr>
        <w:widowControl/>
        <w:spacing w:line="360" w:lineRule="auto"/>
        <w:ind w:firstLine="640" w:firstLineChars="200"/>
        <w:jc w:val="left"/>
        <w:rPr>
          <w:rFonts w:ascii="黑体" w:hAnsi="黑体" w:eastAsia="黑体" w:cs="Times New Roman"/>
          <w:sz w:val="32"/>
          <w:szCs w:val="32"/>
        </w:rPr>
      </w:pPr>
      <w:r w:rsidRPr="003C684F">
        <w:rPr>
          <w:rFonts w:hint="eastAsia" w:ascii="黑体" w:hAnsi="黑体" w:eastAsia="黑体" w:cs="黑体"/>
          <w:sz w:val="32"/>
          <w:szCs w:val="32"/>
        </w:rPr>
        <w:t>二、瑞戈非尼 R</w:t>
      </w:r>
      <w:r w:rsidRPr="003C684F">
        <w:rPr>
          <w:rFonts w:ascii="黑体" w:hAnsi="黑体" w:eastAsia="黑体" w:cs="黑体"/>
          <w:sz w:val="32"/>
          <w:szCs w:val="32"/>
        </w:rPr>
        <w:t>egorafenib</w:t>
      </w:r>
    </w:p>
    <w:p w:rsidRPr="003C684F" w:rsidR="009730C1" w:rsidRDefault="00A315B9" w14:paraId="545505BA"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40mg</w:t>
      </w:r>
    </w:p>
    <w:p w:rsidRPr="003C684F" w:rsidR="009730C1" w:rsidRDefault="00A315B9" w14:paraId="5CC99DF7"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p>
    <w:p w:rsidRPr="003C684F" w:rsidR="009730C1" w:rsidRDefault="00A315B9" w14:paraId="3DBDEE10"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既往接受过索拉非尼治疗的肝细胞癌患者。</w:t>
      </w:r>
    </w:p>
    <w:p w:rsidRPr="003C684F" w:rsidR="009730C1" w:rsidRDefault="00A315B9" w14:paraId="3A62B3C7"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既往接受过伊马替尼及舒尼替尼治疗</w:t>
      </w:r>
      <w:r w:rsidRPr="003C684F">
        <w:rPr>
          <w:rFonts w:hint="eastAsia" w:ascii="仿宋" w:hAnsi="仿宋" w:eastAsia="仿宋" w:cs="仿宋"/>
          <w:w w:val="98"/>
          <w:sz w:val="32"/>
          <w:szCs w:val="32"/>
        </w:rPr>
        <w:t>的局部晚期的、无法手术切除的或转移性胃肠间质瘤患者。</w:t>
      </w:r>
    </w:p>
    <w:p w:rsidRPr="003C684F" w:rsidR="009730C1" w:rsidRDefault="00A315B9" w14:paraId="7797BC92"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既往接受过氟尿嘧啶、奥沙利铂和伊立替康为基础的化疗，以及既往接受过或不适合接受抗</w:t>
      </w:r>
      <w:r w:rsidRPr="003C684F">
        <w:rPr>
          <w:rFonts w:ascii="仿宋" w:hAnsi="仿宋" w:eastAsia="仿宋" w:cs="仿宋"/>
          <w:sz w:val="32"/>
          <w:szCs w:val="32"/>
        </w:rPr>
        <w:t>VEGF</w:t>
      </w:r>
      <w:r w:rsidRPr="003C684F">
        <w:rPr>
          <w:rFonts w:hint="eastAsia" w:ascii="仿宋" w:hAnsi="仿宋" w:eastAsia="仿宋" w:cs="仿宋"/>
          <w:sz w:val="32"/>
          <w:szCs w:val="32"/>
        </w:rPr>
        <w:t>治疗、抗</w:t>
      </w:r>
      <w:r w:rsidRPr="003C684F">
        <w:rPr>
          <w:rFonts w:ascii="仿宋" w:hAnsi="仿宋" w:eastAsia="仿宋" w:cs="仿宋"/>
          <w:sz w:val="32"/>
          <w:szCs w:val="32"/>
        </w:rPr>
        <w:t>EGFR</w:t>
      </w:r>
      <w:r w:rsidRPr="003C684F">
        <w:rPr>
          <w:rFonts w:hint="eastAsia" w:ascii="仿宋" w:hAnsi="仿宋" w:eastAsia="仿宋" w:cs="仿宋"/>
          <w:sz w:val="32"/>
          <w:szCs w:val="32"/>
        </w:rPr>
        <w:t>治疗（</w:t>
      </w:r>
      <w:r w:rsidRPr="003C684F">
        <w:rPr>
          <w:rFonts w:ascii="仿宋" w:hAnsi="仿宋" w:eastAsia="仿宋" w:cs="仿宋"/>
          <w:sz w:val="32"/>
          <w:szCs w:val="32"/>
        </w:rPr>
        <w:t>RAS</w:t>
      </w:r>
      <w:r w:rsidRPr="003C684F">
        <w:rPr>
          <w:rFonts w:hint="eastAsia" w:ascii="仿宋" w:hAnsi="仿宋" w:eastAsia="仿宋" w:cs="仿宋"/>
          <w:sz w:val="32"/>
          <w:szCs w:val="32"/>
        </w:rPr>
        <w:t>野生型）的转移性结直肠癌患者。</w:t>
      </w:r>
    </w:p>
    <w:p w:rsidRPr="003C684F" w:rsidR="009730C1" w:rsidRDefault="00A315B9" w14:paraId="132A20BB"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lastRenderedPageBreak/>
        <w:t>合理用药要点：</w:t>
      </w:r>
    </w:p>
    <w:p w:rsidRPr="003C684F" w:rsidR="009730C1" w:rsidRDefault="00A315B9" w14:paraId="52366ACB" w14:textId="0A69B92E">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进行基因检测。</w:t>
      </w:r>
    </w:p>
    <w:p w:rsidRPr="003C684F" w:rsidR="009730C1" w:rsidRDefault="00A315B9" w14:paraId="0CABC4D1" w14:textId="5FD8755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药品说明书推荐剂量为</w:t>
      </w:r>
      <w:r w:rsidRPr="003C684F">
        <w:rPr>
          <w:rFonts w:ascii="仿宋" w:hAnsi="仿宋" w:eastAsia="仿宋" w:cs="仿宋"/>
          <w:sz w:val="32"/>
          <w:szCs w:val="32"/>
        </w:rPr>
        <w:t>160mg</w:t>
      </w:r>
      <w:r w:rsidRPr="003C684F" w:rsidR="00730916">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730916">
        <w:rPr>
          <w:rFonts w:hint="eastAsia" w:ascii="仿宋" w:hAnsi="仿宋" w:eastAsia="仿宋" w:cs="仿宋"/>
          <w:sz w:val="32"/>
          <w:szCs w:val="32"/>
        </w:rPr>
        <w:t>口服，</w:t>
      </w:r>
      <w:r w:rsidRPr="003C684F" w:rsidR="00E24B73">
        <w:rPr>
          <w:rFonts w:hint="eastAsia" w:ascii="仿宋" w:hAnsi="仿宋" w:eastAsia="仿宋" w:cs="仿宋"/>
          <w:sz w:val="32"/>
          <w:szCs w:val="32"/>
        </w:rPr>
        <w:t>建议在低脂早餐</w:t>
      </w:r>
      <w:r w:rsidRPr="003C684F" w:rsidR="001543C4">
        <w:rPr>
          <w:rFonts w:hint="eastAsia" w:ascii="仿宋" w:hAnsi="仿宋" w:eastAsia="仿宋" w:cs="仿宋"/>
          <w:sz w:val="32"/>
          <w:szCs w:val="32"/>
        </w:rPr>
        <w:t>（</w:t>
      </w:r>
      <w:r w:rsidRPr="003C684F" w:rsidR="00E24B73">
        <w:rPr>
          <w:rFonts w:hint="eastAsia" w:ascii="仿宋" w:hAnsi="仿宋" w:eastAsia="仿宋" w:cs="仿宋"/>
          <w:sz w:val="32"/>
          <w:szCs w:val="32"/>
        </w:rPr>
        <w:t>脂肪含量30%</w:t>
      </w:r>
      <w:r w:rsidRPr="003C684F" w:rsidR="001543C4">
        <w:rPr>
          <w:rFonts w:hint="eastAsia" w:ascii="仿宋" w:hAnsi="仿宋" w:eastAsia="仿宋" w:cs="仿宋"/>
          <w:sz w:val="32"/>
          <w:szCs w:val="32"/>
        </w:rPr>
        <w:t>）</w:t>
      </w:r>
      <w:r w:rsidRPr="003C684F" w:rsidR="00E24B73">
        <w:rPr>
          <w:rFonts w:hint="eastAsia" w:ascii="仿宋" w:hAnsi="仿宋" w:eastAsia="仿宋" w:cs="仿宋"/>
          <w:sz w:val="32"/>
          <w:szCs w:val="32"/>
        </w:rPr>
        <w:t>后随水整片吞服，</w:t>
      </w:r>
      <w:r w:rsidRPr="003C684F">
        <w:rPr>
          <w:rFonts w:hint="eastAsia" w:ascii="仿宋" w:hAnsi="仿宋" w:eastAsia="仿宋" w:cs="仿宋"/>
          <w:sz w:val="32"/>
          <w:szCs w:val="32"/>
        </w:rPr>
        <w:t>用药</w:t>
      </w:r>
      <w:r w:rsidRPr="003C684F">
        <w:rPr>
          <w:rFonts w:ascii="仿宋" w:hAnsi="仿宋" w:eastAsia="仿宋" w:cs="仿宋"/>
          <w:sz w:val="32"/>
          <w:szCs w:val="32"/>
        </w:rPr>
        <w:t>3</w:t>
      </w:r>
      <w:r w:rsidRPr="003C684F">
        <w:rPr>
          <w:rFonts w:hint="eastAsia" w:ascii="仿宋" w:hAnsi="仿宋" w:eastAsia="仿宋" w:cs="仿宋"/>
          <w:sz w:val="32"/>
          <w:szCs w:val="32"/>
        </w:rPr>
        <w:t>周停药</w:t>
      </w:r>
      <w:r w:rsidRPr="003C684F">
        <w:rPr>
          <w:rFonts w:ascii="仿宋" w:hAnsi="仿宋" w:eastAsia="仿宋" w:cs="仿宋"/>
          <w:sz w:val="32"/>
          <w:szCs w:val="32"/>
        </w:rPr>
        <w:t>1</w:t>
      </w:r>
      <w:r w:rsidRPr="003C684F">
        <w:rPr>
          <w:rFonts w:hint="eastAsia" w:ascii="仿宋" w:hAnsi="仿宋" w:eastAsia="仿宋" w:cs="仿宋"/>
          <w:sz w:val="32"/>
          <w:szCs w:val="32"/>
        </w:rPr>
        <w:t>周。基于个人的安全及耐受性考虑，可能需要中</w:t>
      </w:r>
      <w:r w:rsidRPr="003C684F">
        <w:rPr>
          <w:rFonts w:hint="eastAsia" w:ascii="仿宋" w:hAnsi="仿宋" w:eastAsia="仿宋" w:cs="仿宋"/>
          <w:w w:val="97"/>
          <w:sz w:val="32"/>
          <w:szCs w:val="32"/>
        </w:rPr>
        <w:t>断或降低剂量，也可以考虑采用</w:t>
      </w:r>
      <w:r w:rsidRPr="003C684F">
        <w:rPr>
          <w:rFonts w:ascii="仿宋" w:hAnsi="仿宋" w:eastAsia="仿宋" w:cs="仿宋"/>
          <w:w w:val="97"/>
          <w:sz w:val="32"/>
          <w:szCs w:val="32"/>
        </w:rPr>
        <w:t>80</w:t>
      </w:r>
      <w:r w:rsidRPr="003C684F">
        <w:rPr>
          <w:rFonts w:hint="eastAsia" w:ascii="仿宋" w:hAnsi="仿宋" w:eastAsia="仿宋" w:cs="仿宋"/>
          <w:w w:val="97"/>
          <w:sz w:val="32"/>
          <w:szCs w:val="32"/>
        </w:rPr>
        <w:t>～</w:t>
      </w:r>
      <w:r w:rsidRPr="003C684F">
        <w:rPr>
          <w:rFonts w:ascii="仿宋" w:hAnsi="仿宋" w:eastAsia="仿宋" w:cs="仿宋"/>
          <w:w w:val="97"/>
          <w:sz w:val="32"/>
          <w:szCs w:val="32"/>
        </w:rPr>
        <w:t>120mg</w:t>
      </w:r>
      <w:r w:rsidRPr="003C684F" w:rsidR="00730916">
        <w:rPr>
          <w:rFonts w:hint="eastAsia" w:ascii="仿宋" w:hAnsi="仿宋" w:eastAsia="仿宋" w:cs="仿宋"/>
          <w:w w:val="97"/>
          <w:sz w:val="32"/>
          <w:szCs w:val="32"/>
        </w:rPr>
        <w:t>/次</w:t>
      </w:r>
      <w:r w:rsidRPr="003C684F">
        <w:rPr>
          <w:rFonts w:hint="eastAsia" w:ascii="仿宋" w:hAnsi="仿宋" w:eastAsia="仿宋" w:cs="仿宋"/>
          <w:w w:val="97"/>
          <w:sz w:val="32"/>
          <w:szCs w:val="32"/>
        </w:rPr>
        <w:t>起始剂量逐渐递增</w:t>
      </w:r>
      <w:r w:rsidRPr="003C684F" w:rsidR="00A52987">
        <w:rPr>
          <w:rFonts w:hint="eastAsia" w:ascii="仿宋" w:hAnsi="仿宋" w:eastAsia="仿宋" w:cs="仿宋"/>
          <w:w w:val="97"/>
          <w:sz w:val="32"/>
          <w:szCs w:val="32"/>
        </w:rPr>
        <w:t>，每天一次，连续服药</w:t>
      </w:r>
      <w:r w:rsidRPr="003C684F">
        <w:rPr>
          <w:rFonts w:hint="eastAsia" w:ascii="仿宋" w:hAnsi="仿宋" w:eastAsia="仿宋" w:cs="仿宋"/>
          <w:w w:val="97"/>
          <w:sz w:val="32"/>
          <w:szCs w:val="32"/>
        </w:rPr>
        <w:t>。</w:t>
      </w:r>
      <w:r w:rsidRPr="003C684F">
        <w:rPr>
          <w:rFonts w:hint="eastAsia" w:ascii="仿宋" w:hAnsi="仿宋" w:eastAsia="仿宋" w:cs="仿宋"/>
          <w:sz w:val="32"/>
          <w:szCs w:val="32"/>
        </w:rPr>
        <w:t>必须整片吞服，如果漏服或呕吐同一天内不得补服。</w:t>
      </w:r>
    </w:p>
    <w:p w:rsidRPr="003C684F" w:rsidR="009730C1" w:rsidRDefault="00A315B9" w14:paraId="34AA3BF3" w14:textId="34A307AC">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亚洲人群最常见不良反应为手足皮肤反应、</w:t>
      </w:r>
      <w:r w:rsidRPr="003C684F" w:rsidR="0047380C">
        <w:rPr>
          <w:rFonts w:hint="eastAsia" w:ascii="仿宋" w:hAnsi="仿宋" w:eastAsia="仿宋" w:cs="仿宋"/>
          <w:sz w:val="32"/>
          <w:szCs w:val="32"/>
        </w:rPr>
        <w:t>肝功能损伤</w:t>
      </w:r>
      <w:r w:rsidRPr="003C684F">
        <w:rPr>
          <w:rFonts w:hint="eastAsia" w:ascii="仿宋" w:hAnsi="仿宋" w:eastAsia="仿宋" w:cs="仿宋"/>
          <w:sz w:val="32"/>
          <w:szCs w:val="32"/>
        </w:rPr>
        <w:t>（高胆红素血症、ALT升高、AST升高）和高血压</w:t>
      </w:r>
      <w:r w:rsidRPr="003C684F">
        <w:rPr>
          <w:rFonts w:ascii="仿宋" w:hAnsi="仿宋" w:eastAsia="仿宋" w:cs="仿宋"/>
          <w:sz w:val="32"/>
          <w:szCs w:val="32"/>
        </w:rPr>
        <w:t>，</w:t>
      </w:r>
      <w:r w:rsidRPr="003C684F">
        <w:rPr>
          <w:rFonts w:hint="eastAsia" w:ascii="仿宋" w:hAnsi="仿宋" w:eastAsia="仿宋" w:cs="仿宋"/>
          <w:sz w:val="32"/>
          <w:szCs w:val="32"/>
        </w:rPr>
        <w:t>同时</w:t>
      </w:r>
      <w:r w:rsidRPr="003C684F">
        <w:rPr>
          <w:rFonts w:ascii="仿宋" w:hAnsi="仿宋" w:eastAsia="仿宋" w:cs="仿宋"/>
          <w:sz w:val="32"/>
          <w:szCs w:val="32"/>
        </w:rPr>
        <w:t>，</w:t>
      </w:r>
      <w:r w:rsidRPr="003C684F">
        <w:rPr>
          <w:rFonts w:hint="eastAsia" w:ascii="仿宋" w:hAnsi="仿宋" w:eastAsia="仿宋" w:cs="仿宋"/>
          <w:sz w:val="32"/>
          <w:szCs w:val="32"/>
        </w:rPr>
        <w:t>还要注意疼痛、乏力、腹泻、食欲下降及进食减少等不良反应；最严重的不良反应为重度肝功能损伤、出血、胃肠道穿孔及感染。</w:t>
      </w:r>
    </w:p>
    <w:p w:rsidRPr="003C684F" w:rsidR="009730C1" w:rsidRDefault="00A315B9" w14:paraId="01CAB1B2"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对瑞戈非尼任一活性物质或辅料有超敏反应的患者禁用。</w:t>
      </w:r>
    </w:p>
    <w:p w:rsidRPr="003C684F" w:rsidR="009730C1" w:rsidRDefault="00A315B9" w14:paraId="580FBA07" w14:textId="1CCDFEE1">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避免</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CYP3A4强效</w:t>
      </w:r>
      <w:r w:rsidRPr="003C684F" w:rsidR="00366291">
        <w:rPr>
          <w:rFonts w:hint="eastAsia" w:ascii="仿宋" w:hAnsi="仿宋" w:eastAsia="仿宋" w:cs="仿宋"/>
          <w:sz w:val="32"/>
          <w:szCs w:val="32"/>
        </w:rPr>
        <w:t>诱导剂或抑制剂</w:t>
      </w:r>
      <w:r w:rsidRPr="003C684F">
        <w:rPr>
          <w:rFonts w:hint="eastAsia" w:ascii="仿宋" w:hAnsi="仿宋" w:eastAsia="仿宋" w:cs="仿宋"/>
          <w:sz w:val="32"/>
          <w:szCs w:val="32"/>
        </w:rPr>
        <w:t>，</w:t>
      </w:r>
      <w:r w:rsidRPr="003C684F" w:rsidR="00F02A49">
        <w:rPr>
          <w:rFonts w:hint="eastAsia" w:ascii="仿宋" w:hAnsi="仿宋" w:eastAsia="仿宋" w:cs="仿宋"/>
          <w:sz w:val="32"/>
          <w:szCs w:val="32"/>
        </w:rPr>
        <w:t>瑞戈非尼及其活性代谢物为UGT1A1和UGT1A9抑制剂，联合使用伊立替康，</w:t>
      </w:r>
      <w:r w:rsidRPr="003C684F" w:rsidR="0072200E">
        <w:rPr>
          <w:rFonts w:hint="eastAsia" w:ascii="仿宋" w:hAnsi="仿宋" w:eastAsia="仿宋" w:cs="仿宋"/>
          <w:sz w:val="32"/>
          <w:szCs w:val="32"/>
        </w:rPr>
        <w:t>可能增加</w:t>
      </w:r>
      <w:r w:rsidRPr="003C684F" w:rsidR="00F02A49">
        <w:rPr>
          <w:rFonts w:hint="eastAsia" w:ascii="仿宋" w:hAnsi="仿宋" w:eastAsia="仿宋" w:cs="仿宋"/>
          <w:sz w:val="32"/>
          <w:szCs w:val="32"/>
        </w:rPr>
        <w:t>伊立替康活性代谢物SN-38</w:t>
      </w:r>
      <w:r w:rsidRPr="003C684F" w:rsidR="0072200E">
        <w:rPr>
          <w:rFonts w:hint="eastAsia" w:ascii="仿宋" w:hAnsi="仿宋" w:eastAsia="仿宋" w:cs="仿宋"/>
          <w:sz w:val="32"/>
          <w:szCs w:val="32"/>
        </w:rPr>
        <w:t>的</w:t>
      </w:r>
      <w:r w:rsidRPr="003C684F" w:rsidR="00F02A49">
        <w:rPr>
          <w:rFonts w:hint="eastAsia" w:ascii="仿宋" w:hAnsi="仿宋" w:eastAsia="仿宋" w:cs="仿宋"/>
          <w:sz w:val="32"/>
          <w:szCs w:val="32"/>
        </w:rPr>
        <w:t>全身暴露量。</w:t>
      </w:r>
    </w:p>
    <w:p w:rsidRPr="003C684F" w:rsidR="00C40C31" w:rsidRDefault="00C40C31" w14:paraId="40D346A7" w14:textId="13A0835B">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6.建议在开始瑞戈非尼治疗之前进行肝功能检查（ALT、AST及胆红素），并在治疗开始的2月内严密监测肝功能（至少两周一次）。</w:t>
      </w:r>
    </w:p>
    <w:p w:rsidRPr="003C684F" w:rsidR="009730C1" w:rsidRDefault="00A315B9" w14:paraId="6E607981" w14:textId="77777777">
      <w:pPr>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三、仑伐替尼 L</w:t>
      </w:r>
      <w:r w:rsidRPr="003C684F">
        <w:rPr>
          <w:rFonts w:ascii="黑体" w:hAnsi="黑体" w:eastAsia="黑体"/>
          <w:color w:val="000000"/>
          <w:sz w:val="32"/>
          <w:szCs w:val="32"/>
        </w:rPr>
        <w:t>envatinib</w:t>
      </w:r>
    </w:p>
    <w:p w:rsidRPr="003C684F" w:rsidR="009730C1" w:rsidRDefault="00A315B9" w14:paraId="06224E57"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制剂与规格：</w:t>
      </w:r>
      <w:r w:rsidRPr="003C684F">
        <w:rPr>
          <w:rFonts w:hint="eastAsia" w:ascii="仿宋" w:hAnsi="仿宋" w:eastAsia="仿宋"/>
          <w:color w:val="000000"/>
          <w:sz w:val="32"/>
          <w:szCs w:val="32"/>
        </w:rPr>
        <w:t>胶囊：4mg、10mg</w:t>
      </w:r>
    </w:p>
    <w:p w:rsidRPr="003C684F" w:rsidR="009730C1" w:rsidRDefault="00A315B9" w14:paraId="6D241879"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既往未接受过全身系统治疗的不可切除的肝细胞癌患者。</w:t>
      </w:r>
    </w:p>
    <w:p w:rsidRPr="003C684F" w:rsidR="009730C1" w:rsidRDefault="00A315B9" w14:paraId="1CCBD4FE"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2B6D1A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期间最常见的不良反应有高血压、疲乏、腹泻、食欲下降、体重降低、关节痛/肌痛、腹痛、掌跖红肿综合征、蛋白尿、出血事件、发音困难、甲状腺功能减退、恶心，严重的不良反应包括肝衰竭、脑出血、呼吸衰竭。</w:t>
      </w:r>
    </w:p>
    <w:p w:rsidRPr="003C684F" w:rsidR="004D336E" w:rsidP="004D336E" w:rsidRDefault="004D336E" w14:paraId="138C357B" w14:textId="0F1706B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2.治疗之前，控制高血压症状，出现3级高血压应暂停用药，如果出现严重、威胁生命的高血压则终止治疗。</w:t>
      </w:r>
    </w:p>
    <w:p w:rsidRPr="003C684F" w:rsidR="009730C1" w:rsidRDefault="004D336E" w14:paraId="4A95515A" w14:textId="2D72F24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r w:rsidRPr="003C684F" w:rsidR="00A315B9">
        <w:rPr>
          <w:rFonts w:hint="eastAsia" w:ascii="仿宋" w:hAnsi="仿宋" w:eastAsia="仿宋"/>
          <w:color w:val="000000"/>
          <w:sz w:val="32"/>
          <w:szCs w:val="32"/>
        </w:rPr>
        <w:t>.与甲状腺癌和肾癌不同，仑伐替尼在肝癌的药代动力学在临床上受到体重的显著影响：对于体重＜60kg的患者，推荐剂量为8mg</w:t>
      </w:r>
      <w:r w:rsidRPr="003C684F" w:rsidR="00D41D04">
        <w:rPr>
          <w:rFonts w:hint="eastAsia" w:ascii="仿宋" w:hAnsi="仿宋" w:eastAsia="仿宋"/>
          <w:color w:val="000000"/>
          <w:sz w:val="32"/>
          <w:szCs w:val="32"/>
        </w:rPr>
        <w:t>/次</w:t>
      </w:r>
      <w:r w:rsidRPr="003C684F" w:rsidR="00A315B9">
        <w:rPr>
          <w:rFonts w:hint="eastAsia" w:ascii="仿宋" w:hAnsi="仿宋" w:eastAsia="仿宋"/>
          <w:color w:val="000000"/>
          <w:sz w:val="32"/>
          <w:szCs w:val="32"/>
        </w:rPr>
        <w:t>，每天一次</w:t>
      </w:r>
      <w:r w:rsidRPr="003C684F" w:rsidR="00D41D04">
        <w:rPr>
          <w:rFonts w:hint="eastAsia" w:ascii="仿宋" w:hAnsi="仿宋" w:eastAsia="仿宋"/>
          <w:color w:val="000000"/>
          <w:sz w:val="32"/>
          <w:szCs w:val="32"/>
        </w:rPr>
        <w:t>，口服</w:t>
      </w:r>
      <w:r w:rsidRPr="003C684F" w:rsidR="00A315B9">
        <w:rPr>
          <w:rFonts w:hint="eastAsia" w:ascii="仿宋" w:hAnsi="仿宋" w:eastAsia="仿宋"/>
          <w:color w:val="000000"/>
          <w:sz w:val="32"/>
          <w:szCs w:val="32"/>
        </w:rPr>
        <w:t>；对于体重＞60kg的患者，推荐剂量为12mg</w:t>
      </w:r>
      <w:r w:rsidRPr="003C684F" w:rsidR="00D41D04">
        <w:rPr>
          <w:rFonts w:hint="eastAsia" w:ascii="仿宋" w:hAnsi="仿宋" w:eastAsia="仿宋"/>
          <w:color w:val="000000"/>
          <w:sz w:val="32"/>
          <w:szCs w:val="32"/>
        </w:rPr>
        <w:t>/次</w:t>
      </w:r>
      <w:r w:rsidRPr="003C684F" w:rsidR="00A315B9">
        <w:rPr>
          <w:rFonts w:hint="eastAsia" w:ascii="仿宋" w:hAnsi="仿宋" w:eastAsia="仿宋"/>
          <w:color w:val="000000"/>
          <w:sz w:val="32"/>
          <w:szCs w:val="32"/>
        </w:rPr>
        <w:t>，每天一次</w:t>
      </w:r>
      <w:r w:rsidRPr="003C684F" w:rsidR="00D41D04">
        <w:rPr>
          <w:rFonts w:hint="eastAsia" w:ascii="仿宋" w:hAnsi="仿宋" w:eastAsia="仿宋"/>
          <w:color w:val="000000"/>
          <w:sz w:val="32"/>
          <w:szCs w:val="32"/>
        </w:rPr>
        <w:t>，口服</w:t>
      </w:r>
      <w:r w:rsidRPr="003C684F" w:rsidR="00A315B9">
        <w:rPr>
          <w:rFonts w:hint="eastAsia" w:ascii="仿宋" w:hAnsi="仿宋" w:eastAsia="仿宋"/>
          <w:color w:val="000000"/>
          <w:sz w:val="32"/>
          <w:szCs w:val="32"/>
        </w:rPr>
        <w:t>。</w:t>
      </w:r>
    </w:p>
    <w:p w:rsidRPr="003C684F" w:rsidR="009730C1" w:rsidRDefault="004D336E" w14:paraId="5D5EBC31" w14:textId="221FAB4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w:t>
      </w:r>
      <w:r w:rsidRPr="003C684F" w:rsidR="00A315B9">
        <w:rPr>
          <w:rFonts w:hint="eastAsia" w:ascii="仿宋" w:hAnsi="仿宋" w:eastAsia="仿宋"/>
          <w:color w:val="000000"/>
          <w:sz w:val="32"/>
          <w:szCs w:val="32"/>
        </w:rPr>
        <w:t>.仑伐替尼应在每天固定时间服用，空腹或与食物同服均可。如果患者遗漏一次用药且无法在12小时内服用，</w:t>
      </w:r>
      <w:r w:rsidRPr="003C684F" w:rsidR="00BD154E">
        <w:rPr>
          <w:rFonts w:hint="eastAsia" w:ascii="仿宋" w:hAnsi="仿宋" w:eastAsia="仿宋"/>
          <w:color w:val="000000"/>
          <w:sz w:val="32"/>
          <w:szCs w:val="32"/>
        </w:rPr>
        <w:t>无需</w:t>
      </w:r>
      <w:r w:rsidRPr="003C684F" w:rsidR="00A315B9">
        <w:rPr>
          <w:rFonts w:hint="eastAsia" w:ascii="仿宋" w:hAnsi="仿宋" w:eastAsia="仿宋"/>
          <w:color w:val="000000"/>
          <w:sz w:val="32"/>
          <w:szCs w:val="32"/>
        </w:rPr>
        <w:t>补服，应按常规用药时间进行下一次服药。</w:t>
      </w:r>
      <w:r w:rsidRPr="003C684F">
        <w:rPr>
          <w:rFonts w:hint="eastAsia" w:ascii="仿宋" w:hAnsi="仿宋" w:eastAsia="仿宋"/>
          <w:color w:val="000000"/>
          <w:sz w:val="32"/>
          <w:szCs w:val="32"/>
        </w:rPr>
        <w:t>切记不可一次服用两倍剂量，以免引起毒性反应。</w:t>
      </w:r>
    </w:p>
    <w:p w:rsidRPr="003C684F" w:rsidR="009730C1" w:rsidRDefault="00A315B9" w14:paraId="16667D1E" w14:textId="1CF1D0DF">
      <w:pPr>
        <w:ind w:firstLine="640" w:firstLineChars="200"/>
        <w:rPr>
          <w:rFonts w:ascii="黑体" w:hAnsi="黑体" w:eastAsia="黑体"/>
          <w:sz w:val="32"/>
          <w:szCs w:val="32"/>
        </w:rPr>
      </w:pPr>
      <w:r w:rsidRPr="003C684F">
        <w:rPr>
          <w:rFonts w:ascii="黑体" w:hAnsi="黑体" w:eastAsia="黑体"/>
          <w:sz w:val="32"/>
          <w:szCs w:val="32"/>
        </w:rPr>
        <w:t>四、多纳非尼</w:t>
      </w:r>
      <w:r w:rsidRPr="003C684F" w:rsidR="00F77194">
        <w:rPr>
          <w:rFonts w:hint="eastAsia" w:ascii="黑体" w:hAnsi="黑体" w:eastAsia="黑体"/>
          <w:sz w:val="32"/>
          <w:szCs w:val="32"/>
        </w:rPr>
        <w:t xml:space="preserve"> </w:t>
      </w:r>
      <w:r w:rsidRPr="003C684F">
        <w:rPr>
          <w:rFonts w:ascii="黑体" w:hAnsi="黑体" w:eastAsia="黑体"/>
          <w:sz w:val="32"/>
          <w:szCs w:val="32"/>
        </w:rPr>
        <w:t>Donafenib</w:t>
      </w:r>
    </w:p>
    <w:p w:rsidRPr="003C684F" w:rsidR="009730C1" w:rsidRDefault="00A315B9" w14:paraId="74DAAF27" w14:textId="2C8B60AE">
      <w:pPr>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cs="仿宋"/>
          <w:sz w:val="32"/>
          <w:szCs w:val="32"/>
        </w:rPr>
        <w:t>片剂：</w:t>
      </w:r>
      <w:r w:rsidRPr="003C684F" w:rsidR="00C85BA9">
        <w:rPr>
          <w:rFonts w:hint="eastAsia" w:ascii="仿宋" w:hAnsi="仿宋" w:eastAsia="仿宋" w:cs="仿宋"/>
          <w:sz w:val="32"/>
          <w:szCs w:val="32"/>
        </w:rPr>
        <w:t>100m</w:t>
      </w:r>
      <w:r w:rsidRPr="003C684F">
        <w:rPr>
          <w:rFonts w:ascii="仿宋" w:hAnsi="仿宋" w:eastAsia="仿宋" w:cs="仿宋"/>
          <w:sz w:val="32"/>
          <w:szCs w:val="32"/>
        </w:rPr>
        <w:t>g</w:t>
      </w:r>
    </w:p>
    <w:p w:rsidRPr="003C684F" w:rsidR="009730C1" w:rsidRDefault="00A315B9" w14:paraId="047E6169" w14:textId="77777777">
      <w:pPr>
        <w:ind w:firstLine="643" w:firstLineChars="200"/>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cs="仿宋"/>
          <w:sz w:val="32"/>
          <w:szCs w:val="32"/>
        </w:rPr>
        <w:t>既往未接受过全身系统性治疗的不可切除肝细胞癌患者。</w:t>
      </w:r>
    </w:p>
    <w:p w:rsidRPr="003C684F" w:rsidR="009730C1" w:rsidRDefault="00A315B9" w14:paraId="7F6B9E88" w14:textId="77777777">
      <w:pPr>
        <w:ind w:firstLine="643" w:firstLineChars="200"/>
        <w:rPr>
          <w:rFonts w:ascii="仿宋" w:hAnsi="仿宋" w:eastAsia="仿宋"/>
          <w:b/>
          <w:sz w:val="32"/>
          <w:szCs w:val="32"/>
        </w:rPr>
      </w:pPr>
      <w:r w:rsidRPr="003C684F">
        <w:rPr>
          <w:rFonts w:hint="eastAsia" w:ascii="仿宋" w:hAnsi="仿宋" w:eastAsia="仿宋"/>
          <w:b/>
          <w:sz w:val="32"/>
          <w:szCs w:val="32"/>
        </w:rPr>
        <w:lastRenderedPageBreak/>
        <w:t xml:space="preserve">合理用药要点： </w:t>
      </w:r>
    </w:p>
    <w:p w:rsidRPr="003C684F" w:rsidR="00730E79" w:rsidRDefault="00A315B9" w14:paraId="49E37D4F" w14:textId="7A34DA44">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1.用药期间最常见的不良反应有手足皮肤反应、腹泻、</w:t>
      </w:r>
      <w:r w:rsidRPr="003C684F" w:rsidR="00AA068D">
        <w:rPr>
          <w:rFonts w:hint="eastAsia" w:ascii="仿宋" w:hAnsi="仿宋" w:eastAsia="仿宋" w:cs="仿宋"/>
          <w:sz w:val="32"/>
          <w:szCs w:val="32"/>
        </w:rPr>
        <w:t>血小板减少症</w:t>
      </w:r>
      <w:r w:rsidRPr="003C684F">
        <w:rPr>
          <w:rFonts w:hint="eastAsia" w:ascii="仿宋" w:hAnsi="仿宋" w:eastAsia="仿宋" w:cs="仿宋"/>
          <w:sz w:val="32"/>
          <w:szCs w:val="32"/>
        </w:rPr>
        <w:t>、高血压、</w:t>
      </w:r>
      <w:r w:rsidR="003D2DDC">
        <w:rPr>
          <w:rFonts w:hint="eastAsia" w:ascii="仿宋" w:hAnsi="仿宋" w:eastAsia="仿宋" w:cs="仿宋"/>
          <w:sz w:val="32"/>
          <w:szCs w:val="32"/>
        </w:rPr>
        <w:t>AST</w:t>
      </w:r>
      <w:r w:rsidRPr="003C684F">
        <w:rPr>
          <w:rFonts w:hint="eastAsia" w:ascii="仿宋" w:hAnsi="仿宋" w:eastAsia="仿宋" w:cs="仿宋"/>
          <w:sz w:val="32"/>
          <w:szCs w:val="32"/>
        </w:rPr>
        <w:t>升高、脱发、皮疹和蛋白尿。</w:t>
      </w:r>
      <w:r w:rsidRPr="003C684F" w:rsidR="00730E79">
        <w:rPr>
          <w:rFonts w:hint="eastAsia" w:ascii="仿宋" w:hAnsi="仿宋" w:eastAsia="仿宋" w:cs="仿宋"/>
          <w:sz w:val="32"/>
          <w:szCs w:val="32"/>
        </w:rPr>
        <w:t>服用多纳非尼的患者高血压的发生率会增加，对于已知患有高血压的患者,在接受本品治疗之前,血压应得到良好控制。在本品治疗期间,应定期进行血压监测,处于正常范围外的任何血压必须严密监测。当给予了最佳降压疗法后高血压仍</w:t>
      </w:r>
      <w:r w:rsidR="003D2DDC">
        <w:rPr>
          <w:rFonts w:hint="eastAsia" w:ascii="仿宋" w:hAnsi="仿宋" w:eastAsia="仿宋" w:cs="仿宋"/>
          <w:sz w:val="32"/>
          <w:szCs w:val="32"/>
        </w:rPr>
        <w:t>为</w:t>
      </w:r>
      <w:r w:rsidRPr="003C684F" w:rsidR="00730E79">
        <w:rPr>
          <w:rFonts w:hint="eastAsia" w:ascii="仿宋" w:hAnsi="仿宋" w:eastAsia="仿宋" w:cs="仿宋"/>
          <w:sz w:val="32"/>
          <w:szCs w:val="32"/>
        </w:rPr>
        <w:t>3级及以上时,必须对本品进行剂量调整。出现危及生命的高血压（恶性高血压、神经功能障碍或高血压危象</w:t>
      </w:r>
      <w:r w:rsidRPr="003C684F" w:rsidR="001543C4">
        <w:rPr>
          <w:rFonts w:hint="eastAsia" w:ascii="仿宋" w:hAnsi="仿宋" w:eastAsia="仿宋" w:cs="仿宋"/>
          <w:sz w:val="32"/>
          <w:szCs w:val="32"/>
        </w:rPr>
        <w:t>）</w:t>
      </w:r>
      <w:r w:rsidRPr="003C684F" w:rsidR="00730E79">
        <w:rPr>
          <w:rFonts w:hint="eastAsia" w:ascii="仿宋" w:hAnsi="仿宋" w:eastAsia="仿宋" w:cs="仿宋"/>
          <w:sz w:val="32"/>
          <w:szCs w:val="32"/>
        </w:rPr>
        <w:t>,应马上停用本品并采取干预措施。</w:t>
      </w:r>
    </w:p>
    <w:p w:rsidRPr="003C684F" w:rsidR="009730C1" w:rsidRDefault="00730E79" w14:paraId="5EADB9BF" w14:textId="65B6AF6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2.为预防出血,建议对需要接受大手术的患者暂停用药。对于大手术后何时重新使用本品的临床经验有限,因此应根据患者的伤口愈合程度,由临床医生判断是否重新开始给药。</w:t>
      </w:r>
    </w:p>
    <w:p w:rsidRPr="003C684F" w:rsidR="009730C1" w:rsidRDefault="00730E79" w14:paraId="49BBB56B" w14:textId="05CFB29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sidR="00A315B9">
        <w:rPr>
          <w:rFonts w:hint="eastAsia" w:ascii="仿宋" w:hAnsi="仿宋" w:eastAsia="仿宋" w:cs="仿宋"/>
          <w:sz w:val="32"/>
          <w:szCs w:val="32"/>
        </w:rPr>
        <w:t>.推荐剂量为</w:t>
      </w:r>
      <w:r w:rsidRPr="003C684F" w:rsidR="00010164">
        <w:rPr>
          <w:rFonts w:hint="eastAsia" w:ascii="仿宋" w:hAnsi="仿宋" w:eastAsia="仿宋" w:cs="仿宋"/>
          <w:sz w:val="32"/>
          <w:szCs w:val="32"/>
        </w:rPr>
        <w:t>200m</w:t>
      </w:r>
      <w:r w:rsidRPr="003C684F" w:rsidR="00010164">
        <w:rPr>
          <w:rFonts w:ascii="仿宋" w:hAnsi="仿宋" w:eastAsia="仿宋" w:cs="仿宋"/>
          <w:sz w:val="32"/>
          <w:szCs w:val="32"/>
        </w:rPr>
        <w:t>g</w:t>
      </w:r>
      <w:r w:rsidRPr="003C684F" w:rsidR="00010164">
        <w:rPr>
          <w:rFonts w:hint="eastAsia" w:ascii="仿宋" w:hAnsi="仿宋" w:eastAsia="仿宋" w:cs="仿宋"/>
          <w:sz w:val="32"/>
          <w:szCs w:val="32"/>
        </w:rPr>
        <w:t>/次</w:t>
      </w:r>
      <w:r w:rsidRPr="003C684F" w:rsidR="00A315B9">
        <w:rPr>
          <w:rFonts w:hint="eastAsia" w:ascii="仿宋" w:hAnsi="仿宋" w:eastAsia="仿宋" w:cs="仿宋"/>
          <w:sz w:val="32"/>
          <w:szCs w:val="32"/>
        </w:rPr>
        <w:t>，每天两次，空腹口服，以温开水吞服。建议每天</w:t>
      </w:r>
      <w:r w:rsidRPr="003C684F" w:rsidR="00D36563">
        <w:rPr>
          <w:rFonts w:hint="eastAsia" w:ascii="仿宋" w:hAnsi="仿宋" w:eastAsia="仿宋" w:cs="仿宋"/>
          <w:sz w:val="32"/>
          <w:szCs w:val="32"/>
        </w:rPr>
        <w:t>同一时间</w:t>
      </w:r>
      <w:r w:rsidRPr="003C684F" w:rsidR="00A315B9">
        <w:rPr>
          <w:rFonts w:hint="eastAsia" w:ascii="仿宋" w:hAnsi="仿宋" w:eastAsia="仿宋" w:cs="仿宋"/>
          <w:sz w:val="32"/>
          <w:szCs w:val="32"/>
        </w:rPr>
        <w:t>服药，如果漏服药物，</w:t>
      </w:r>
      <w:r w:rsidRPr="003C684F" w:rsidR="00BD154E">
        <w:rPr>
          <w:rFonts w:hint="eastAsia" w:ascii="仿宋" w:hAnsi="仿宋" w:eastAsia="仿宋" w:cs="仿宋"/>
          <w:sz w:val="32"/>
          <w:szCs w:val="32"/>
        </w:rPr>
        <w:t>无需</w:t>
      </w:r>
      <w:r w:rsidRPr="003C684F" w:rsidR="00A315B9">
        <w:rPr>
          <w:rFonts w:hint="eastAsia" w:ascii="仿宋" w:hAnsi="仿宋" w:eastAsia="仿宋" w:cs="仿宋"/>
          <w:sz w:val="32"/>
          <w:szCs w:val="32"/>
        </w:rPr>
        <w:t>补服，应按常规用药时间进行下一次服药。</w:t>
      </w:r>
    </w:p>
    <w:p w:rsidRPr="003C684F" w:rsidR="009730C1" w:rsidRDefault="00730E79" w14:paraId="412BAC54" w14:textId="7B2BAD84">
      <w:pPr>
        <w:ind w:firstLine="640" w:firstLineChars="200"/>
        <w:rPr>
          <w:rFonts w:ascii="仿宋" w:hAnsi="仿宋" w:eastAsia="仿宋"/>
          <w:sz w:val="32"/>
          <w:szCs w:val="32"/>
        </w:rPr>
      </w:pPr>
      <w:r w:rsidRPr="003C684F">
        <w:rPr>
          <w:rFonts w:hint="eastAsia" w:ascii="仿宋" w:hAnsi="仿宋" w:eastAsia="仿宋" w:cs="仿宋"/>
          <w:sz w:val="32"/>
          <w:szCs w:val="32"/>
        </w:rPr>
        <w:t>4</w:t>
      </w:r>
      <w:r w:rsidRPr="003C684F" w:rsidR="00A315B9">
        <w:rPr>
          <w:rFonts w:hint="eastAsia" w:ascii="仿宋" w:hAnsi="仿宋" w:eastAsia="仿宋" w:cs="仿宋"/>
          <w:sz w:val="32"/>
          <w:szCs w:val="32"/>
        </w:rPr>
        <w:t>.体外研究提示，多纳非尼主要通过CYP3A4和UGTIA9代谢，此外CYP1B1、CYP2C8、CYP2C9、CYP2C19、CYP2D6和CYP3A5也部分参与多纳非尼的代谢。</w:t>
      </w:r>
      <w:r w:rsidRPr="003C684F" w:rsidR="00DE313C">
        <w:rPr>
          <w:rFonts w:hint="eastAsia" w:ascii="仿宋" w:hAnsi="仿宋" w:eastAsia="仿宋" w:cs="仿宋"/>
          <w:sz w:val="32"/>
          <w:szCs w:val="32"/>
        </w:rPr>
        <w:t>联合使用</w:t>
      </w:r>
      <w:r w:rsidRPr="003C684F" w:rsidR="00A315B9">
        <w:rPr>
          <w:rFonts w:hint="eastAsia" w:ascii="仿宋" w:hAnsi="仿宋" w:eastAsia="仿宋" w:cs="仿宋"/>
          <w:sz w:val="32"/>
          <w:szCs w:val="32"/>
        </w:rPr>
        <w:t>相关代谢酶的抑制剂或诱导剂时应当谨慎。</w:t>
      </w:r>
    </w:p>
    <w:p w:rsidRPr="003C684F" w:rsidR="009730C1" w:rsidRDefault="00A315B9" w14:paraId="437EDFEB" w14:textId="77777777">
      <w:pPr>
        <w:spacing w:line="360" w:lineRule="auto"/>
        <w:ind w:firstLine="640" w:firstLineChars="200"/>
        <w:rPr>
          <w:rFonts w:ascii="黑体" w:hAnsi="黑体" w:eastAsia="黑体"/>
          <w:sz w:val="32"/>
          <w:szCs w:val="32"/>
        </w:rPr>
      </w:pPr>
      <w:r w:rsidRPr="003C684F">
        <w:rPr>
          <w:rFonts w:hint="eastAsia" w:ascii="黑体" w:hAnsi="黑体" w:eastAsia="黑体"/>
          <w:sz w:val="32"/>
          <w:szCs w:val="32"/>
        </w:rPr>
        <w:t>五、阿替利珠单抗 Atezolizumab</w:t>
      </w:r>
    </w:p>
    <w:p w:rsidRPr="003C684F" w:rsidR="009730C1" w:rsidRDefault="00A315B9" w14:paraId="75610632"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注射</w:t>
      </w:r>
      <w:r w:rsidRPr="003C684F" w:rsidR="00C075B4">
        <w:rPr>
          <w:rFonts w:hint="eastAsia" w:ascii="仿宋" w:hAnsi="仿宋" w:eastAsia="仿宋"/>
          <w:sz w:val="32"/>
          <w:szCs w:val="32"/>
        </w:rPr>
        <w:t>剂</w:t>
      </w:r>
      <w:r w:rsidRPr="003C684F">
        <w:rPr>
          <w:rFonts w:hint="eastAsia" w:ascii="仿宋" w:hAnsi="仿宋" w:eastAsia="仿宋"/>
          <w:sz w:val="32"/>
          <w:szCs w:val="32"/>
        </w:rPr>
        <w:t>：1200mg（20ml）/瓶</w:t>
      </w:r>
    </w:p>
    <w:p w:rsidRPr="003C684F" w:rsidR="009730C1" w:rsidRDefault="00A315B9" w14:paraId="2637A57A"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lastRenderedPageBreak/>
        <w:t>适应证：</w:t>
      </w:r>
      <w:r w:rsidRPr="003C684F">
        <w:rPr>
          <w:rFonts w:hint="eastAsia" w:ascii="仿宋" w:hAnsi="仿宋" w:eastAsia="仿宋"/>
          <w:sz w:val="32"/>
          <w:szCs w:val="32"/>
        </w:rPr>
        <w:t>阿替利珠单抗联合贝伐珠单抗治疗既往未接受过全身系统性治疗的不可切除肝细胞癌患者。</w:t>
      </w:r>
    </w:p>
    <w:p w:rsidRPr="003C684F" w:rsidR="009730C1" w:rsidRDefault="00A315B9" w14:paraId="3FD3EFCB" w14:textId="77777777">
      <w:pPr>
        <w:spacing w:line="360" w:lineRule="auto"/>
        <w:ind w:firstLine="643" w:firstLineChars="200"/>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40A31A9C" w14:textId="5591FB36">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1.阿替利珠单抗与贝伐珠单抗</w:t>
      </w:r>
      <w:r w:rsidRPr="003C684F" w:rsidR="00F92328">
        <w:rPr>
          <w:rFonts w:hint="eastAsia" w:ascii="仿宋" w:hAnsi="仿宋" w:eastAsia="仿宋"/>
          <w:sz w:val="32"/>
          <w:szCs w:val="32"/>
        </w:rPr>
        <w:t>联合使用</w:t>
      </w:r>
      <w:r w:rsidRPr="003C684F">
        <w:rPr>
          <w:rFonts w:hint="eastAsia" w:ascii="仿宋" w:hAnsi="仿宋" w:eastAsia="仿宋"/>
          <w:sz w:val="32"/>
          <w:szCs w:val="32"/>
        </w:rPr>
        <w:t>基于IMbrave150研究：首先阿替利珠单抗，推荐剂量为1200mg</w:t>
      </w:r>
      <w:r w:rsidRPr="003C684F" w:rsidR="00DF20B9">
        <w:rPr>
          <w:rFonts w:hint="eastAsia" w:ascii="仿宋" w:hAnsi="仿宋" w:eastAsia="仿宋"/>
          <w:sz w:val="32"/>
          <w:szCs w:val="32"/>
        </w:rPr>
        <w:t>/次</w:t>
      </w:r>
      <w:r w:rsidRPr="003C684F">
        <w:rPr>
          <w:rFonts w:hint="eastAsia" w:ascii="仿宋" w:hAnsi="仿宋" w:eastAsia="仿宋"/>
          <w:sz w:val="32"/>
          <w:szCs w:val="32"/>
        </w:rPr>
        <w:t>，</w:t>
      </w:r>
      <w:r w:rsidRPr="003C684F" w:rsidR="00DF20B9">
        <w:rPr>
          <w:rFonts w:hint="eastAsia" w:ascii="仿宋" w:hAnsi="仿宋" w:eastAsia="仿宋"/>
          <w:sz w:val="32"/>
          <w:szCs w:val="32"/>
        </w:rPr>
        <w:t>静脉输注，</w:t>
      </w:r>
      <w:r w:rsidRPr="003C684F">
        <w:rPr>
          <w:rFonts w:hint="eastAsia" w:ascii="仿宋" w:hAnsi="仿宋" w:eastAsia="仿宋"/>
          <w:sz w:val="32"/>
          <w:szCs w:val="32"/>
        </w:rPr>
        <w:t>继之以贝伐珠单抗15mg/kg</w:t>
      </w:r>
      <w:r w:rsidRPr="003C684F" w:rsidR="00DF20B9">
        <w:rPr>
          <w:rFonts w:hint="eastAsia" w:ascii="仿宋" w:hAnsi="仿宋" w:eastAsia="仿宋"/>
          <w:sz w:val="32"/>
          <w:szCs w:val="32"/>
        </w:rPr>
        <w:t>，静脉输注</w:t>
      </w:r>
      <w:r w:rsidRPr="003C684F">
        <w:rPr>
          <w:rFonts w:hint="eastAsia" w:ascii="仿宋" w:hAnsi="仿宋" w:eastAsia="仿宋"/>
          <w:sz w:val="32"/>
          <w:szCs w:val="32"/>
        </w:rPr>
        <w:t>。该方案</w:t>
      </w:r>
      <w:r w:rsidRPr="003C684F" w:rsidR="0071399F">
        <w:rPr>
          <w:rFonts w:hint="eastAsia" w:ascii="仿宋" w:hAnsi="仿宋" w:eastAsia="仿宋"/>
          <w:sz w:val="32"/>
          <w:szCs w:val="32"/>
        </w:rPr>
        <w:t>每3周一次</w:t>
      </w:r>
      <w:r w:rsidRPr="003C684F">
        <w:rPr>
          <w:rFonts w:hint="eastAsia" w:ascii="仿宋" w:hAnsi="仿宋" w:eastAsia="仿宋"/>
          <w:sz w:val="32"/>
          <w:szCs w:val="32"/>
        </w:rPr>
        <w:t>。首次给药至少持续60分钟，后续可至少30分钟。</w:t>
      </w:r>
    </w:p>
    <w:p w:rsidRPr="003C684F" w:rsidR="009730C1" w:rsidRDefault="00A315B9" w14:paraId="4C40A0AC"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2.患者可接受阿替利珠单抗治疗直至无临床获益或出现不可耐受的毒性。如果患者临床症状稳定，即使有疾病进展的初步证据，但基于总体临床获益的判断，可考虑继续应用本品治疗。应对疾病进展后继续使用阿替利珠单抗治疗的患者开展密切监测，4～8周内重复肿瘤疗效评估。</w:t>
      </w:r>
    </w:p>
    <w:p w:rsidRPr="003C684F" w:rsidR="00862216" w:rsidP="00862216" w:rsidRDefault="00862216" w14:paraId="5CF603CA" w14:textId="3DFE0296">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3.最常见不良反应</w:t>
      </w:r>
      <w:r w:rsidRPr="003C684F" w:rsidR="001543C4">
        <w:rPr>
          <w:rFonts w:hint="eastAsia" w:ascii="仿宋" w:hAnsi="仿宋" w:eastAsia="仿宋"/>
          <w:sz w:val="32"/>
          <w:szCs w:val="32"/>
        </w:rPr>
        <w:t>（</w:t>
      </w:r>
      <w:r w:rsidRPr="003C684F">
        <w:rPr>
          <w:rFonts w:hint="eastAsia" w:ascii="仿宋" w:hAnsi="仿宋" w:eastAsia="仿宋"/>
          <w:sz w:val="32"/>
          <w:szCs w:val="32"/>
        </w:rPr>
        <w:t>≥20%</w:t>
      </w:r>
      <w:r w:rsidRPr="003C684F" w:rsidR="001543C4">
        <w:rPr>
          <w:rFonts w:hint="eastAsia" w:ascii="仿宋" w:hAnsi="仿宋" w:eastAsia="仿宋"/>
          <w:sz w:val="32"/>
          <w:szCs w:val="32"/>
        </w:rPr>
        <w:t>）</w:t>
      </w:r>
      <w:r w:rsidRPr="003C684F">
        <w:rPr>
          <w:rFonts w:hint="eastAsia" w:ascii="仿宋" w:hAnsi="仿宋" w:eastAsia="仿宋"/>
          <w:sz w:val="32"/>
          <w:szCs w:val="32"/>
        </w:rPr>
        <w:t>包括疲乏、食欲减退、恶心、尿路感染、发热和便秘。</w:t>
      </w:r>
    </w:p>
    <w:p w:rsidRPr="003C684F" w:rsidR="009730C1" w:rsidRDefault="00862216" w14:paraId="6660C3B1" w14:textId="559F6753">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4</w:t>
      </w:r>
      <w:r w:rsidRPr="003C684F" w:rsidR="00A315B9">
        <w:rPr>
          <w:rFonts w:hint="eastAsia" w:ascii="仿宋" w:hAnsi="仿宋" w:eastAsia="仿宋"/>
          <w:sz w:val="32"/>
          <w:szCs w:val="32"/>
        </w:rPr>
        <w:t>.建议治疗前进行包括甲状腺功能、心肌酶等的基线检测，在治疗中定期随访用于早期发现免疫相关性不良反应，同时需注意免疫相关性不良反应也可能出现于治疗结束后。对于疑似免疫相关性不良反应，应进行充分的评估以确认病因或排除其他病因。根据免疫相关性不良反应的类型和严重程度，可能需要暂停给药或</w:t>
      </w:r>
      <w:r w:rsidRPr="003C684F" w:rsidR="00373DC1">
        <w:rPr>
          <w:rFonts w:hint="eastAsia" w:ascii="仿宋" w:hAnsi="仿宋" w:eastAsia="仿宋"/>
          <w:sz w:val="32"/>
          <w:szCs w:val="32"/>
        </w:rPr>
        <w:t>永久停用</w:t>
      </w:r>
      <w:r w:rsidRPr="003C684F" w:rsidR="00A315B9">
        <w:rPr>
          <w:rFonts w:hint="eastAsia" w:ascii="仿宋" w:hAnsi="仿宋" w:eastAsia="仿宋"/>
          <w:sz w:val="32"/>
          <w:szCs w:val="32"/>
        </w:rPr>
        <w:t>，不建议增加或减少剂量。严重者或诊断存疑者可由消化科、风湿科、皮肤科、呼</w:t>
      </w:r>
      <w:r w:rsidRPr="003C684F" w:rsidR="00A315B9">
        <w:rPr>
          <w:rFonts w:hint="eastAsia" w:ascii="仿宋" w:hAnsi="仿宋" w:eastAsia="仿宋"/>
          <w:sz w:val="32"/>
          <w:szCs w:val="32"/>
        </w:rPr>
        <w:lastRenderedPageBreak/>
        <w:t>吸科、肿瘤科等组成的免疫不良反应多学科综合治疗（MDT）进行会诊。</w:t>
      </w:r>
    </w:p>
    <w:p w:rsidRPr="003C684F" w:rsidR="00F20EC1" w:rsidP="00F20EC1" w:rsidRDefault="00F20EC1" w14:paraId="303E1E92" w14:textId="0A345758">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5.使用本品治疗前应行胃镜检查，评估胃底食管静脉曲张出血风险，治疗过程中应全程进行胃镜管理。</w:t>
      </w:r>
    </w:p>
    <w:p w:rsidRPr="003C684F" w:rsidR="009730C1" w:rsidRDefault="00F20EC1" w14:paraId="29405C02" w14:textId="59FB1F10">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6</w:t>
      </w:r>
      <w:r w:rsidRPr="003C684F" w:rsidR="00A315B9">
        <w:rPr>
          <w:rFonts w:hint="eastAsia" w:ascii="仿宋" w:hAnsi="仿宋" w:eastAsia="仿宋"/>
          <w:sz w:val="32"/>
          <w:szCs w:val="32"/>
        </w:rPr>
        <w:t>.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免疫抑制剂量的糖皮质激素或其他免疫抑制剂治疗期间，不建议重新使用阿替利珠单抗治疗。</w:t>
      </w:r>
    </w:p>
    <w:p w:rsidRPr="003C684F" w:rsidR="009730C1" w:rsidRDefault="00F20EC1" w14:paraId="25167220" w14:textId="5FA237A4">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7</w:t>
      </w:r>
      <w:r w:rsidRPr="003C684F" w:rsidR="00A315B9">
        <w:rPr>
          <w:rFonts w:hint="eastAsia" w:ascii="仿宋" w:hAnsi="仿宋" w:eastAsia="仿宋"/>
          <w:sz w:val="32"/>
          <w:szCs w:val="32"/>
        </w:rPr>
        <w:t>.</w:t>
      </w:r>
      <w:r w:rsidRPr="003C684F" w:rsidR="00757113">
        <w:rPr>
          <w:rFonts w:hint="eastAsia" w:ascii="仿宋" w:hAnsi="仿宋" w:eastAsia="仿宋"/>
          <w:sz w:val="32"/>
          <w:szCs w:val="32"/>
        </w:rPr>
        <w:t>尚未确定阿替利珠单抗在18岁以下儿童和青少年患者中的安全性和有效性。老年患者（≥65岁）、轻中度肝功能损伤患者、肾功能损伤患者，无需调整剂量。在重度肝功能损伤患者中使用的安全性及有效性尚未建立，如经医师评估使用本品预期获益大于风险，需在医师指导下谨慎使用。</w:t>
      </w:r>
    </w:p>
    <w:p w:rsidRPr="003C684F" w:rsidR="009730C1" w:rsidRDefault="00A315B9" w14:paraId="6924EE58" w14:textId="77777777">
      <w:pPr>
        <w:spacing w:line="360" w:lineRule="auto"/>
        <w:ind w:firstLine="640" w:firstLineChars="200"/>
        <w:rPr>
          <w:rFonts w:ascii="黑体" w:hAnsi="黑体" w:eastAsia="黑体"/>
          <w:sz w:val="32"/>
          <w:szCs w:val="32"/>
        </w:rPr>
      </w:pPr>
      <w:r w:rsidRPr="003C684F">
        <w:rPr>
          <w:rFonts w:hint="eastAsia" w:ascii="黑体" w:hAnsi="黑体" w:eastAsia="黑体"/>
          <w:sz w:val="32"/>
          <w:szCs w:val="32"/>
        </w:rPr>
        <w:t>六、信迪利单抗 Sintilimab</w:t>
      </w:r>
    </w:p>
    <w:p w:rsidRPr="003C684F" w:rsidR="009730C1" w:rsidRDefault="00A315B9" w14:paraId="48D89310"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注射</w:t>
      </w:r>
      <w:r w:rsidRPr="003C684F" w:rsidR="00C755A1">
        <w:rPr>
          <w:rFonts w:hint="eastAsia" w:ascii="仿宋" w:hAnsi="仿宋" w:eastAsia="仿宋"/>
          <w:sz w:val="32"/>
          <w:szCs w:val="32"/>
        </w:rPr>
        <w:t>剂</w:t>
      </w:r>
      <w:r w:rsidRPr="003C684F">
        <w:rPr>
          <w:rFonts w:hint="eastAsia" w:ascii="仿宋" w:hAnsi="仿宋" w:eastAsia="仿宋"/>
          <w:sz w:val="32"/>
          <w:szCs w:val="32"/>
        </w:rPr>
        <w:t>：100mg（10ml）/瓶</w:t>
      </w:r>
    </w:p>
    <w:p w:rsidRPr="003C684F" w:rsidR="009730C1" w:rsidRDefault="00A315B9" w14:paraId="378EB8A3" w14:textId="77777777">
      <w:pPr>
        <w:spacing w:line="360" w:lineRule="auto"/>
        <w:ind w:firstLine="643" w:firstLineChars="200"/>
        <w:rPr>
          <w:rFonts w:ascii="仿宋" w:hAnsi="仿宋" w:eastAsia="仿宋"/>
          <w:b/>
          <w:sz w:val="32"/>
          <w:szCs w:val="32"/>
        </w:rPr>
      </w:pPr>
      <w:r w:rsidRPr="003C684F">
        <w:rPr>
          <w:rFonts w:hint="eastAsia" w:ascii="仿宋" w:hAnsi="仿宋" w:eastAsia="仿宋"/>
          <w:b/>
          <w:sz w:val="32"/>
          <w:szCs w:val="32"/>
        </w:rPr>
        <w:t>适应证：</w:t>
      </w:r>
    </w:p>
    <w:p w:rsidRPr="003C684F" w:rsidR="009730C1" w:rsidRDefault="00A315B9" w14:paraId="794E074C"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w:t>
      </w:r>
      <w:r w:rsidRPr="003C684F">
        <w:rPr>
          <w:rFonts w:hint="eastAsia" w:ascii="仿宋" w:hAnsi="仿宋" w:eastAsia="仿宋"/>
          <w:sz w:val="32"/>
          <w:szCs w:val="32"/>
        </w:rPr>
        <w:t>适用于联合贝伐珠单抗用于既往未接受过系统治疗的不可切除或转移性肝细胞癌的一线治疗。</w:t>
      </w:r>
    </w:p>
    <w:p w:rsidRPr="003C684F" w:rsidR="009730C1" w:rsidRDefault="00A315B9" w14:paraId="417AF6C1"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2.</w:t>
      </w:r>
      <w:r w:rsidRPr="003C684F">
        <w:rPr>
          <w:rFonts w:hint="eastAsia" w:ascii="仿宋" w:hAnsi="仿宋" w:eastAsia="仿宋"/>
          <w:sz w:val="32"/>
          <w:szCs w:val="32"/>
        </w:rPr>
        <w:t>联合紫杉醇和顺铂或氟尿嘧啶和顺铂用于不可切除的局部晚期、复发或转移性食管鳞癌的一线治疗。</w:t>
      </w:r>
    </w:p>
    <w:p w:rsidRPr="003C684F" w:rsidR="009730C1" w:rsidRDefault="00A315B9" w14:paraId="2559259A"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lastRenderedPageBreak/>
        <w:t>3.</w:t>
      </w:r>
      <w:r w:rsidRPr="003C684F">
        <w:rPr>
          <w:rFonts w:hint="eastAsia" w:ascii="仿宋" w:hAnsi="仿宋" w:eastAsia="仿宋"/>
          <w:sz w:val="32"/>
          <w:szCs w:val="32"/>
        </w:rPr>
        <w:t>联合含氟尿嘧啶类和铂类药物化疗用于不可切除的局部晚期、复发或转移性胃及胃食管结合部腺癌的一线治疗。</w:t>
      </w:r>
    </w:p>
    <w:p w:rsidRPr="003C684F" w:rsidR="009730C1" w:rsidRDefault="00A315B9" w14:paraId="68045677" w14:textId="77777777">
      <w:pPr>
        <w:spacing w:line="360" w:lineRule="auto"/>
        <w:ind w:firstLine="643" w:firstLineChars="200"/>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0976050D"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1.应该按照相关疾病指南，治疗前做基线评估，治疗期间定期监测治疗反应及毒性。</w:t>
      </w:r>
    </w:p>
    <w:p w:rsidRPr="003C684F" w:rsidR="009730C1" w:rsidRDefault="00A315B9" w14:paraId="0FAC73D4" w14:textId="5326D7F6">
      <w:pPr>
        <w:spacing w:line="360" w:lineRule="auto"/>
        <w:ind w:firstLine="640" w:firstLineChars="200"/>
        <w:rPr>
          <w:rFonts w:ascii="仿宋" w:hAnsi="仿宋" w:eastAsia="仿宋"/>
          <w:sz w:val="32"/>
          <w:szCs w:val="32"/>
        </w:rPr>
      </w:pPr>
      <w:r w:rsidRPr="003C684F">
        <w:rPr>
          <w:rFonts w:ascii="仿宋" w:hAnsi="仿宋" w:eastAsia="仿宋"/>
          <w:sz w:val="32"/>
          <w:szCs w:val="32"/>
        </w:rPr>
        <w:t>2</w:t>
      </w:r>
      <w:r w:rsidRPr="003C684F">
        <w:rPr>
          <w:rFonts w:hint="eastAsia" w:ascii="仿宋" w:hAnsi="仿宋" w:eastAsia="仿宋"/>
          <w:sz w:val="32"/>
          <w:szCs w:val="32"/>
        </w:rPr>
        <w:t>.肝细胞癌：基于ORIENT-32临床研究联合贝伐珠单抗，推荐剂量为200mg</w:t>
      </w:r>
      <w:r w:rsidRPr="003C684F" w:rsidR="001F15C4">
        <w:rPr>
          <w:rFonts w:hint="eastAsia" w:ascii="仿宋" w:hAnsi="仿宋" w:eastAsia="仿宋"/>
          <w:sz w:val="32"/>
          <w:szCs w:val="32"/>
        </w:rPr>
        <w:t>/次</w:t>
      </w:r>
      <w:r w:rsidRPr="003C684F">
        <w:rPr>
          <w:rFonts w:hint="eastAsia" w:ascii="仿宋" w:hAnsi="仿宋" w:eastAsia="仿宋"/>
          <w:sz w:val="32"/>
          <w:szCs w:val="32"/>
        </w:rPr>
        <w:t>，</w:t>
      </w:r>
      <w:r w:rsidRPr="003C684F" w:rsidR="0071399F">
        <w:rPr>
          <w:rFonts w:hint="eastAsia" w:ascii="仿宋" w:hAnsi="仿宋" w:eastAsia="仿宋"/>
          <w:sz w:val="32"/>
          <w:szCs w:val="32"/>
        </w:rPr>
        <w:t>每3周一次</w:t>
      </w:r>
      <w:r w:rsidRPr="003C684F">
        <w:rPr>
          <w:rFonts w:hint="eastAsia" w:ascii="仿宋" w:hAnsi="仿宋" w:eastAsia="仿宋"/>
          <w:sz w:val="32"/>
          <w:szCs w:val="32"/>
        </w:rPr>
        <w:t>，</w:t>
      </w:r>
      <w:r w:rsidRPr="003C684F" w:rsidR="001F15C4">
        <w:rPr>
          <w:rFonts w:hint="eastAsia" w:ascii="仿宋" w:hAnsi="仿宋" w:eastAsia="仿宋"/>
          <w:sz w:val="32"/>
          <w:szCs w:val="32"/>
        </w:rPr>
        <w:t>静脉输注，</w:t>
      </w:r>
      <w:r w:rsidRPr="003C684F">
        <w:rPr>
          <w:rFonts w:hint="eastAsia" w:ascii="仿宋" w:hAnsi="仿宋" w:eastAsia="仿宋"/>
          <w:sz w:val="32"/>
          <w:szCs w:val="32"/>
        </w:rPr>
        <w:t>直至</w:t>
      </w:r>
      <w:r w:rsidRPr="003C684F" w:rsidR="00B95507">
        <w:rPr>
          <w:rFonts w:hint="eastAsia" w:ascii="仿宋" w:hAnsi="仿宋" w:eastAsia="仿宋"/>
          <w:sz w:val="32"/>
          <w:szCs w:val="32"/>
        </w:rPr>
        <w:t>疾病进展或出现不可耐受的毒性。</w:t>
      </w:r>
      <w:r w:rsidRPr="003C684F">
        <w:rPr>
          <w:rFonts w:hint="eastAsia" w:ascii="仿宋" w:hAnsi="仿宋" w:eastAsia="仿宋"/>
          <w:sz w:val="32"/>
          <w:szCs w:val="32"/>
        </w:rPr>
        <w:t>食管鳞癌、胃及胃食管结合部腺癌：基于ORIENT-</w:t>
      </w:r>
      <w:r w:rsidRPr="003C684F">
        <w:rPr>
          <w:rFonts w:ascii="仿宋" w:hAnsi="仿宋" w:eastAsia="仿宋"/>
          <w:sz w:val="32"/>
          <w:szCs w:val="32"/>
        </w:rPr>
        <w:t>15</w:t>
      </w:r>
      <w:r w:rsidRPr="003C684F">
        <w:rPr>
          <w:rFonts w:hint="eastAsia" w:ascii="仿宋" w:hAnsi="仿宋" w:eastAsia="仿宋"/>
          <w:sz w:val="32"/>
          <w:szCs w:val="32"/>
        </w:rPr>
        <w:t>和ORIENT-</w:t>
      </w:r>
      <w:r w:rsidRPr="003C684F">
        <w:rPr>
          <w:rFonts w:ascii="仿宋" w:hAnsi="仿宋" w:eastAsia="仿宋"/>
          <w:sz w:val="32"/>
          <w:szCs w:val="32"/>
        </w:rPr>
        <w:t>16</w:t>
      </w:r>
      <w:r w:rsidRPr="003C684F">
        <w:rPr>
          <w:rFonts w:hint="eastAsia" w:ascii="仿宋" w:hAnsi="仿宋" w:eastAsia="仿宋"/>
          <w:sz w:val="32"/>
          <w:szCs w:val="32"/>
        </w:rPr>
        <w:t>临床研究，对于体重＜60kg的患者，推荐剂量为3mg/kg，</w:t>
      </w:r>
      <w:r w:rsidRPr="003C684F" w:rsidR="0071399F">
        <w:rPr>
          <w:rFonts w:hint="eastAsia" w:ascii="仿宋" w:hAnsi="仿宋" w:eastAsia="仿宋"/>
          <w:sz w:val="32"/>
          <w:szCs w:val="32"/>
        </w:rPr>
        <w:t>每3周一次</w:t>
      </w:r>
      <w:r w:rsidRPr="003C684F">
        <w:rPr>
          <w:rFonts w:hint="eastAsia" w:ascii="仿宋" w:hAnsi="仿宋" w:eastAsia="仿宋"/>
          <w:sz w:val="32"/>
          <w:szCs w:val="32"/>
        </w:rPr>
        <w:t>，</w:t>
      </w:r>
      <w:r w:rsidRPr="003C684F" w:rsidR="001F15C4">
        <w:rPr>
          <w:rFonts w:hint="eastAsia" w:ascii="仿宋" w:hAnsi="仿宋" w:eastAsia="仿宋"/>
          <w:sz w:val="32"/>
          <w:szCs w:val="32"/>
        </w:rPr>
        <w:t>静脉输注，</w:t>
      </w:r>
      <w:r w:rsidRPr="003C684F">
        <w:rPr>
          <w:rFonts w:hint="eastAsia" w:ascii="仿宋" w:hAnsi="仿宋" w:eastAsia="仿宋"/>
          <w:sz w:val="32"/>
          <w:szCs w:val="32"/>
        </w:rPr>
        <w:t>直至疾病进展或</w:t>
      </w:r>
      <w:r w:rsidRPr="003C684F" w:rsidR="00614A26">
        <w:rPr>
          <w:rFonts w:hint="eastAsia" w:ascii="仿宋" w:hAnsi="仿宋" w:eastAsia="仿宋"/>
          <w:sz w:val="32"/>
          <w:szCs w:val="32"/>
        </w:rPr>
        <w:t>出现</w:t>
      </w:r>
      <w:r w:rsidRPr="003C684F">
        <w:rPr>
          <w:rFonts w:hint="eastAsia" w:ascii="仿宋" w:hAnsi="仿宋" w:eastAsia="仿宋"/>
          <w:sz w:val="32"/>
          <w:szCs w:val="32"/>
        </w:rPr>
        <w:t>不可耐受的毒性</w:t>
      </w:r>
      <w:r w:rsidRPr="003C684F" w:rsidR="001F15C4">
        <w:rPr>
          <w:rFonts w:hint="eastAsia" w:ascii="仿宋" w:hAnsi="仿宋" w:eastAsia="仿宋"/>
          <w:sz w:val="32"/>
          <w:szCs w:val="32"/>
        </w:rPr>
        <w:t>；</w:t>
      </w:r>
      <w:r w:rsidRPr="003C684F">
        <w:rPr>
          <w:rFonts w:hint="eastAsia" w:ascii="仿宋" w:hAnsi="仿宋" w:eastAsia="仿宋"/>
          <w:sz w:val="32"/>
          <w:szCs w:val="32"/>
        </w:rPr>
        <w:t>对于体重≥60kg的患者，推荐剂量为200mg</w:t>
      </w:r>
      <w:r w:rsidRPr="003C684F" w:rsidR="001F15C4">
        <w:rPr>
          <w:rFonts w:hint="eastAsia" w:ascii="仿宋" w:hAnsi="仿宋" w:eastAsia="仿宋"/>
          <w:sz w:val="32"/>
          <w:szCs w:val="32"/>
        </w:rPr>
        <w:t>/次</w:t>
      </w:r>
      <w:r w:rsidRPr="003C684F">
        <w:rPr>
          <w:rFonts w:hint="eastAsia" w:ascii="仿宋" w:hAnsi="仿宋" w:eastAsia="仿宋"/>
          <w:sz w:val="32"/>
          <w:szCs w:val="32"/>
        </w:rPr>
        <w:t>，</w:t>
      </w:r>
      <w:r w:rsidRPr="003C684F" w:rsidR="0071399F">
        <w:rPr>
          <w:rFonts w:hint="eastAsia" w:ascii="仿宋" w:hAnsi="仿宋" w:eastAsia="仿宋"/>
          <w:sz w:val="32"/>
          <w:szCs w:val="32"/>
        </w:rPr>
        <w:t>每3周一次</w:t>
      </w:r>
      <w:r w:rsidRPr="003C684F">
        <w:rPr>
          <w:rFonts w:hint="eastAsia" w:ascii="仿宋" w:hAnsi="仿宋" w:eastAsia="仿宋"/>
          <w:sz w:val="32"/>
          <w:szCs w:val="32"/>
        </w:rPr>
        <w:t>，</w:t>
      </w:r>
      <w:r w:rsidRPr="003C684F" w:rsidR="001F15C4">
        <w:rPr>
          <w:rFonts w:hint="eastAsia" w:ascii="仿宋" w:hAnsi="仿宋" w:eastAsia="仿宋"/>
          <w:sz w:val="32"/>
          <w:szCs w:val="32"/>
        </w:rPr>
        <w:t>静脉输注，</w:t>
      </w:r>
      <w:r w:rsidRPr="003C684F">
        <w:rPr>
          <w:rFonts w:hint="eastAsia" w:ascii="仿宋" w:hAnsi="仿宋" w:eastAsia="仿宋"/>
          <w:sz w:val="32"/>
          <w:szCs w:val="32"/>
        </w:rPr>
        <w:t>直至疾病进展或</w:t>
      </w:r>
      <w:r w:rsidRPr="003C684F" w:rsidR="00614A26">
        <w:rPr>
          <w:rFonts w:hint="eastAsia" w:ascii="仿宋" w:hAnsi="仿宋" w:eastAsia="仿宋"/>
          <w:sz w:val="32"/>
          <w:szCs w:val="32"/>
        </w:rPr>
        <w:t>出现</w:t>
      </w:r>
      <w:r w:rsidRPr="003C684F">
        <w:rPr>
          <w:rFonts w:hint="eastAsia" w:ascii="仿宋" w:hAnsi="仿宋" w:eastAsia="仿宋"/>
          <w:sz w:val="32"/>
          <w:szCs w:val="32"/>
        </w:rPr>
        <w:t>不可耐受的毒性。</w:t>
      </w:r>
    </w:p>
    <w:p w:rsidRPr="003C684F" w:rsidR="009730C1" w:rsidRDefault="00A315B9" w14:paraId="65E45704"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3</w:t>
      </w:r>
      <w:r w:rsidRPr="003C684F">
        <w:rPr>
          <w:rFonts w:hint="eastAsia" w:ascii="仿宋" w:hAnsi="仿宋" w:eastAsia="仿宋"/>
          <w:sz w:val="32"/>
          <w:szCs w:val="32"/>
        </w:rPr>
        <w:t>.有可能观察到非典型反应。如果患者临床症状稳定或持续减轻，即使有疾病进展的初步证据，基于总体临床获益的判断，可考虑继续应用本品治疗，直至证实疾病进展。</w:t>
      </w:r>
    </w:p>
    <w:p w:rsidRPr="003C684F" w:rsidR="009730C1" w:rsidRDefault="00A315B9" w14:paraId="03EB2DD7" w14:textId="53E9ABC6">
      <w:pPr>
        <w:spacing w:line="360" w:lineRule="auto"/>
        <w:ind w:firstLine="640" w:firstLineChars="200"/>
        <w:rPr>
          <w:rFonts w:ascii="仿宋" w:hAnsi="仿宋" w:eastAsia="仿宋"/>
          <w:sz w:val="32"/>
          <w:szCs w:val="32"/>
        </w:rPr>
      </w:pPr>
      <w:r w:rsidRPr="003C684F">
        <w:rPr>
          <w:rFonts w:ascii="仿宋" w:hAnsi="仿宋" w:eastAsia="仿宋"/>
          <w:sz w:val="32"/>
          <w:szCs w:val="32"/>
        </w:rPr>
        <w:t>4</w:t>
      </w:r>
      <w:r w:rsidRPr="003C684F">
        <w:rPr>
          <w:rFonts w:hint="eastAsia" w:ascii="仿宋" w:hAnsi="仿宋" w:eastAsia="仿宋"/>
          <w:sz w:val="32"/>
          <w:szCs w:val="32"/>
        </w:rPr>
        <w:t>.建议治疗前进行包括甲状腺功能、心肌酶等的基线检测，在治疗中定期随访用于早期发现免疫相关性不良反应，同时需注意免疫相关性不良反应也可能出现于治疗结束后。如出现免疫相关性不良反应，根据个体患者的安全性和耐受性，可能需要暂停给药或</w:t>
      </w:r>
      <w:r w:rsidRPr="003C684F" w:rsidR="00373DC1">
        <w:rPr>
          <w:rFonts w:hint="eastAsia" w:ascii="仿宋" w:hAnsi="仿宋" w:eastAsia="仿宋"/>
          <w:sz w:val="32"/>
          <w:szCs w:val="32"/>
        </w:rPr>
        <w:t>永久停用</w:t>
      </w:r>
      <w:r w:rsidRPr="003C684F">
        <w:rPr>
          <w:rFonts w:hint="eastAsia" w:ascii="仿宋" w:hAnsi="仿宋" w:eastAsia="仿宋"/>
          <w:sz w:val="32"/>
          <w:szCs w:val="32"/>
        </w:rPr>
        <w:t>。不建议增加或减少剂量。严重者或诊断存疑者可由消化科、风湿科、皮肤科、呼吸科、</w:t>
      </w:r>
      <w:r w:rsidRPr="003C684F">
        <w:rPr>
          <w:rFonts w:hint="eastAsia" w:ascii="仿宋" w:hAnsi="仿宋" w:eastAsia="仿宋"/>
          <w:sz w:val="32"/>
          <w:szCs w:val="32"/>
        </w:rPr>
        <w:lastRenderedPageBreak/>
        <w:t>肿瘤科等组成的免疫不良反应MDT进行会诊。</w:t>
      </w:r>
    </w:p>
    <w:p w:rsidRPr="003C684F" w:rsidR="00AE7A4A" w:rsidP="00AE7A4A" w:rsidRDefault="00AE7A4A" w14:paraId="7BB82834" w14:textId="444FA41B">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5.使用本品治疗前应行胃镜检查，评估胃底食管静脉曲张出血风险，治疗过程中应全程进行胃镜管理。</w:t>
      </w:r>
    </w:p>
    <w:p w:rsidRPr="003C684F" w:rsidR="009730C1" w:rsidRDefault="00AE7A4A" w14:paraId="704A4E78" w14:textId="226900F6">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6</w:t>
      </w:r>
      <w:r w:rsidRPr="003C684F" w:rsidR="00A315B9">
        <w:rPr>
          <w:rFonts w:hint="eastAsia" w:ascii="仿宋" w:hAnsi="仿宋" w:eastAsia="仿宋"/>
          <w:sz w:val="32"/>
          <w:szCs w:val="32"/>
        </w:rPr>
        <w:t>.</w:t>
      </w:r>
      <w:r w:rsidRPr="003C684F">
        <w:rPr>
          <w:rFonts w:hint="eastAsia" w:ascii="仿宋" w:hAnsi="仿宋" w:eastAsia="仿宋"/>
          <w:sz w:val="32"/>
          <w:szCs w:val="32"/>
        </w:rPr>
        <w:t>目前本品尚无针对重度肝功能损伤患者的研究数据，轻中度肝功能损伤患者无需进行调整，重度肝功能损伤患者应在医生指导下慎用本品，如需使用，无需进行剂量调整。</w:t>
      </w:r>
    </w:p>
    <w:p w:rsidRPr="003C684F" w:rsidR="009730C1" w:rsidRDefault="00AE7A4A" w14:paraId="6DB148BA" w14:textId="741E671D">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7</w:t>
      </w:r>
      <w:r w:rsidRPr="003C684F" w:rsidR="00A315B9">
        <w:rPr>
          <w:rFonts w:hint="eastAsia" w:ascii="仿宋" w:hAnsi="仿宋" w:eastAsia="仿宋"/>
          <w:sz w:val="32"/>
          <w:szCs w:val="32"/>
        </w:rPr>
        <w:t>.</w:t>
      </w:r>
      <w:r w:rsidRPr="003C684F">
        <w:rPr>
          <w:rFonts w:hint="eastAsia" w:ascii="仿宋" w:hAnsi="仿宋" w:eastAsia="仿宋"/>
          <w:sz w:val="32"/>
          <w:szCs w:val="32"/>
        </w:rPr>
        <w:t>目前本品尚无针对中重度肾功能损伤患者的研究数据，轻中度肾功能损伤患者无需进行调整，重度肾功能损伤患者应在医生指导下慎用本品，如需使用，无需进行剂量调整。</w:t>
      </w:r>
    </w:p>
    <w:p w:rsidRPr="003C684F" w:rsidR="009730C1" w:rsidRDefault="00A315B9" w14:paraId="43631518" w14:textId="4646BA78">
      <w:pPr>
        <w:spacing w:line="360" w:lineRule="auto"/>
        <w:ind w:firstLine="640" w:firstLineChars="200"/>
        <w:rPr>
          <w:rFonts w:ascii="仿宋" w:hAnsi="仿宋" w:eastAsia="仿宋"/>
          <w:sz w:val="32"/>
          <w:szCs w:val="32"/>
        </w:rPr>
      </w:pPr>
      <w:r w:rsidRPr="003C684F">
        <w:rPr>
          <w:rFonts w:ascii="仿宋" w:hAnsi="仿宋" w:eastAsia="仿宋"/>
          <w:sz w:val="32"/>
          <w:szCs w:val="32"/>
        </w:rPr>
        <w:t>8</w:t>
      </w:r>
      <w:r w:rsidRPr="003C684F">
        <w:rPr>
          <w:rFonts w:hint="eastAsia" w:ascii="仿宋" w:hAnsi="仿宋" w:eastAsia="仿宋"/>
          <w:sz w:val="32"/>
          <w:szCs w:val="32"/>
        </w:rPr>
        <w:t>.</w:t>
      </w:r>
      <w:r w:rsidRPr="003C684F" w:rsidR="007811E9">
        <w:rPr>
          <w:rFonts w:hint="eastAsia" w:ascii="仿宋" w:hAnsi="仿宋" w:eastAsia="仿宋"/>
          <w:sz w:val="32"/>
          <w:szCs w:val="32"/>
        </w:rPr>
        <w:t>尚未确定本品</w:t>
      </w:r>
      <w:r w:rsidRPr="003C684F">
        <w:rPr>
          <w:rFonts w:hint="eastAsia" w:ascii="仿宋" w:hAnsi="仿宋" w:eastAsia="仿宋"/>
          <w:sz w:val="32"/>
          <w:szCs w:val="32"/>
        </w:rPr>
        <w:t>在</w:t>
      </w:r>
      <w:r w:rsidRPr="003C684F" w:rsidR="00D61FBA">
        <w:rPr>
          <w:rFonts w:hint="eastAsia" w:ascii="仿宋" w:hAnsi="仿宋" w:eastAsia="仿宋"/>
          <w:sz w:val="32"/>
          <w:szCs w:val="32"/>
        </w:rPr>
        <w:t>18岁以下儿童和青少年</w:t>
      </w:r>
      <w:r w:rsidRPr="003C684F" w:rsidR="00482E1B">
        <w:rPr>
          <w:rFonts w:hint="eastAsia" w:ascii="仿宋" w:hAnsi="仿宋" w:eastAsia="仿宋"/>
          <w:sz w:val="32"/>
          <w:szCs w:val="32"/>
        </w:rPr>
        <w:t>患者</w:t>
      </w:r>
      <w:r w:rsidRPr="003C684F">
        <w:rPr>
          <w:rFonts w:hint="eastAsia" w:ascii="仿宋" w:hAnsi="仿宋" w:eastAsia="仿宋"/>
          <w:sz w:val="32"/>
          <w:szCs w:val="32"/>
        </w:rPr>
        <w:t>的安全性和有效性。</w:t>
      </w:r>
    </w:p>
    <w:p w:rsidRPr="003C684F" w:rsidR="009730C1" w:rsidRDefault="00A315B9" w14:paraId="4B2CFFB4" w14:textId="10FAFC2D">
      <w:pPr>
        <w:spacing w:line="360" w:lineRule="auto"/>
        <w:ind w:firstLine="640" w:firstLineChars="200"/>
        <w:rPr>
          <w:rFonts w:ascii="仿宋" w:hAnsi="仿宋" w:eastAsia="仿宋"/>
          <w:sz w:val="32"/>
          <w:szCs w:val="32"/>
        </w:rPr>
      </w:pPr>
      <w:r w:rsidRPr="003C684F">
        <w:rPr>
          <w:rFonts w:ascii="仿宋" w:hAnsi="仿宋" w:eastAsia="仿宋"/>
          <w:sz w:val="32"/>
          <w:szCs w:val="32"/>
        </w:rPr>
        <w:t>9</w:t>
      </w:r>
      <w:r w:rsidRPr="003C684F">
        <w:rPr>
          <w:rFonts w:hint="eastAsia" w:ascii="仿宋" w:hAnsi="仿宋" w:eastAsia="仿宋"/>
          <w:sz w:val="32"/>
          <w:szCs w:val="32"/>
        </w:rPr>
        <w:t>.本品在</w:t>
      </w:r>
      <w:r w:rsidRPr="003C684F" w:rsidR="006C60AB">
        <w:rPr>
          <w:rFonts w:hint="eastAsia" w:ascii="仿宋" w:hAnsi="仿宋" w:eastAsia="仿宋"/>
          <w:sz w:val="32"/>
          <w:szCs w:val="32"/>
        </w:rPr>
        <w:t>老年患者（≥65岁）</w:t>
      </w:r>
      <w:r w:rsidRPr="003C684F">
        <w:rPr>
          <w:rFonts w:hint="eastAsia" w:ascii="仿宋" w:hAnsi="仿宋" w:eastAsia="仿宋"/>
          <w:sz w:val="32"/>
          <w:szCs w:val="32"/>
        </w:rPr>
        <w:t>中应用数据有限，建议在医生的指导下慎用，如需使用，</w:t>
      </w:r>
      <w:r w:rsidRPr="003C684F" w:rsidR="00BD154E">
        <w:rPr>
          <w:rFonts w:hint="eastAsia" w:ascii="仿宋" w:hAnsi="仿宋" w:eastAsia="仿宋"/>
          <w:sz w:val="32"/>
          <w:szCs w:val="32"/>
        </w:rPr>
        <w:t>无需</w:t>
      </w:r>
      <w:r w:rsidRPr="003C684F">
        <w:rPr>
          <w:rFonts w:hint="eastAsia" w:ascii="仿宋" w:hAnsi="仿宋" w:eastAsia="仿宋"/>
          <w:sz w:val="32"/>
          <w:szCs w:val="32"/>
        </w:rPr>
        <w:t>进行剂量调整。</w:t>
      </w:r>
    </w:p>
    <w:p w:rsidRPr="003C684F" w:rsidR="009730C1" w:rsidRDefault="00A315B9" w14:paraId="185A68E5"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w:t>
      </w:r>
      <w:r w:rsidRPr="003C684F">
        <w:rPr>
          <w:rFonts w:ascii="仿宋" w:hAnsi="仿宋" w:eastAsia="仿宋"/>
          <w:sz w:val="32"/>
          <w:szCs w:val="32"/>
        </w:rPr>
        <w:t>0</w:t>
      </w:r>
      <w:r w:rsidRPr="003C684F">
        <w:rPr>
          <w:rFonts w:hint="eastAsia" w:ascii="仿宋" w:hAnsi="仿宋" w:eastAsia="仿宋"/>
          <w:sz w:val="32"/>
          <w:szCs w:val="32"/>
        </w:rPr>
        <w:t>.不建议在妊娠期间使用本品治疗。</w:t>
      </w:r>
    </w:p>
    <w:p w:rsidRPr="003C684F" w:rsidR="009730C1" w:rsidRDefault="00A315B9" w14:paraId="5F76DE20" w14:textId="77777777">
      <w:pPr>
        <w:spacing w:line="360" w:lineRule="auto"/>
        <w:ind w:firstLine="640" w:firstLineChars="200"/>
        <w:rPr>
          <w:rFonts w:ascii="仿宋" w:hAnsi="仿宋" w:eastAsia="仿宋"/>
          <w:color w:val="FF0000"/>
          <w:sz w:val="32"/>
          <w:szCs w:val="32"/>
        </w:rPr>
      </w:pPr>
      <w:r w:rsidRPr="003C684F">
        <w:rPr>
          <w:rFonts w:hint="eastAsia" w:ascii="仿宋" w:hAnsi="仿宋" w:eastAsia="仿宋"/>
          <w:sz w:val="32"/>
          <w:szCs w:val="32"/>
        </w:rPr>
        <w:t>1</w:t>
      </w:r>
      <w:r w:rsidRPr="003C684F">
        <w:rPr>
          <w:rFonts w:ascii="仿宋" w:hAnsi="仿宋" w:eastAsia="仿宋"/>
          <w:sz w:val="32"/>
          <w:szCs w:val="32"/>
        </w:rPr>
        <w:t>1</w:t>
      </w:r>
      <w:r w:rsidRPr="003C684F">
        <w:rPr>
          <w:rFonts w:hint="eastAsia" w:ascii="仿宋" w:hAnsi="仿宋" w:eastAsia="仿宋"/>
          <w:sz w:val="32"/>
          <w:szCs w:val="32"/>
        </w:rPr>
        <w:t>.因可能干扰本品药效学活性，应避免在开始本品治疗前使用全身性糖皮质激素及其他免疫抑制剂。但是如果为了治疗免疫相关性不良反应，可在开始本品治疗后使用全身性糖皮质激素及其他免疫抑制剂。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9730C1" w:rsidP="0037660B" w:rsidRDefault="00A315B9" w14:paraId="6E344FA8" w14:textId="2B2D6FDE">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七、</w:t>
      </w:r>
      <w:r w:rsidRPr="003C684F">
        <w:rPr>
          <w:rFonts w:ascii="黑体" w:hAnsi="黑体" w:eastAsia="黑体"/>
          <w:color w:val="000000"/>
          <w:sz w:val="32"/>
          <w:szCs w:val="32"/>
        </w:rPr>
        <w:t>卡瑞利珠单抗</w:t>
      </w:r>
      <w:r w:rsidRPr="003C684F" w:rsidR="00021022">
        <w:rPr>
          <w:rFonts w:hint="eastAsia" w:ascii="黑体" w:hAnsi="黑体" w:eastAsia="黑体"/>
          <w:color w:val="000000"/>
          <w:sz w:val="32"/>
          <w:szCs w:val="32"/>
        </w:rPr>
        <w:t xml:space="preserve"> </w:t>
      </w:r>
      <w:r w:rsidRPr="003C684F">
        <w:rPr>
          <w:rFonts w:hint="eastAsia" w:ascii="黑体" w:hAnsi="黑体" w:eastAsia="黑体"/>
          <w:color w:val="000000"/>
          <w:sz w:val="32"/>
          <w:szCs w:val="32"/>
        </w:rPr>
        <w:t>Camrelizumab</w:t>
      </w:r>
    </w:p>
    <w:p w:rsidRPr="003C684F" w:rsidR="009730C1" w:rsidRDefault="00A315B9" w14:paraId="67E0DEA8"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粉针剂：200mg/瓶</w:t>
      </w:r>
    </w:p>
    <w:p w:rsidRPr="003C684F" w:rsidR="009730C1" w:rsidRDefault="00A315B9" w14:paraId="38CAD256"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57F3F805"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lastRenderedPageBreak/>
        <w:t>1.</w:t>
      </w:r>
      <w:r w:rsidRPr="003C684F">
        <w:rPr>
          <w:rFonts w:hint="eastAsia" w:ascii="仿宋" w:hAnsi="仿宋" w:eastAsia="仿宋"/>
          <w:color w:val="000000"/>
          <w:sz w:val="32"/>
          <w:szCs w:val="32"/>
        </w:rPr>
        <w:t>联合紫杉醇和顺铂用于不可切除局部晚期/复发或转移性食管鳞癌患者的一线治疗。</w:t>
      </w:r>
    </w:p>
    <w:p w:rsidRPr="003C684F" w:rsidR="009730C1" w:rsidRDefault="00A315B9" w14:paraId="457EBC4C"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w:t>
      </w:r>
      <w:r w:rsidRPr="003C684F">
        <w:rPr>
          <w:rFonts w:ascii="仿宋" w:hAnsi="仿宋" w:eastAsia="仿宋"/>
          <w:color w:val="000000"/>
          <w:sz w:val="32"/>
          <w:szCs w:val="32"/>
        </w:rPr>
        <w:t>.</w:t>
      </w:r>
      <w:r w:rsidRPr="003C684F">
        <w:rPr>
          <w:rFonts w:hint="eastAsia" w:ascii="仿宋" w:hAnsi="仿宋" w:eastAsia="仿宋"/>
          <w:color w:val="000000"/>
          <w:sz w:val="32"/>
          <w:szCs w:val="32"/>
        </w:rPr>
        <w:t>既往接受过一线化疗后疾病进展或不可耐受的局部晚期或转移性食管鳞癌患者治疗。</w:t>
      </w:r>
    </w:p>
    <w:p w:rsidRPr="003C684F" w:rsidR="009730C1" w:rsidRDefault="00A315B9" w14:paraId="2A0A7957"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既往接受过索拉非尼治疗和</w:t>
      </w:r>
      <w:r w:rsidRPr="003C684F">
        <w:rPr>
          <w:rFonts w:ascii="仿宋" w:hAnsi="仿宋" w:eastAsia="仿宋"/>
          <w:color w:val="000000"/>
          <w:sz w:val="32"/>
          <w:szCs w:val="32"/>
        </w:rPr>
        <w:t>/或含奥沙利铂系统化疗的晚期肝细胞癌患者的治疗。</w:t>
      </w:r>
    </w:p>
    <w:p w:rsidRPr="003C684F" w:rsidR="009730C1" w:rsidRDefault="00A315B9" w14:paraId="6EDDCE40"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E3E70AC" w14:textId="1FAA352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1.局部晚期/复发或转移性食管鳞癌一线：200mg/次，每3周一次</w:t>
      </w:r>
      <w:r w:rsidRPr="003C684F" w:rsidR="00CD2DC3">
        <w:rPr>
          <w:rFonts w:hint="eastAsia" w:ascii="仿宋" w:hAnsi="仿宋" w:eastAsia="仿宋"/>
          <w:color w:val="000000"/>
          <w:sz w:val="32"/>
          <w:szCs w:val="32"/>
        </w:rPr>
        <w:t>，静脉</w:t>
      </w:r>
      <w:r w:rsidRPr="003C684F" w:rsidR="003109D5">
        <w:rPr>
          <w:rFonts w:hint="eastAsia" w:ascii="仿宋" w:hAnsi="仿宋" w:eastAsia="仿宋"/>
          <w:color w:val="000000"/>
          <w:sz w:val="32"/>
          <w:szCs w:val="32"/>
        </w:rPr>
        <w:t>输注</w:t>
      </w:r>
      <w:r w:rsidRPr="003C684F">
        <w:rPr>
          <w:rFonts w:hint="eastAsia" w:ascii="仿宋" w:hAnsi="仿宋" w:eastAsia="仿宋"/>
          <w:color w:val="000000"/>
          <w:sz w:val="32"/>
          <w:szCs w:val="32"/>
        </w:rPr>
        <w:t>；二线食管鳞癌：200mg/次，每2周一次</w:t>
      </w:r>
      <w:r w:rsidRPr="003C684F" w:rsidR="00CD2DC3">
        <w:rPr>
          <w:rFonts w:hint="eastAsia" w:ascii="仿宋" w:hAnsi="仿宋" w:eastAsia="仿宋"/>
          <w:color w:val="000000"/>
          <w:sz w:val="32"/>
          <w:szCs w:val="32"/>
        </w:rPr>
        <w:t>，静脉</w:t>
      </w:r>
      <w:r w:rsidRPr="003C684F" w:rsidR="003109D5">
        <w:rPr>
          <w:rFonts w:hint="eastAsia" w:ascii="仿宋" w:hAnsi="仿宋" w:eastAsia="仿宋"/>
          <w:color w:val="000000"/>
          <w:sz w:val="32"/>
          <w:szCs w:val="32"/>
        </w:rPr>
        <w:t>输注</w:t>
      </w:r>
      <w:r w:rsidRPr="003C684F">
        <w:rPr>
          <w:rFonts w:hint="eastAsia" w:ascii="仿宋" w:hAnsi="仿宋" w:eastAsia="仿宋"/>
          <w:color w:val="000000"/>
          <w:sz w:val="32"/>
          <w:szCs w:val="32"/>
        </w:rPr>
        <w:t>；晚期肝细胞癌：3mg/kg，每3周一次</w:t>
      </w:r>
      <w:r w:rsidRPr="003C684F" w:rsidR="00CD2DC3">
        <w:rPr>
          <w:rFonts w:hint="eastAsia" w:ascii="仿宋" w:hAnsi="仿宋" w:eastAsia="仿宋"/>
          <w:color w:val="000000"/>
          <w:sz w:val="32"/>
          <w:szCs w:val="32"/>
        </w:rPr>
        <w:t>，静脉</w:t>
      </w:r>
      <w:r w:rsidRPr="003C684F" w:rsidR="003109D5">
        <w:rPr>
          <w:rFonts w:hint="eastAsia" w:ascii="仿宋" w:hAnsi="仿宋" w:eastAsia="仿宋"/>
          <w:color w:val="000000"/>
          <w:sz w:val="32"/>
          <w:szCs w:val="32"/>
        </w:rPr>
        <w:t>输注</w:t>
      </w:r>
      <w:r w:rsidRPr="003C684F" w:rsidR="00CD2DC3">
        <w:rPr>
          <w:rFonts w:hint="eastAsia" w:ascii="仿宋" w:hAnsi="仿宋" w:eastAsia="仿宋"/>
          <w:color w:val="000000"/>
          <w:sz w:val="32"/>
          <w:szCs w:val="32"/>
        </w:rPr>
        <w:t>。</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4C756767" w14:textId="648AA47E">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w:t>
      </w:r>
      <w:r w:rsidRPr="003C684F">
        <w:rPr>
          <w:rFonts w:ascii="仿宋" w:hAnsi="仿宋" w:eastAsia="仿宋"/>
          <w:color w:val="000000"/>
          <w:sz w:val="32"/>
          <w:szCs w:val="32"/>
        </w:rPr>
        <w:t>肝细胞癌</w:t>
      </w:r>
      <w:r w:rsidRPr="003C684F">
        <w:rPr>
          <w:rFonts w:hint="eastAsia" w:ascii="仿宋" w:hAnsi="仿宋" w:eastAsia="仿宋"/>
          <w:color w:val="000000"/>
          <w:sz w:val="32"/>
          <w:szCs w:val="32"/>
        </w:rPr>
        <w:t>适应证是基于一项Ⅱ期临床试验的客观缓解率和总生存期结果给予的附条件批准。</w:t>
      </w:r>
      <w:r w:rsidRPr="003C684F" w:rsidR="00862F7D">
        <w:rPr>
          <w:rFonts w:hint="eastAsia" w:ascii="仿宋" w:hAnsi="仿宋" w:eastAsia="仿宋"/>
          <w:color w:val="000000"/>
          <w:sz w:val="32"/>
          <w:szCs w:val="32"/>
        </w:rPr>
        <w:t>目前，大型Ⅲ期临床研究</w:t>
      </w:r>
      <w:r w:rsidRPr="003C684F" w:rsidR="001543C4">
        <w:rPr>
          <w:rFonts w:hint="eastAsia" w:ascii="仿宋" w:hAnsi="仿宋" w:eastAsia="仿宋"/>
          <w:color w:val="000000"/>
          <w:sz w:val="32"/>
          <w:szCs w:val="32"/>
        </w:rPr>
        <w:t>（</w:t>
      </w:r>
      <w:r w:rsidRPr="003C684F" w:rsidR="00862F7D">
        <w:rPr>
          <w:rFonts w:hint="eastAsia" w:ascii="仿宋" w:hAnsi="仿宋" w:eastAsia="仿宋"/>
          <w:color w:val="000000"/>
          <w:sz w:val="32"/>
          <w:szCs w:val="32"/>
        </w:rPr>
        <w:t>NCT03764293</w:t>
      </w:r>
      <w:r w:rsidRPr="003C684F" w:rsidR="001543C4">
        <w:rPr>
          <w:rFonts w:hint="eastAsia" w:ascii="仿宋" w:hAnsi="仿宋" w:eastAsia="仿宋"/>
          <w:color w:val="000000"/>
          <w:sz w:val="32"/>
          <w:szCs w:val="32"/>
        </w:rPr>
        <w:t>）</w:t>
      </w:r>
      <w:r w:rsidRPr="003C684F" w:rsidR="00862F7D">
        <w:rPr>
          <w:rFonts w:hint="eastAsia" w:ascii="仿宋" w:hAnsi="仿宋" w:eastAsia="仿宋"/>
          <w:color w:val="000000"/>
          <w:sz w:val="32"/>
          <w:szCs w:val="32"/>
        </w:rPr>
        <w:t>已获得阳性结果，并已获指南I级专家推荐，IA类证据。</w:t>
      </w:r>
    </w:p>
    <w:p w:rsidRPr="003C684F" w:rsidR="009730C1" w:rsidRDefault="00A315B9" w14:paraId="4F0CA9FE" w14:textId="77777777">
      <w:pPr>
        <w:spacing w:line="360" w:lineRule="auto"/>
        <w:ind w:firstLine="640" w:firstLineChars="200"/>
        <w:rPr>
          <w:rFonts w:ascii="仿宋" w:hAnsi="仿宋" w:eastAsia="仿宋"/>
          <w:color w:val="000000"/>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.只要观察到临床获益，应继续</w:t>
      </w:r>
      <w:r w:rsidRPr="003C684F">
        <w:rPr>
          <w:rFonts w:hint="eastAsia" w:ascii="仿宋" w:hAnsi="仿宋" w:eastAsia="仿宋"/>
          <w:color w:val="000000"/>
          <w:sz w:val="32"/>
          <w:szCs w:val="32"/>
        </w:rPr>
        <w:t>卡瑞利珠单抗</w:t>
      </w:r>
      <w:r w:rsidRPr="003C684F">
        <w:rPr>
          <w:rFonts w:hint="eastAsia" w:ascii="仿宋" w:hAnsi="仿宋" w:eastAsia="仿宋" w:cs="仿宋"/>
          <w:sz w:val="32"/>
          <w:szCs w:val="32"/>
        </w:rPr>
        <w:t>治疗，直至患者不能耐受，</w:t>
      </w:r>
      <w:r w:rsidRPr="003C684F">
        <w:rPr>
          <w:rFonts w:hint="eastAsia" w:ascii="仿宋" w:hAnsi="仿宋" w:eastAsia="仿宋"/>
          <w:color w:val="000000"/>
          <w:sz w:val="32"/>
          <w:szCs w:val="32"/>
        </w:rPr>
        <w:t>有可能观察到非典型反应。如果患者临床症状稳定或持续减轻，</w:t>
      </w:r>
      <w:r w:rsidRPr="003C684F">
        <w:rPr>
          <w:rFonts w:hint="eastAsia" w:ascii="仿宋" w:hAnsi="仿宋" w:eastAsia="仿宋" w:cs="仿宋"/>
          <w:sz w:val="32"/>
          <w:szCs w:val="32"/>
        </w:rPr>
        <w:t>即使考虑有疾病进展的可能，但</w:t>
      </w:r>
      <w:r w:rsidRPr="003C684F">
        <w:rPr>
          <w:rFonts w:hint="eastAsia" w:ascii="仿宋" w:hAnsi="仿宋" w:eastAsia="仿宋"/>
          <w:color w:val="000000"/>
          <w:sz w:val="32"/>
          <w:szCs w:val="32"/>
        </w:rPr>
        <w:t>基于总体临床获益的判断，可考虑继续应用本品治疗，直至证实疾病进展。</w:t>
      </w:r>
    </w:p>
    <w:p w:rsidRPr="003C684F" w:rsidR="009730C1" w:rsidRDefault="00A315B9" w14:paraId="33E24B5E" w14:textId="10159994">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根据患者个体安全性和耐受性的程度不同，可暂停给药或</w:t>
      </w:r>
      <w:r w:rsidRPr="003C684F" w:rsidR="00A24989">
        <w:rPr>
          <w:rFonts w:hint="eastAsia" w:ascii="仿宋" w:hAnsi="仿宋" w:eastAsia="仿宋" w:cs="仿宋"/>
          <w:sz w:val="32"/>
          <w:szCs w:val="32"/>
        </w:rPr>
        <w:t>永久停用</w:t>
      </w:r>
      <w:r w:rsidRPr="003C684F">
        <w:rPr>
          <w:rFonts w:hint="eastAsia" w:ascii="仿宋" w:hAnsi="仿宋" w:eastAsia="仿宋" w:cs="仿宋"/>
          <w:sz w:val="32"/>
          <w:szCs w:val="32"/>
        </w:rPr>
        <w:t>，不建议</w:t>
      </w:r>
      <w:r w:rsidRPr="003C684F" w:rsidR="00923B3D">
        <w:rPr>
          <w:rFonts w:hint="eastAsia" w:ascii="仿宋" w:hAnsi="仿宋" w:eastAsia="仿宋" w:cs="仿宋"/>
          <w:sz w:val="32"/>
          <w:szCs w:val="32"/>
        </w:rPr>
        <w:t>增加或减少剂量</w:t>
      </w:r>
      <w:r w:rsidRPr="003C684F">
        <w:rPr>
          <w:rFonts w:hint="eastAsia" w:ascii="仿宋" w:hAnsi="仿宋" w:eastAsia="仿宋" w:cs="仿宋"/>
          <w:sz w:val="32"/>
          <w:szCs w:val="32"/>
        </w:rPr>
        <w:t>。</w:t>
      </w:r>
    </w:p>
    <w:p w:rsidRPr="003C684F" w:rsidR="009730C1" w:rsidRDefault="00A315B9" w14:paraId="0B7223AD" w14:textId="6D8CF6D2">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lastRenderedPageBreak/>
        <w:t>5</w:t>
      </w:r>
      <w:r w:rsidRPr="003C684F">
        <w:rPr>
          <w:rFonts w:hint="eastAsia" w:ascii="仿宋" w:hAnsi="仿宋" w:eastAsia="仿宋" w:cs="仿宋"/>
          <w:sz w:val="32"/>
          <w:szCs w:val="32"/>
        </w:rPr>
        <w:t>.建议治疗前进行包括甲状腺功能、心肌酶等的基线检测，在治疗中定期随访用于早期发现免疫相关性不良反应。同时需注意免疫相关性不良反应也可能出现于治疗结束后。如出现免疫相关性不良反应，根据个体患者的安全性和耐受性，可能需要暂停给药或</w:t>
      </w:r>
      <w:r w:rsidRPr="003C684F" w:rsidR="00373DC1">
        <w:rPr>
          <w:rFonts w:hint="eastAsia" w:ascii="仿宋" w:hAnsi="仿宋" w:eastAsia="仿宋" w:cs="仿宋"/>
          <w:sz w:val="32"/>
          <w:szCs w:val="32"/>
        </w:rPr>
        <w:t>永久停用</w:t>
      </w:r>
      <w:r w:rsidRPr="003C684F">
        <w:rPr>
          <w:rFonts w:hint="eastAsia" w:ascii="仿宋" w:hAnsi="仿宋" w:eastAsia="仿宋" w:cs="仿宋"/>
          <w:sz w:val="32"/>
          <w:szCs w:val="32"/>
        </w:rPr>
        <w:t>。不建议增加或减少剂量。发生4级或复发性3级不良反应，虽然进行治疗调整但仍持续存在2级或3级不良反应，应永久停用卡瑞利珠单抗。严重者或诊断存疑者可由消化科、风湿科、皮肤科、呼吸科、肿瘤科等组成的免疫不良反应MDT进行会诊。</w:t>
      </w:r>
    </w:p>
    <w:p w:rsidRPr="003C684F" w:rsidR="009730C1" w:rsidRDefault="00A315B9" w14:paraId="34CF651C" w14:textId="5F2FF4A3">
      <w:pPr>
        <w:spacing w:line="360" w:lineRule="auto"/>
        <w:ind w:firstLine="640" w:firstLineChars="200"/>
        <w:rPr>
          <w:rFonts w:ascii="仿宋" w:hAnsi="仿宋" w:eastAsia="仿宋"/>
          <w:color w:val="000000"/>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本品在</w:t>
      </w:r>
      <w:r w:rsidRPr="003C684F" w:rsidR="006C60AB">
        <w:rPr>
          <w:rFonts w:hint="eastAsia" w:ascii="仿宋" w:hAnsi="仿宋" w:eastAsia="仿宋"/>
          <w:color w:val="000000"/>
          <w:sz w:val="32"/>
          <w:szCs w:val="32"/>
        </w:rPr>
        <w:t>老年患者（≥65岁）</w:t>
      </w:r>
      <w:r w:rsidRPr="003C684F">
        <w:rPr>
          <w:rFonts w:hint="eastAsia" w:ascii="仿宋" w:hAnsi="仿宋" w:eastAsia="仿宋"/>
          <w:color w:val="000000"/>
          <w:sz w:val="32"/>
          <w:szCs w:val="32"/>
        </w:rPr>
        <w:t>中应用数据有限，建议在医师的指导下慎用，如需使用，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进行剂量调整。不建议在妊娠期间使用本品治疗。目前本品尚无针对中重度肾功能损伤患者的研究数据，中重度肾功能损伤患者不推荐使用，轻度肾功能损伤患者应在医师指导下慎用本品，如需使用，</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进行剂量调整。目前本品尚无针对中重度肝功能损伤患者的研究数据，中重度肝功能损伤患者不推荐使用，轻度肝功能损伤患者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1366C508" w14:textId="77777777">
      <w:pPr>
        <w:spacing w:line="360" w:lineRule="auto"/>
        <w:ind w:firstLine="640" w:firstLineChars="200"/>
        <w:rPr>
          <w:rFonts w:ascii="仿宋" w:hAnsi="仿宋" w:eastAsia="仿宋"/>
          <w:color w:val="000000"/>
          <w:sz w:val="32"/>
          <w:szCs w:val="32"/>
        </w:rPr>
      </w:pPr>
      <w:r w:rsidRPr="003C684F">
        <w:rPr>
          <w:rFonts w:ascii="仿宋" w:hAnsi="仿宋" w:eastAsia="仿宋" w:cs="仿宋"/>
          <w:sz w:val="32"/>
          <w:szCs w:val="32"/>
        </w:rPr>
        <w:t>7.</w:t>
      </w:r>
      <w:r w:rsidRPr="003C684F">
        <w:rPr>
          <w:rFonts w:hint="eastAsia" w:ascii="仿宋" w:hAnsi="仿宋" w:eastAsia="仿宋"/>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rsidRPr="003C684F" w:rsidR="009730C1" w:rsidRDefault="00A315B9" w14:paraId="68A17FEC"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8</w:t>
      </w:r>
      <w:r w:rsidRPr="003C684F">
        <w:rPr>
          <w:rFonts w:hint="eastAsia" w:ascii="仿宋" w:hAnsi="仿宋" w:eastAsia="仿宋"/>
          <w:color w:val="000000"/>
          <w:sz w:val="32"/>
          <w:szCs w:val="32"/>
        </w:rPr>
        <w:t>.反应性毛细血管增生症的处理：在接受本品治疗的患</w:t>
      </w:r>
      <w:r w:rsidRPr="003C684F">
        <w:rPr>
          <w:rFonts w:hint="eastAsia" w:ascii="仿宋" w:hAnsi="仿宋" w:eastAsia="仿宋"/>
          <w:color w:val="000000"/>
          <w:sz w:val="32"/>
          <w:szCs w:val="32"/>
        </w:rPr>
        <w:lastRenderedPageBreak/>
        <w:t>者中，70%～80%发生反应性毛细血管增生症。反应性毛细血管增生症，大多发生在体表皮肤，少数可见于口腔黏膜、鼻腔黏膜以及眼睑结膜。发生于皮肤的反应性毛细血管增生症，初始多表现为体表鲜红色点状物，直径≤2mm，随着用药次数增加，病变范围可逐渐增大，多为结节状，也有斑片状，颜色鲜红或暗红，需观察临床症状和体征。</w:t>
      </w:r>
    </w:p>
    <w:p w:rsidRPr="003C684F" w:rsidR="009730C1" w:rsidRDefault="00A315B9" w14:paraId="16B56D88" w14:textId="01D1814B">
      <w:pPr>
        <w:spacing w:line="360" w:lineRule="auto"/>
        <w:ind w:firstLine="640" w:firstLineChars="200"/>
        <w:rPr>
          <w:rFonts w:ascii="仿宋" w:hAnsi="仿宋" w:eastAsia="仿宋"/>
          <w:color w:val="000000"/>
          <w:sz w:val="32"/>
          <w:szCs w:val="32"/>
        </w:rPr>
      </w:pPr>
      <w:r w:rsidRPr="003C684F">
        <w:rPr>
          <w:rFonts w:ascii="仿宋" w:hAnsi="仿宋" w:eastAsia="仿宋" w:cs="仿宋"/>
          <w:sz w:val="32"/>
          <w:szCs w:val="32"/>
        </w:rPr>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w:t>
      </w:r>
      <w:r w:rsidRPr="003C684F">
        <w:rPr>
          <w:rFonts w:hint="eastAsia" w:ascii="仿宋" w:hAnsi="仿宋" w:eastAsia="仿宋" w:cs="仿宋"/>
          <w:sz w:val="32"/>
          <w:szCs w:val="32"/>
        </w:rPr>
        <w:t>睑结膜、内外眦、口腔黏膜、咽喉等黏膜或其他脏器</w:t>
      </w:r>
      <w:r w:rsidRPr="003C684F">
        <w:rPr>
          <w:rFonts w:ascii="仿宋" w:hAnsi="仿宋" w:eastAsia="仿宋" w:cs="仿宋"/>
          <w:sz w:val="32"/>
          <w:szCs w:val="32"/>
        </w:rPr>
        <w:t>），</w:t>
      </w:r>
      <w:r w:rsidRPr="003C684F">
        <w:rPr>
          <w:rFonts w:hint="eastAsia" w:ascii="仿宋" w:hAnsi="仿宋" w:eastAsia="仿宋" w:cs="仿宋"/>
          <w:sz w:val="32"/>
          <w:szCs w:val="32"/>
        </w:rPr>
        <w:t>应根据自查症状和体征，</w:t>
      </w:r>
      <w:r w:rsidRPr="003C684F">
        <w:rPr>
          <w:rFonts w:ascii="仿宋" w:hAnsi="仿宋" w:eastAsia="仿宋" w:cs="仿宋"/>
          <w:sz w:val="32"/>
          <w:szCs w:val="32"/>
        </w:rPr>
        <w:t>必要时进行相应的医学检查，如大便潜血、内窥镜及影像学检查。</w:t>
      </w:r>
      <w:r w:rsidRPr="003C684F" w:rsidR="00BD0080">
        <w:rPr>
          <w:rFonts w:hint="eastAsia" w:ascii="仿宋" w:hAnsi="仿宋" w:eastAsia="仿宋" w:cs="仿宋"/>
          <w:sz w:val="32"/>
          <w:szCs w:val="32"/>
        </w:rPr>
        <w:t>分级标准和治疗建议详见附表3。</w:t>
      </w:r>
    </w:p>
    <w:p w:rsidRPr="003C684F" w:rsidR="009730C1" w:rsidP="0037660B" w:rsidRDefault="00A315B9" w14:paraId="4937CA5B" w14:textId="09296640">
      <w:pPr>
        <w:spacing w:line="360" w:lineRule="auto"/>
        <w:ind w:firstLine="640" w:firstLineChars="200"/>
        <w:outlineLvl w:val="0"/>
        <w:rPr>
          <w:rFonts w:ascii="黑体" w:hAnsi="黑体" w:eastAsia="黑体"/>
          <w:sz w:val="32"/>
          <w:szCs w:val="32"/>
        </w:rPr>
      </w:pPr>
      <w:r w:rsidRPr="003C684F">
        <w:rPr>
          <w:rFonts w:hint="eastAsia" w:ascii="黑体" w:hAnsi="黑体" w:eastAsia="黑体"/>
          <w:sz w:val="32"/>
          <w:szCs w:val="32"/>
        </w:rPr>
        <w:t>八、替雷利珠单</w:t>
      </w:r>
      <w:r w:rsidRPr="003C684F">
        <w:rPr>
          <w:rFonts w:ascii="黑体" w:hAnsi="黑体" w:eastAsia="黑体"/>
          <w:sz w:val="32"/>
          <w:szCs w:val="32"/>
        </w:rPr>
        <w:t>抗</w:t>
      </w:r>
      <w:r w:rsidRPr="003C684F" w:rsidR="00021022">
        <w:rPr>
          <w:rFonts w:hint="eastAsia" w:ascii="黑体" w:hAnsi="黑体" w:eastAsia="黑体"/>
          <w:sz w:val="32"/>
          <w:szCs w:val="32"/>
        </w:rPr>
        <w:t xml:space="preserve"> </w:t>
      </w:r>
      <w:r w:rsidRPr="003C684F">
        <w:rPr>
          <w:rFonts w:ascii="黑体" w:hAnsi="黑体" w:eastAsia="黑体"/>
          <w:sz w:val="32"/>
          <w:szCs w:val="32"/>
        </w:rPr>
        <w:t>T</w:t>
      </w:r>
      <w:r w:rsidRPr="003C684F">
        <w:rPr>
          <w:rFonts w:hint="eastAsia" w:ascii="黑体" w:hAnsi="黑体" w:eastAsia="黑体"/>
          <w:sz w:val="32"/>
          <w:szCs w:val="32"/>
        </w:rPr>
        <w:t>is</w:t>
      </w:r>
      <w:r w:rsidRPr="003C684F">
        <w:rPr>
          <w:rFonts w:ascii="黑体" w:hAnsi="黑体" w:eastAsia="黑体"/>
          <w:sz w:val="32"/>
          <w:szCs w:val="32"/>
        </w:rPr>
        <w:t>lelizumab</w:t>
      </w:r>
    </w:p>
    <w:p w:rsidRPr="003C684F" w:rsidR="009730C1" w:rsidRDefault="00A315B9" w14:paraId="7C5AD7A0"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注射</w:t>
      </w:r>
      <w:r w:rsidRPr="003C684F" w:rsidR="00C86E86">
        <w:rPr>
          <w:rFonts w:hint="eastAsia" w:ascii="仿宋" w:hAnsi="仿宋" w:eastAsia="仿宋"/>
          <w:sz w:val="32"/>
          <w:szCs w:val="32"/>
        </w:rPr>
        <w:t>剂</w:t>
      </w:r>
      <w:r w:rsidRPr="003C684F">
        <w:rPr>
          <w:rFonts w:hint="eastAsia" w:ascii="仿宋" w:hAnsi="仿宋" w:eastAsia="仿宋"/>
          <w:sz w:val="32"/>
          <w:szCs w:val="32"/>
        </w:rPr>
        <w:t>：</w:t>
      </w:r>
      <w:r w:rsidRPr="003C684F">
        <w:rPr>
          <w:rFonts w:ascii="仿宋" w:hAnsi="仿宋" w:eastAsia="仿宋"/>
          <w:sz w:val="32"/>
          <w:szCs w:val="32"/>
        </w:rPr>
        <w:t>1</w:t>
      </w:r>
      <w:r w:rsidRPr="003C684F">
        <w:rPr>
          <w:rFonts w:hint="eastAsia" w:ascii="仿宋" w:hAnsi="仿宋" w:eastAsia="仿宋"/>
          <w:sz w:val="32"/>
          <w:szCs w:val="32"/>
        </w:rPr>
        <w:t>00mg（10ml）/瓶</w:t>
      </w:r>
    </w:p>
    <w:p w:rsidRPr="003C684F" w:rsidR="009730C1" w:rsidRDefault="00A315B9" w14:paraId="440F1BC5" w14:textId="77777777">
      <w:pPr>
        <w:spacing w:line="360" w:lineRule="auto"/>
        <w:ind w:firstLine="643" w:firstLineChars="200"/>
        <w:rPr>
          <w:rFonts w:ascii="仿宋" w:hAnsi="仿宋" w:eastAsia="仿宋"/>
          <w:b/>
          <w:sz w:val="32"/>
          <w:szCs w:val="32"/>
        </w:rPr>
      </w:pPr>
      <w:r w:rsidRPr="003C684F">
        <w:rPr>
          <w:rFonts w:hint="eastAsia" w:ascii="仿宋" w:hAnsi="仿宋" w:eastAsia="仿宋"/>
          <w:b/>
          <w:sz w:val="32"/>
          <w:szCs w:val="32"/>
        </w:rPr>
        <w:t>适应证：</w:t>
      </w:r>
    </w:p>
    <w:p w:rsidRPr="003C684F" w:rsidR="009730C1" w:rsidRDefault="00A315B9" w14:paraId="12A93E25"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w:t>
      </w:r>
      <w:r w:rsidRPr="003C684F">
        <w:rPr>
          <w:rFonts w:ascii="仿宋" w:hAnsi="仿宋" w:eastAsia="仿宋"/>
          <w:sz w:val="32"/>
          <w:szCs w:val="32"/>
        </w:rPr>
        <w:t>.</w:t>
      </w:r>
      <w:r w:rsidRPr="003C684F">
        <w:rPr>
          <w:rFonts w:hint="eastAsia" w:ascii="仿宋" w:hAnsi="仿宋" w:eastAsia="仿宋"/>
          <w:sz w:val="32"/>
          <w:szCs w:val="32"/>
        </w:rPr>
        <w:t>既往接受过一线标准化疗后进展或不可耐受的局部晚期或转移性食管鳞癌的治疗。</w:t>
      </w:r>
    </w:p>
    <w:p w:rsidRPr="003C684F" w:rsidR="009730C1" w:rsidRDefault="00A315B9" w14:paraId="01C1C24C"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2.</w:t>
      </w:r>
      <w:r w:rsidRPr="003C684F">
        <w:rPr>
          <w:rFonts w:hint="eastAsia" w:ascii="仿宋" w:hAnsi="仿宋" w:eastAsia="仿宋"/>
          <w:sz w:val="32"/>
          <w:szCs w:val="32"/>
        </w:rPr>
        <w:t>至少经过一种全身治疗的肝细胞癌的治疗。</w:t>
      </w:r>
    </w:p>
    <w:p w:rsidRPr="003C684F" w:rsidR="009730C1" w:rsidRDefault="00A315B9" w14:paraId="0147A193"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3.</w:t>
      </w:r>
      <w:r w:rsidRPr="003C684F">
        <w:rPr>
          <w:rFonts w:hint="eastAsia" w:ascii="仿宋" w:hAnsi="仿宋" w:eastAsia="仿宋"/>
          <w:sz w:val="32"/>
          <w:szCs w:val="32"/>
        </w:rPr>
        <w:t>不可切除或转移性高度微卫星不稳定型或错配修复</w:t>
      </w:r>
      <w:r w:rsidRPr="003C684F">
        <w:rPr>
          <w:rFonts w:hint="eastAsia" w:ascii="仿宋" w:hAnsi="仿宋" w:eastAsia="仿宋"/>
          <w:sz w:val="32"/>
          <w:szCs w:val="32"/>
        </w:rPr>
        <w:lastRenderedPageBreak/>
        <w:t>基因缺陷型的成人晚期实体瘤患者：既往经过氟尿嘧啶类、奥沙利铂和伊立替康治疗后出现疾病进展的晚期结直肠癌患者</w:t>
      </w:r>
      <w:r w:rsidRPr="003C684F">
        <w:rPr>
          <w:rFonts w:ascii="仿宋" w:hAnsi="仿宋" w:eastAsia="仿宋"/>
          <w:sz w:val="32"/>
          <w:szCs w:val="32"/>
        </w:rPr>
        <w:t>;</w:t>
      </w:r>
      <w:r w:rsidRPr="003C684F">
        <w:rPr>
          <w:rFonts w:hint="eastAsia" w:ascii="仿宋" w:hAnsi="仿宋" w:eastAsia="仿宋"/>
          <w:sz w:val="32"/>
          <w:szCs w:val="32"/>
        </w:rPr>
        <w:t>既往治疗后出现疾病进展且无满意替代治疗方案的其他晚期实体瘤患者。</w:t>
      </w:r>
    </w:p>
    <w:p w:rsidRPr="003C684F" w:rsidR="009730C1" w:rsidRDefault="00A315B9" w14:paraId="340E2E37" w14:textId="77777777">
      <w:pPr>
        <w:spacing w:line="360" w:lineRule="auto"/>
        <w:ind w:firstLine="643" w:firstLineChars="200"/>
        <w:rPr>
          <w:rFonts w:ascii="仿宋" w:hAnsi="仿宋" w:eastAsia="仿宋"/>
          <w:b/>
          <w:bCs/>
          <w:sz w:val="32"/>
          <w:szCs w:val="32"/>
        </w:rPr>
      </w:pPr>
      <w:r w:rsidRPr="003C684F">
        <w:rPr>
          <w:rFonts w:hint="eastAsia" w:ascii="仿宋" w:hAnsi="仿宋" w:eastAsia="仿宋"/>
          <w:b/>
          <w:bCs/>
          <w:sz w:val="32"/>
          <w:szCs w:val="32"/>
        </w:rPr>
        <w:t>合理用药要点：</w:t>
      </w:r>
    </w:p>
    <w:p w:rsidRPr="003C684F" w:rsidR="009730C1" w:rsidRDefault="00A315B9" w14:paraId="1F0FCC18" w14:textId="77777777">
      <w:pPr>
        <w:spacing w:line="360" w:lineRule="auto"/>
        <w:ind w:firstLine="640" w:firstLineChars="200"/>
        <w:rPr>
          <w:rFonts w:ascii="仿宋" w:hAnsi="仿宋" w:eastAsia="仿宋"/>
          <w:bCs/>
          <w:sz w:val="32"/>
          <w:szCs w:val="32"/>
        </w:rPr>
      </w:pPr>
      <w:r w:rsidRPr="003C684F">
        <w:rPr>
          <w:rFonts w:ascii="仿宋" w:hAnsi="仿宋" w:eastAsia="仿宋"/>
          <w:bCs/>
          <w:sz w:val="32"/>
          <w:szCs w:val="32"/>
        </w:rPr>
        <w:t>1.应该按照相关疾病指南，治疗前做基线评估，治疗期间定期监测治疗反应及毒性。</w:t>
      </w:r>
    </w:p>
    <w:p w:rsidRPr="003C684F" w:rsidR="009730C1" w:rsidRDefault="00A315B9" w14:paraId="3C156C6E" w14:textId="57ABAB82">
      <w:pPr>
        <w:spacing w:line="360" w:lineRule="auto"/>
        <w:ind w:firstLine="640" w:firstLineChars="200"/>
        <w:rPr>
          <w:rFonts w:ascii="仿宋" w:hAnsi="仿宋" w:eastAsia="仿宋"/>
          <w:bCs/>
          <w:sz w:val="32"/>
          <w:szCs w:val="32"/>
        </w:rPr>
      </w:pPr>
      <w:r w:rsidRPr="003C684F">
        <w:rPr>
          <w:rFonts w:ascii="仿宋" w:hAnsi="仿宋" w:eastAsia="仿宋"/>
          <w:bCs/>
          <w:sz w:val="32"/>
          <w:szCs w:val="32"/>
        </w:rPr>
        <w:t>2.推荐剂量为200mg</w:t>
      </w:r>
      <w:r w:rsidRPr="003C684F" w:rsidR="00C85346">
        <w:rPr>
          <w:rFonts w:hint="eastAsia" w:ascii="仿宋" w:hAnsi="仿宋" w:eastAsia="仿宋"/>
          <w:bCs/>
          <w:sz w:val="32"/>
          <w:szCs w:val="32"/>
        </w:rPr>
        <w:t>/次</w:t>
      </w:r>
      <w:r w:rsidRPr="003C684F">
        <w:rPr>
          <w:rFonts w:ascii="仿宋" w:hAnsi="仿宋" w:eastAsia="仿宋"/>
          <w:bCs/>
          <w:sz w:val="32"/>
          <w:szCs w:val="32"/>
        </w:rPr>
        <w:t>，</w:t>
      </w:r>
      <w:r w:rsidRPr="003C684F" w:rsidR="0071399F">
        <w:rPr>
          <w:rFonts w:ascii="仿宋" w:hAnsi="仿宋" w:eastAsia="仿宋"/>
          <w:bCs/>
          <w:sz w:val="32"/>
          <w:szCs w:val="32"/>
        </w:rPr>
        <w:t>每3周一次</w:t>
      </w:r>
      <w:r w:rsidRPr="003C684F">
        <w:rPr>
          <w:rFonts w:ascii="仿宋" w:hAnsi="仿宋" w:eastAsia="仿宋"/>
          <w:bCs/>
          <w:sz w:val="32"/>
          <w:szCs w:val="32"/>
        </w:rPr>
        <w:t>，</w:t>
      </w:r>
      <w:r w:rsidRPr="003C684F" w:rsidR="00C85346">
        <w:rPr>
          <w:rFonts w:hint="eastAsia" w:ascii="仿宋" w:hAnsi="仿宋" w:eastAsia="仿宋"/>
          <w:bCs/>
          <w:sz w:val="32"/>
          <w:szCs w:val="32"/>
        </w:rPr>
        <w:t>静脉输注，</w:t>
      </w:r>
      <w:r w:rsidRPr="003C684F" w:rsidR="00F45CAA">
        <w:rPr>
          <w:rFonts w:hint="eastAsia" w:ascii="仿宋" w:hAnsi="仿宋" w:eastAsia="仿宋"/>
          <w:bCs/>
          <w:sz w:val="32"/>
          <w:szCs w:val="32"/>
        </w:rPr>
        <w:t>第一次输注时间应</w:t>
      </w:r>
      <w:r w:rsidR="003D2DDC">
        <w:rPr>
          <w:rFonts w:hint="eastAsia" w:ascii="仿宋" w:hAnsi="仿宋" w:eastAsia="仿宋"/>
          <w:bCs/>
          <w:sz w:val="32"/>
          <w:szCs w:val="32"/>
        </w:rPr>
        <w:t>至少</w:t>
      </w:r>
      <w:r w:rsidRPr="003C684F" w:rsidR="00F45CAA">
        <w:rPr>
          <w:rFonts w:hint="eastAsia" w:ascii="仿宋" w:hAnsi="仿宋" w:eastAsia="仿宋"/>
          <w:bCs/>
          <w:sz w:val="32"/>
          <w:szCs w:val="32"/>
        </w:rPr>
        <w:t>60分钟，如果耐受良好，则后续每一次输注时间应</w:t>
      </w:r>
      <w:r w:rsidR="003D2DDC">
        <w:rPr>
          <w:rFonts w:hint="eastAsia" w:ascii="仿宋" w:hAnsi="仿宋" w:eastAsia="仿宋"/>
          <w:bCs/>
          <w:sz w:val="32"/>
          <w:szCs w:val="32"/>
        </w:rPr>
        <w:t>至少</w:t>
      </w:r>
      <w:r w:rsidRPr="003C684F" w:rsidR="00F45CAA">
        <w:rPr>
          <w:rFonts w:hint="eastAsia" w:ascii="仿宋" w:hAnsi="仿宋" w:eastAsia="仿宋"/>
          <w:bCs/>
          <w:sz w:val="32"/>
          <w:szCs w:val="32"/>
        </w:rPr>
        <w:t>30分钟。</w:t>
      </w:r>
      <w:r w:rsidRPr="003C684F">
        <w:rPr>
          <w:rFonts w:ascii="仿宋" w:hAnsi="仿宋" w:eastAsia="仿宋"/>
          <w:bCs/>
          <w:sz w:val="32"/>
          <w:szCs w:val="32"/>
        </w:rPr>
        <w:t>直至</w:t>
      </w:r>
      <w:r w:rsidRPr="003C684F" w:rsidR="00B95507">
        <w:rPr>
          <w:rFonts w:ascii="仿宋" w:hAnsi="仿宋" w:eastAsia="仿宋"/>
          <w:bCs/>
          <w:sz w:val="32"/>
          <w:szCs w:val="32"/>
        </w:rPr>
        <w:t>疾病进展或出现不可耐受的毒性。</w:t>
      </w:r>
    </w:p>
    <w:p w:rsidRPr="003C684F" w:rsidR="008D621A" w:rsidP="00DB0AB4" w:rsidRDefault="00DB0AB4" w14:paraId="0204C228" w14:textId="669ABF3F">
      <w:pPr>
        <w:spacing w:line="360" w:lineRule="auto"/>
        <w:ind w:firstLine="640" w:firstLineChars="200"/>
        <w:rPr>
          <w:rFonts w:ascii="仿宋" w:hAnsi="仿宋" w:eastAsia="仿宋"/>
          <w:bCs/>
          <w:sz w:val="32"/>
          <w:szCs w:val="32"/>
        </w:rPr>
      </w:pPr>
      <w:r w:rsidRPr="003C684F">
        <w:rPr>
          <w:rFonts w:hint="eastAsia" w:ascii="仿宋" w:hAnsi="仿宋" w:eastAsia="仿宋"/>
          <w:bCs/>
          <w:sz w:val="32"/>
          <w:szCs w:val="32"/>
        </w:rPr>
        <w:t>3.最常见的不良反应（≥10%）为发热、甲状腺功能减退、体重增加、瘙痒症、白细胞减少症</w:t>
      </w:r>
      <w:r w:rsidRPr="003C684F" w:rsidR="00151D42">
        <w:rPr>
          <w:rFonts w:hint="eastAsia" w:ascii="仿宋" w:hAnsi="仿宋" w:eastAsia="仿宋"/>
          <w:bCs/>
          <w:sz w:val="32"/>
          <w:szCs w:val="32"/>
        </w:rPr>
        <w:t>、上呼吸道感染、</w:t>
      </w:r>
      <w:r w:rsidRPr="003C684F">
        <w:rPr>
          <w:rFonts w:hint="eastAsia" w:ascii="仿宋" w:hAnsi="仿宋" w:eastAsia="仿宋"/>
          <w:bCs/>
          <w:sz w:val="32"/>
          <w:szCs w:val="32"/>
        </w:rPr>
        <w:t>ALT升高、皮疹、中性粒细胞减少症、咳嗽、疲乏和血胆红素升高。</w:t>
      </w:r>
    </w:p>
    <w:p w:rsidRPr="003C684F" w:rsidR="009730C1" w:rsidRDefault="00DB0AB4" w14:paraId="1CED8088" w14:textId="5A51E940">
      <w:pPr>
        <w:spacing w:line="360" w:lineRule="auto"/>
        <w:ind w:firstLine="640" w:firstLineChars="200"/>
        <w:rPr>
          <w:rFonts w:ascii="仿宋" w:hAnsi="仿宋" w:eastAsia="仿宋"/>
          <w:bCs/>
          <w:sz w:val="32"/>
          <w:szCs w:val="32"/>
        </w:rPr>
      </w:pPr>
      <w:r w:rsidRPr="003C684F">
        <w:rPr>
          <w:rFonts w:hint="eastAsia" w:ascii="仿宋" w:hAnsi="仿宋" w:eastAsia="仿宋"/>
          <w:bCs/>
          <w:sz w:val="32"/>
          <w:szCs w:val="32"/>
        </w:rPr>
        <w:t>4</w:t>
      </w:r>
      <w:r w:rsidRPr="003C684F" w:rsidR="00A315B9">
        <w:rPr>
          <w:rFonts w:ascii="仿宋" w:hAnsi="仿宋" w:eastAsia="仿宋"/>
          <w:bCs/>
          <w:sz w:val="32"/>
          <w:szCs w:val="32"/>
        </w:rPr>
        <w:t>.</w:t>
      </w:r>
      <w:r w:rsidRPr="003C684F" w:rsidR="00A315B9">
        <w:rPr>
          <w:rFonts w:hint="eastAsia" w:ascii="仿宋" w:hAnsi="仿宋" w:eastAsia="仿宋"/>
          <w:sz w:val="32"/>
          <w:szCs w:val="32"/>
        </w:rPr>
        <w:t>肝细胞癌</w:t>
      </w:r>
      <w:r w:rsidRPr="003C684F" w:rsidR="00A315B9">
        <w:rPr>
          <w:rFonts w:hint="eastAsia" w:ascii="仿宋" w:hAnsi="仿宋" w:eastAsia="仿宋"/>
          <w:bCs/>
          <w:sz w:val="32"/>
          <w:szCs w:val="32"/>
        </w:rPr>
        <w:t>适应证是基于一项Ⅱ期临床试验的客观缓解率和总生存期结果给予的附条件批准。其完全批准将取决于正在开展中的确证性随机对照临床试验能否证实本品治疗相对应标准治疗的显著临床获益。</w:t>
      </w:r>
      <w:r w:rsidRPr="003C684F" w:rsidR="00A315B9">
        <w:rPr>
          <w:rFonts w:hint="eastAsia" w:ascii="仿宋" w:hAnsi="仿宋" w:eastAsia="仿宋"/>
          <w:sz w:val="32"/>
          <w:szCs w:val="32"/>
        </w:rPr>
        <w:t>高度微卫星不稳定型或错配修复基因缺陷型</w:t>
      </w:r>
      <w:r w:rsidRPr="003C684F" w:rsidR="00A315B9">
        <w:rPr>
          <w:rFonts w:hint="eastAsia" w:ascii="仿宋" w:hAnsi="仿宋" w:eastAsia="仿宋"/>
          <w:bCs/>
          <w:sz w:val="32"/>
          <w:szCs w:val="32"/>
        </w:rPr>
        <w:t>的成人晚期实体瘤适应证基于替代终点获得附条件批准上市，暂未获得临床终点数据，</w:t>
      </w:r>
      <w:r w:rsidRPr="003C684F" w:rsidR="007F3658">
        <w:rPr>
          <w:rFonts w:hint="eastAsia" w:ascii="仿宋" w:hAnsi="仿宋" w:eastAsia="仿宋"/>
          <w:bCs/>
          <w:sz w:val="32"/>
          <w:szCs w:val="32"/>
        </w:rPr>
        <w:t>安全性和有效性</w:t>
      </w:r>
      <w:r w:rsidRPr="003C684F" w:rsidR="00A315B9">
        <w:rPr>
          <w:rFonts w:hint="eastAsia" w:ascii="仿宋" w:hAnsi="仿宋" w:eastAsia="仿宋"/>
          <w:bCs/>
          <w:sz w:val="32"/>
          <w:szCs w:val="32"/>
        </w:rPr>
        <w:t>尚待上市后进一步确证。</w:t>
      </w:r>
    </w:p>
    <w:p w:rsidRPr="003C684F" w:rsidR="009730C1" w:rsidRDefault="00DB0AB4" w14:paraId="5E68A4FD" w14:textId="04771DD2">
      <w:pPr>
        <w:spacing w:line="360" w:lineRule="auto"/>
        <w:ind w:firstLine="640" w:firstLineChars="200"/>
        <w:rPr>
          <w:rFonts w:ascii="仿宋" w:hAnsi="仿宋" w:eastAsia="仿宋"/>
          <w:bCs/>
          <w:sz w:val="32"/>
          <w:szCs w:val="32"/>
        </w:rPr>
      </w:pPr>
      <w:r w:rsidRPr="003C684F">
        <w:rPr>
          <w:rFonts w:hint="eastAsia" w:ascii="仿宋" w:hAnsi="仿宋" w:eastAsia="仿宋"/>
          <w:bCs/>
          <w:sz w:val="32"/>
          <w:szCs w:val="32"/>
        </w:rPr>
        <w:lastRenderedPageBreak/>
        <w:t>5</w:t>
      </w:r>
      <w:r w:rsidRPr="003C684F" w:rsidR="00A315B9">
        <w:rPr>
          <w:rFonts w:ascii="仿宋" w:hAnsi="仿宋" w:eastAsia="仿宋"/>
          <w:bCs/>
          <w:sz w:val="32"/>
          <w:szCs w:val="32"/>
        </w:rPr>
        <w:t>.有可能观察到非典型反应</w:t>
      </w:r>
      <w:r w:rsidRPr="003C684F" w:rsidR="00A315B9">
        <w:rPr>
          <w:rFonts w:hint="eastAsia" w:ascii="仿宋" w:hAnsi="仿宋" w:eastAsia="仿宋"/>
          <w:bCs/>
          <w:sz w:val="32"/>
          <w:szCs w:val="32"/>
        </w:rPr>
        <w:t>。如果患者临床症状稳定或持续减轻，即使有疾病进展的初步证据，基于总体临床获益的判断，可考虑继续应用本品治疗，直至证实疾病进展。</w:t>
      </w:r>
    </w:p>
    <w:p w:rsidRPr="003C684F" w:rsidR="009730C1" w:rsidRDefault="00DB0AB4" w14:paraId="6F8E77F7" w14:textId="1D025AD4">
      <w:pPr>
        <w:spacing w:line="360" w:lineRule="auto"/>
        <w:ind w:firstLine="640" w:firstLineChars="200"/>
        <w:rPr>
          <w:rFonts w:ascii="仿宋" w:hAnsi="仿宋" w:eastAsia="仿宋"/>
          <w:bCs/>
          <w:sz w:val="32"/>
          <w:szCs w:val="32"/>
        </w:rPr>
      </w:pPr>
      <w:r w:rsidRPr="003C684F">
        <w:rPr>
          <w:rFonts w:hint="eastAsia" w:ascii="仿宋" w:hAnsi="仿宋" w:eastAsia="仿宋"/>
          <w:bCs/>
          <w:sz w:val="32"/>
          <w:szCs w:val="32"/>
        </w:rPr>
        <w:t>6</w:t>
      </w:r>
      <w:r w:rsidRPr="003C684F" w:rsidR="00A315B9">
        <w:rPr>
          <w:rFonts w:ascii="仿宋" w:hAnsi="仿宋" w:eastAsia="仿宋"/>
          <w:bCs/>
          <w:sz w:val="32"/>
          <w:szCs w:val="32"/>
        </w:rPr>
        <w:t>.</w:t>
      </w:r>
      <w:r w:rsidRPr="003C684F" w:rsidR="00A315B9">
        <w:rPr>
          <w:rFonts w:hint="eastAsia" w:ascii="仿宋" w:hAnsi="仿宋" w:eastAsia="仿宋"/>
          <w:bCs/>
          <w:sz w:val="32"/>
          <w:szCs w:val="32"/>
        </w:rPr>
        <w:t>建议治疗前进行包括甲状腺功能、心肌酶等的基线检测，在治疗中定期随访用于早期发现免疫相关性不良反应。同时需注意免疫相关性不良反应也可能出现于治疗结束后。</w:t>
      </w:r>
      <w:r w:rsidRPr="003C684F" w:rsidR="00A315B9">
        <w:rPr>
          <w:rFonts w:hint="eastAsia" w:ascii="仿宋" w:hAnsi="仿宋" w:eastAsia="仿宋"/>
          <w:sz w:val="32"/>
          <w:szCs w:val="32"/>
        </w:rPr>
        <w:t>对于疑似免疫相关性不良反应，应进行充分的评估以确认病因或排除其他病因，</w:t>
      </w:r>
      <w:r w:rsidRPr="003C684F" w:rsidR="00A315B9">
        <w:rPr>
          <w:rFonts w:hint="eastAsia" w:ascii="仿宋" w:hAnsi="仿宋" w:eastAsia="仿宋"/>
          <w:bCs/>
          <w:sz w:val="32"/>
          <w:szCs w:val="32"/>
        </w:rPr>
        <w:t>根据个体患者的安全性和耐受性，可能需要暂停给药或</w:t>
      </w:r>
      <w:r w:rsidRPr="003C684F" w:rsidR="00373DC1">
        <w:rPr>
          <w:rFonts w:hint="eastAsia" w:ascii="仿宋" w:hAnsi="仿宋" w:eastAsia="仿宋"/>
          <w:bCs/>
          <w:sz w:val="32"/>
          <w:szCs w:val="32"/>
        </w:rPr>
        <w:t>永久停用</w:t>
      </w:r>
      <w:r w:rsidRPr="003C684F" w:rsidR="00A315B9">
        <w:rPr>
          <w:rFonts w:hint="eastAsia" w:ascii="仿宋" w:hAnsi="仿宋" w:eastAsia="仿宋"/>
          <w:bCs/>
          <w:sz w:val="32"/>
          <w:szCs w:val="32"/>
        </w:rPr>
        <w:t>。不建议增加或减少剂量。严重者或诊断存疑者可由消化科、风湿科、皮肤科、呼吸科、肿瘤科等组成的免疫不良反应MDT进行会诊。</w:t>
      </w:r>
    </w:p>
    <w:p w:rsidRPr="003C684F" w:rsidR="009730C1" w:rsidRDefault="00DB0AB4" w14:paraId="479D3AD0" w14:textId="3CFA7A1A">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7</w:t>
      </w:r>
      <w:r w:rsidRPr="003C684F" w:rsidR="00A315B9">
        <w:rPr>
          <w:rFonts w:hint="eastAsia" w:ascii="仿宋" w:hAnsi="仿宋" w:eastAsia="仿宋"/>
          <w:sz w:val="32"/>
          <w:szCs w:val="32"/>
        </w:rPr>
        <w:t>.目前尚无针对中重度肝功能损伤患者的研究数据，中重度肝功能损伤患者不推荐使用。轻度肝功能损伤患者应在医生指导下慎用本品，如需使用，</w:t>
      </w:r>
      <w:r w:rsidRPr="003C684F" w:rsidR="00BD154E">
        <w:rPr>
          <w:rFonts w:hint="eastAsia" w:ascii="仿宋" w:hAnsi="仿宋" w:eastAsia="仿宋"/>
          <w:sz w:val="32"/>
          <w:szCs w:val="32"/>
        </w:rPr>
        <w:t>无需</w:t>
      </w:r>
      <w:r w:rsidRPr="003C684F" w:rsidR="00A315B9">
        <w:rPr>
          <w:rFonts w:hint="eastAsia" w:ascii="仿宋" w:hAnsi="仿宋" w:eastAsia="仿宋"/>
          <w:sz w:val="32"/>
          <w:szCs w:val="32"/>
        </w:rPr>
        <w:t>进行剂量调整。</w:t>
      </w:r>
    </w:p>
    <w:p w:rsidRPr="003C684F" w:rsidR="009730C1" w:rsidRDefault="00DB0AB4" w14:paraId="75E60F9B" w14:textId="3E6E38C3">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8</w:t>
      </w:r>
      <w:r w:rsidRPr="003C684F" w:rsidR="00A315B9">
        <w:rPr>
          <w:rFonts w:hint="eastAsia" w:ascii="仿宋" w:hAnsi="仿宋" w:eastAsia="仿宋"/>
          <w:sz w:val="32"/>
          <w:szCs w:val="32"/>
        </w:rPr>
        <w:t>.目前尚无针对重度肾功能损伤患者的研究数据，重度肾功能损伤患者不推荐使用。轻中度肾功能损伤患者应在医生指导下慎用本品，如需使用，</w:t>
      </w:r>
      <w:r w:rsidRPr="003C684F" w:rsidR="00BD154E">
        <w:rPr>
          <w:rFonts w:hint="eastAsia" w:ascii="仿宋" w:hAnsi="仿宋" w:eastAsia="仿宋"/>
          <w:sz w:val="32"/>
          <w:szCs w:val="32"/>
        </w:rPr>
        <w:t>无需</w:t>
      </w:r>
      <w:r w:rsidRPr="003C684F" w:rsidR="00A315B9">
        <w:rPr>
          <w:rFonts w:hint="eastAsia" w:ascii="仿宋" w:hAnsi="仿宋" w:eastAsia="仿宋"/>
          <w:sz w:val="32"/>
          <w:szCs w:val="32"/>
        </w:rPr>
        <w:t>进行剂量调整。</w:t>
      </w:r>
    </w:p>
    <w:p w:rsidRPr="003C684F" w:rsidR="009730C1" w:rsidRDefault="00DB0AB4" w14:paraId="15F1A98B" w14:textId="63A16B05">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9</w:t>
      </w:r>
      <w:r w:rsidRPr="003C684F" w:rsidR="00A315B9">
        <w:rPr>
          <w:rFonts w:hint="eastAsia" w:ascii="仿宋" w:hAnsi="仿宋" w:eastAsia="仿宋"/>
          <w:sz w:val="32"/>
          <w:szCs w:val="32"/>
        </w:rPr>
        <w:t>.建议哺乳期妇女在接受本品治疗期间及末次给药后至少5个月内停止哺乳。育龄期妇女在接受本品治疗期间，以及最后一次本品给药后至少5个月内应采用有效避孕措施。</w:t>
      </w:r>
    </w:p>
    <w:p w:rsidRPr="003C684F" w:rsidR="009730C1" w:rsidRDefault="00DB0AB4" w14:paraId="7301F343" w14:textId="31007CF2">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10</w:t>
      </w:r>
      <w:r w:rsidRPr="003C684F" w:rsidR="00A315B9">
        <w:rPr>
          <w:rFonts w:hint="eastAsia" w:ascii="仿宋" w:hAnsi="仿宋" w:eastAsia="仿宋"/>
          <w:sz w:val="32"/>
          <w:szCs w:val="32"/>
        </w:rPr>
        <w:t>.因可能干扰本品药效学活性，应避免在开始本品治疗前使用全身性糖皮质激素及其他免疫抑制剂。但是如果为</w:t>
      </w:r>
      <w:r w:rsidRPr="003C684F" w:rsidR="00A315B9">
        <w:rPr>
          <w:rFonts w:hint="eastAsia" w:ascii="仿宋" w:hAnsi="仿宋" w:eastAsia="仿宋"/>
          <w:sz w:val="32"/>
          <w:szCs w:val="32"/>
        </w:rPr>
        <w:lastRenderedPageBreak/>
        <w:t>了治疗免疫相关性不良反应，可在开始本品治疗后使用全身性糖皮质激素及其他免疫抑制剂。</w:t>
      </w:r>
    </w:p>
    <w:p w:rsidRPr="003C684F" w:rsidR="009730C1" w:rsidRDefault="00A315B9" w14:paraId="2CDE5344"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九、帕博利珠单抗 P</w:t>
      </w:r>
      <w:r w:rsidRPr="003C684F">
        <w:rPr>
          <w:rFonts w:ascii="黑体" w:hAnsi="黑体" w:eastAsia="黑体"/>
          <w:color w:val="000000"/>
          <w:sz w:val="32"/>
          <w:szCs w:val="32"/>
        </w:rPr>
        <w:t>embrolizumab</w:t>
      </w:r>
    </w:p>
    <w:p w:rsidRPr="003C684F" w:rsidR="009730C1" w:rsidRDefault="00A315B9" w14:paraId="682D305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225B86">
        <w:rPr>
          <w:rFonts w:hint="eastAsia" w:ascii="仿宋" w:hAnsi="仿宋" w:eastAsia="仿宋"/>
          <w:color w:val="000000"/>
          <w:sz w:val="32"/>
          <w:szCs w:val="32"/>
        </w:rPr>
        <w:t>剂</w:t>
      </w:r>
      <w:r w:rsidRPr="003C684F">
        <w:rPr>
          <w:rFonts w:hint="eastAsia" w:ascii="仿宋" w:hAnsi="仿宋" w:eastAsia="仿宋"/>
          <w:color w:val="000000"/>
          <w:sz w:val="32"/>
          <w:szCs w:val="32"/>
        </w:rPr>
        <w:t>：100mg（4ml）/瓶</w:t>
      </w:r>
    </w:p>
    <w:p w:rsidRPr="003C684F" w:rsidR="009730C1" w:rsidRDefault="00A315B9" w14:paraId="28A4753D"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34776A" w:rsidRDefault="00A315B9" w14:paraId="483273C2"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w:t>
      </w:r>
      <w:r w:rsidRPr="003C684F" w:rsidR="0034776A">
        <w:rPr>
          <w:rFonts w:hint="eastAsia" w:ascii="仿宋" w:hAnsi="仿宋" w:eastAsia="仿宋"/>
          <w:sz w:val="32"/>
          <w:szCs w:val="32"/>
        </w:rPr>
        <w:t>联合铂类和氟尿嘧啶类化疗药物用于局部晚期不可切除或转移性食管或胃食管结合部癌患者的一线治疗。</w:t>
      </w:r>
    </w:p>
    <w:p w:rsidRPr="003C684F" w:rsidR="009730C1" w:rsidRDefault="0034776A" w14:paraId="528FC812"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2.</w:t>
      </w:r>
      <w:r w:rsidRPr="003C684F" w:rsidR="00A315B9">
        <w:rPr>
          <w:rFonts w:hint="eastAsia" w:ascii="仿宋" w:hAnsi="仿宋" w:eastAsia="仿宋"/>
          <w:sz w:val="32"/>
          <w:szCs w:val="32"/>
        </w:rPr>
        <w:t>由国家药品监督管理局批准的检测评估为PD-L1综合阳性评分（CPS）≥10、既往一线全身治疗失败的局部晚期或转移性食管鳞癌</w:t>
      </w:r>
      <w:r w:rsidRPr="003C684F" w:rsidR="00A315B9">
        <w:rPr>
          <w:rFonts w:ascii="仿宋" w:hAnsi="仿宋" w:eastAsia="仿宋"/>
          <w:sz w:val="32"/>
          <w:szCs w:val="32"/>
        </w:rPr>
        <w:t>。</w:t>
      </w:r>
    </w:p>
    <w:p w:rsidRPr="003C684F" w:rsidR="009730C1" w:rsidRDefault="0034776A" w14:paraId="70FB3846"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3.</w:t>
      </w:r>
      <w:r w:rsidRPr="003C684F" w:rsidR="00A315B9">
        <w:rPr>
          <w:rFonts w:hint="eastAsia" w:ascii="仿宋" w:hAnsi="仿宋" w:eastAsia="仿宋"/>
          <w:sz w:val="32"/>
          <w:szCs w:val="32"/>
        </w:rPr>
        <w:t>KRAS、NRAS和BRAF基因均为野生型，不可切除或转移性高度微卫星不稳定型或错配修复基因缺陷型结直肠癌患者的一线治疗。</w:t>
      </w:r>
    </w:p>
    <w:p w:rsidRPr="003C684F" w:rsidR="009730C1" w:rsidRDefault="00A315B9" w14:paraId="70AAB82F"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068CC7F" w14:textId="2D445708">
      <w:pPr>
        <w:spacing w:line="360" w:lineRule="auto"/>
        <w:ind w:firstLine="640" w:firstLineChars="200"/>
        <w:rPr>
          <w:rFonts w:ascii="仿宋" w:hAnsi="仿宋" w:eastAsia="仿宋"/>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.帕博利珠单抗基于KEYNOTE-181和KEYNOTE-177研究结果，</w:t>
      </w:r>
      <w:r w:rsidRPr="003C684F">
        <w:rPr>
          <w:rFonts w:hint="eastAsia" w:ascii="仿宋" w:hAnsi="仿宋" w:eastAsia="仿宋" w:cs="仿宋"/>
          <w:sz w:val="32"/>
          <w:szCs w:val="32"/>
        </w:rPr>
        <w:t>获批的剂量</w:t>
      </w:r>
      <w:r w:rsidRPr="003C684F">
        <w:rPr>
          <w:rFonts w:hint="eastAsia" w:ascii="仿宋" w:hAnsi="仿宋" w:eastAsia="仿宋"/>
          <w:color w:val="000000"/>
          <w:sz w:val="32"/>
          <w:szCs w:val="32"/>
        </w:rPr>
        <w:t>是200mg</w:t>
      </w:r>
      <w:r w:rsidRPr="003C684F" w:rsidR="002E618D">
        <w:rPr>
          <w:rFonts w:hint="eastAsia" w:ascii="仿宋" w:hAnsi="仿宋" w:eastAsia="仿宋"/>
          <w:color w:val="000000"/>
          <w:sz w:val="32"/>
          <w:szCs w:val="32"/>
        </w:rPr>
        <w:t>/次，</w:t>
      </w:r>
      <w:r w:rsidRPr="003C684F">
        <w:rPr>
          <w:rFonts w:hint="eastAsia" w:ascii="仿宋" w:hAnsi="仿宋" w:eastAsia="仿宋"/>
          <w:color w:val="000000"/>
          <w:sz w:val="32"/>
          <w:szCs w:val="32"/>
        </w:rPr>
        <w:t>每3周一次，</w:t>
      </w:r>
      <w:r w:rsidRPr="003C684F">
        <w:rPr>
          <w:rFonts w:hint="eastAsia" w:ascii="仿宋" w:hAnsi="仿宋" w:eastAsia="仿宋"/>
          <w:sz w:val="32"/>
          <w:szCs w:val="32"/>
        </w:rPr>
        <w:t>或</w:t>
      </w:r>
      <w:r w:rsidRPr="003C684F">
        <w:rPr>
          <w:rFonts w:ascii="仿宋" w:hAnsi="仿宋" w:eastAsia="仿宋"/>
          <w:sz w:val="32"/>
          <w:szCs w:val="32"/>
        </w:rPr>
        <w:t>4</w:t>
      </w:r>
      <w:r w:rsidRPr="003C684F">
        <w:rPr>
          <w:rFonts w:hint="eastAsia" w:ascii="仿宋" w:hAnsi="仿宋" w:eastAsia="仿宋"/>
          <w:sz w:val="32"/>
          <w:szCs w:val="32"/>
        </w:rPr>
        <w:t>00mg</w:t>
      </w:r>
      <w:r w:rsidRPr="003C684F" w:rsidR="002E618D">
        <w:rPr>
          <w:rFonts w:hint="eastAsia" w:ascii="仿宋" w:hAnsi="仿宋" w:eastAsia="仿宋"/>
          <w:sz w:val="32"/>
          <w:szCs w:val="32"/>
        </w:rPr>
        <w:t>/次，</w:t>
      </w:r>
      <w:r w:rsidRPr="003C684F">
        <w:rPr>
          <w:rFonts w:hint="eastAsia" w:ascii="仿宋" w:hAnsi="仿宋" w:eastAsia="仿宋"/>
          <w:sz w:val="32"/>
          <w:szCs w:val="32"/>
        </w:rPr>
        <w:t>每6周一次，静脉</w:t>
      </w:r>
      <w:r w:rsidRPr="003C684F" w:rsidR="002E618D">
        <w:rPr>
          <w:rFonts w:hint="eastAsia" w:ascii="仿宋" w:hAnsi="仿宋" w:eastAsia="仿宋"/>
          <w:sz w:val="32"/>
          <w:szCs w:val="32"/>
        </w:rPr>
        <w:t>输注</w:t>
      </w:r>
      <w:r w:rsidRPr="003C684F">
        <w:rPr>
          <w:rFonts w:hint="eastAsia" w:ascii="仿宋" w:hAnsi="仿宋" w:eastAsia="仿宋"/>
          <w:sz w:val="32"/>
          <w:szCs w:val="32"/>
        </w:rPr>
        <w:t>，每次持续至少30分钟</w:t>
      </w:r>
      <w:r w:rsidRPr="003C684F" w:rsidR="00BE16F8">
        <w:rPr>
          <w:rFonts w:hint="eastAsia" w:ascii="仿宋" w:hAnsi="仿宋" w:eastAsia="仿宋"/>
          <w:sz w:val="32"/>
          <w:szCs w:val="32"/>
        </w:rPr>
        <w:t>，不得通过静脉推注或单次快速静脉注射给药</w:t>
      </w:r>
      <w:r w:rsidRPr="003C684F">
        <w:rPr>
          <w:rFonts w:hint="eastAsia" w:ascii="仿宋" w:hAnsi="仿宋" w:eastAsia="仿宋"/>
          <w:sz w:val="32"/>
          <w:szCs w:val="32"/>
        </w:rPr>
        <w:t>。</w:t>
      </w:r>
    </w:p>
    <w:p w:rsidRPr="003C684F" w:rsidR="009730C1" w:rsidRDefault="00A315B9" w14:paraId="2F7A13DB" w14:textId="0F689C16">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w:t>
      </w:r>
      <w:r w:rsidRPr="003C684F">
        <w:rPr>
          <w:rFonts w:hint="eastAsia" w:ascii="仿宋" w:hAnsi="仿宋" w:eastAsia="仿宋" w:cs="仿宋"/>
          <w:sz w:val="32"/>
          <w:szCs w:val="32"/>
        </w:rPr>
        <w:t>只要观察到临床获益，应继续</w:t>
      </w:r>
      <w:r w:rsidRPr="003C684F">
        <w:rPr>
          <w:rFonts w:hint="eastAsia" w:ascii="仿宋" w:hAnsi="仿宋" w:eastAsia="仿宋"/>
          <w:color w:val="000000"/>
          <w:sz w:val="32"/>
          <w:szCs w:val="32"/>
        </w:rPr>
        <w:t>帕博利珠单抗</w:t>
      </w:r>
      <w:r w:rsidRPr="003C684F">
        <w:rPr>
          <w:rFonts w:hint="eastAsia" w:ascii="仿宋" w:hAnsi="仿宋" w:eastAsia="仿宋" w:cs="仿宋"/>
          <w:sz w:val="32"/>
          <w:szCs w:val="32"/>
        </w:rPr>
        <w:t>治疗，直至患者不能耐受，</w:t>
      </w:r>
      <w:r w:rsidRPr="003C684F">
        <w:rPr>
          <w:rFonts w:hint="eastAsia" w:ascii="仿宋" w:hAnsi="仿宋" w:eastAsia="仿宋"/>
          <w:color w:val="000000"/>
          <w:sz w:val="32"/>
          <w:szCs w:val="32"/>
        </w:rPr>
        <w:t>有可能观察到非典型反应。如果患者临床症状稳定，</w:t>
      </w:r>
      <w:r w:rsidRPr="003C684F">
        <w:rPr>
          <w:rFonts w:hint="eastAsia" w:ascii="仿宋" w:hAnsi="仿宋" w:eastAsia="仿宋" w:cs="仿宋"/>
          <w:sz w:val="32"/>
          <w:szCs w:val="32"/>
        </w:rPr>
        <w:t>即使考虑有疾病进展的可能，但</w:t>
      </w:r>
      <w:r w:rsidRPr="003C684F">
        <w:rPr>
          <w:rFonts w:hint="eastAsia" w:ascii="仿宋" w:hAnsi="仿宋" w:eastAsia="仿宋"/>
          <w:color w:val="000000"/>
          <w:sz w:val="32"/>
          <w:szCs w:val="32"/>
        </w:rPr>
        <w:t>基于总体临床获益的判断，可考虑继续应用本品治疗，直至证实疾病进展。</w:t>
      </w:r>
    </w:p>
    <w:p w:rsidRPr="003C684F" w:rsidR="009730C1" w:rsidRDefault="00A315B9" w14:paraId="79588BBA" w14:textId="7111021B">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lastRenderedPageBreak/>
        <w:t>3</w:t>
      </w:r>
      <w:r w:rsidRPr="003C684F">
        <w:rPr>
          <w:rFonts w:hint="eastAsia" w:ascii="仿宋" w:hAnsi="仿宋" w:eastAsia="仿宋"/>
          <w:color w:val="000000"/>
          <w:sz w:val="32"/>
          <w:szCs w:val="32"/>
        </w:rPr>
        <w:t>.根据个体患者的安全性和耐受性，可能需要暂停给药或</w:t>
      </w:r>
      <w:r w:rsidRPr="003C684F" w:rsidR="00A24989">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54F5503C" w14:textId="6F96837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发生4级或复发性3级不良反应，虽然进行治疗调整但仍持续存在2级或3级不良反应，应永久停用帕博利珠单抗。如果出现任何重度、复发的免疫相关性不良反应以及任何危及生命的免疫相关性不良反应，必须永久停</w:t>
      </w:r>
      <w:r w:rsidRPr="003C684F" w:rsidR="00A12A3F">
        <w:rPr>
          <w:rFonts w:hint="eastAsia" w:ascii="仿宋" w:hAnsi="仿宋" w:eastAsia="仿宋"/>
          <w:color w:val="000000"/>
          <w:sz w:val="32"/>
          <w:szCs w:val="32"/>
        </w:rPr>
        <w:t>用</w:t>
      </w:r>
      <w:r w:rsidRPr="003C684F">
        <w:rPr>
          <w:rFonts w:hint="eastAsia" w:ascii="仿宋" w:hAnsi="仿宋" w:eastAsia="仿宋"/>
          <w:color w:val="000000"/>
          <w:sz w:val="32"/>
          <w:szCs w:val="32"/>
        </w:rPr>
        <w:t>帕博利珠单抗。</w:t>
      </w:r>
    </w:p>
    <w:p w:rsidRPr="003C684F" w:rsidR="009730C1" w:rsidRDefault="00A315B9" w14:paraId="6213FCC4" w14:textId="31906DEF">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5.老年患者（≥65岁）</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调整剂量。轻中度肾功能损伤患者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调整剂量，重度肾功能损伤患者的数据有限。轻度肝功能损伤患者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调整剂量，尚未在中重度肝功能损伤患者中进行本品的相关研究。</w:t>
      </w:r>
    </w:p>
    <w:p w:rsidRPr="003C684F" w:rsidR="00A63D34" w:rsidP="00A63D34" w:rsidRDefault="00A63D34" w14:paraId="4E6F2887" w14:textId="44B1DF12">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6.尚未确定本品在18岁以下儿童和青少年患者的安全性和有效性。</w:t>
      </w:r>
    </w:p>
    <w:p w:rsidRPr="003C684F" w:rsidR="009730C1" w:rsidRDefault="00A63D34" w14:paraId="33D4C56B" w14:textId="2DC9FAB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w:t>
      </w:r>
      <w:r w:rsidRPr="003C684F" w:rsidR="00A315B9">
        <w:rPr>
          <w:rFonts w:hint="eastAsia" w:ascii="仿宋" w:hAnsi="仿宋" w:eastAsia="仿宋"/>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在患者接受免疫抑制剂量的糖皮质激素或其他免疫抑制剂治疗期间，不可重新使用帕博利珠单抗治疗。</w:t>
      </w:r>
    </w:p>
    <w:p w:rsidRPr="003C684F" w:rsidR="009730C1" w:rsidRDefault="00A63D34" w14:paraId="04A66806" w14:textId="76BF145B">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A315B9">
        <w:rPr>
          <w:rFonts w:hint="eastAsia" w:ascii="仿宋" w:hAnsi="仿宋" w:eastAsia="仿宋"/>
          <w:color w:val="000000"/>
          <w:sz w:val="32"/>
          <w:szCs w:val="32"/>
        </w:rPr>
        <w:t>.帕博利珠单抗可能引起免疫相关性不良反应，建议治疗前进行包括甲状腺功能、心肌酶等的基线检测，在治疗中定期随访用于早期发现免疫相关性不良反应。因为不良反应</w:t>
      </w:r>
      <w:r w:rsidRPr="003C684F" w:rsidR="00A315B9">
        <w:rPr>
          <w:rFonts w:hint="eastAsia" w:ascii="仿宋" w:hAnsi="仿宋" w:eastAsia="仿宋"/>
          <w:color w:val="000000"/>
          <w:sz w:val="32"/>
          <w:szCs w:val="32"/>
        </w:rPr>
        <w:lastRenderedPageBreak/>
        <w:t>可能在帕博利珠单抗治疗期间或帕博利珠单抗治疗停止后的任何时间发生，应持续进行患者监测（至少至末次给药后5个月）。</w:t>
      </w:r>
    </w:p>
    <w:p w:rsidRPr="003C684F" w:rsidR="009730C1" w:rsidRDefault="00A63D34" w14:paraId="7EF172F6" w14:textId="31C7F076">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sidR="00A315B9">
        <w:rPr>
          <w:rFonts w:hint="eastAsia" w:ascii="仿宋" w:hAnsi="仿宋" w:eastAsia="仿宋"/>
          <w:color w:val="000000"/>
          <w:sz w:val="32"/>
          <w:szCs w:val="32"/>
        </w:rPr>
        <w:t>.对于疑似免疫相关性不良反应，应进行充分的评估以确认病因或排</w:t>
      </w:r>
      <w:r w:rsidRPr="003C684F" w:rsidR="00C06C4C">
        <w:rPr>
          <w:rFonts w:hint="eastAsia" w:ascii="仿宋" w:hAnsi="仿宋" w:eastAsia="仿宋"/>
          <w:color w:val="000000"/>
          <w:sz w:val="32"/>
          <w:szCs w:val="32"/>
        </w:rPr>
        <w:t>除其他病因。根据不良反应的严重程度，应暂时停用帕博利珠单抗，并使</w:t>
      </w:r>
      <w:r w:rsidRPr="003C684F" w:rsidR="00A315B9">
        <w:rPr>
          <w:rFonts w:hint="eastAsia" w:ascii="仿宋" w:hAnsi="仿宋" w:eastAsia="仿宋"/>
          <w:color w:val="000000"/>
          <w:sz w:val="32"/>
          <w:szCs w:val="32"/>
        </w:rPr>
        <w:t>用糖皮质激素治疗。当免疫相关性不良反应改善至≤1级时，需逐步减量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严重者或诊断存疑者可由消化科、风湿科、皮肤科、呼吸科、肿瘤科等组成的免疫不良反应MDT进行会诊。</w:t>
      </w:r>
    </w:p>
    <w:p w:rsidRPr="003C684F" w:rsidR="009730C1" w:rsidP="0037660B" w:rsidRDefault="00A315B9" w14:paraId="0FD43DD5"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s="黑体"/>
          <w:sz w:val="32"/>
          <w:szCs w:val="32"/>
        </w:rPr>
        <w:t>十、</w:t>
      </w:r>
      <w:r w:rsidRPr="003C684F">
        <w:rPr>
          <w:rFonts w:hint="eastAsia" w:ascii="黑体" w:hAnsi="黑体" w:eastAsia="黑体"/>
          <w:color w:val="000000"/>
          <w:sz w:val="32"/>
          <w:szCs w:val="32"/>
        </w:rPr>
        <w:t xml:space="preserve">特瑞普利单抗 </w:t>
      </w:r>
      <w:r w:rsidRPr="003C684F">
        <w:rPr>
          <w:rFonts w:ascii="黑体" w:hAnsi="黑体" w:eastAsia="黑体"/>
          <w:color w:val="000000"/>
          <w:sz w:val="32"/>
          <w:szCs w:val="32"/>
        </w:rPr>
        <w:t>Toripalimab</w:t>
      </w:r>
    </w:p>
    <w:p w:rsidRPr="003C684F" w:rsidR="009730C1" w:rsidRDefault="00A315B9" w14:paraId="5C54CE99"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DF7D32">
        <w:rPr>
          <w:rFonts w:hint="eastAsia" w:ascii="仿宋" w:hAnsi="仿宋" w:eastAsia="仿宋"/>
          <w:color w:val="000000"/>
          <w:sz w:val="32"/>
          <w:szCs w:val="32"/>
        </w:rPr>
        <w:t>剂</w:t>
      </w:r>
      <w:r w:rsidRPr="003C684F">
        <w:rPr>
          <w:rFonts w:hint="eastAsia" w:ascii="仿宋" w:hAnsi="仿宋" w:eastAsia="仿宋"/>
          <w:color w:val="000000"/>
          <w:sz w:val="32"/>
          <w:szCs w:val="32"/>
        </w:rPr>
        <w:t>：</w:t>
      </w:r>
      <w:r w:rsidRPr="003C684F">
        <w:rPr>
          <w:rFonts w:ascii="仿宋" w:hAnsi="仿宋" w:eastAsia="仿宋"/>
          <w:color w:val="000000"/>
          <w:sz w:val="32"/>
          <w:szCs w:val="32"/>
        </w:rPr>
        <w:t>8</w:t>
      </w:r>
      <w:r w:rsidRPr="003C684F">
        <w:rPr>
          <w:rFonts w:hint="eastAsia" w:ascii="仿宋" w:hAnsi="仿宋" w:eastAsia="仿宋"/>
          <w:color w:val="000000"/>
          <w:sz w:val="32"/>
          <w:szCs w:val="32"/>
        </w:rPr>
        <w:t>0mg（</w:t>
      </w:r>
      <w:r w:rsidRPr="003C684F">
        <w:rPr>
          <w:rFonts w:ascii="仿宋" w:hAnsi="仿宋" w:eastAsia="仿宋"/>
          <w:color w:val="000000"/>
          <w:sz w:val="32"/>
          <w:szCs w:val="32"/>
        </w:rPr>
        <w:t>2</w:t>
      </w:r>
      <w:r w:rsidRPr="003C684F">
        <w:rPr>
          <w:rFonts w:hint="eastAsia" w:ascii="仿宋" w:hAnsi="仿宋" w:eastAsia="仿宋"/>
          <w:color w:val="000000"/>
          <w:sz w:val="32"/>
          <w:szCs w:val="32"/>
        </w:rPr>
        <w:t>ml）/瓶、</w:t>
      </w:r>
      <w:r w:rsidRPr="003C684F">
        <w:rPr>
          <w:rFonts w:ascii="仿宋" w:hAnsi="仿宋" w:eastAsia="仿宋"/>
          <w:color w:val="000000"/>
          <w:sz w:val="32"/>
          <w:szCs w:val="32"/>
        </w:rPr>
        <w:t>24</w:t>
      </w:r>
      <w:r w:rsidRPr="003C684F">
        <w:rPr>
          <w:rFonts w:hint="eastAsia" w:ascii="仿宋" w:hAnsi="仿宋" w:eastAsia="仿宋"/>
          <w:color w:val="000000"/>
          <w:sz w:val="32"/>
          <w:szCs w:val="32"/>
        </w:rPr>
        <w:t>0mg（</w:t>
      </w:r>
      <w:r w:rsidRPr="003C684F">
        <w:rPr>
          <w:rFonts w:ascii="仿宋" w:hAnsi="仿宋" w:eastAsia="仿宋"/>
          <w:color w:val="000000"/>
          <w:sz w:val="32"/>
          <w:szCs w:val="32"/>
        </w:rPr>
        <w:t>6</w:t>
      </w:r>
      <w:r w:rsidRPr="003C684F">
        <w:rPr>
          <w:rFonts w:hint="eastAsia" w:ascii="仿宋" w:hAnsi="仿宋" w:eastAsia="仿宋"/>
          <w:color w:val="000000"/>
          <w:sz w:val="32"/>
          <w:szCs w:val="32"/>
        </w:rPr>
        <w:t>ml）/瓶</w:t>
      </w:r>
    </w:p>
    <w:p w:rsidRPr="003C684F" w:rsidR="009730C1" w:rsidRDefault="00A315B9" w14:paraId="3C86A297"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sz w:val="32"/>
          <w:szCs w:val="32"/>
        </w:rPr>
        <w:t>联合紫杉醇和顺铂适用于不可切除局部晚期/复发或转移性食管鳞癌的一线治疗</w:t>
      </w:r>
      <w:r w:rsidRPr="003C684F">
        <w:rPr>
          <w:rFonts w:ascii="仿宋" w:hAnsi="仿宋" w:eastAsia="仿宋"/>
          <w:sz w:val="32"/>
          <w:szCs w:val="32"/>
        </w:rPr>
        <w:t>。</w:t>
      </w:r>
    </w:p>
    <w:p w:rsidRPr="003C684F" w:rsidR="009730C1" w:rsidRDefault="00A315B9" w14:paraId="141860FC"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064D6D21" w14:textId="7716C36C">
      <w:pPr>
        <w:spacing w:line="360" w:lineRule="auto"/>
        <w:ind w:firstLine="640" w:firstLineChars="200"/>
        <w:rPr>
          <w:rFonts w:ascii="仿宋" w:hAnsi="仿宋" w:eastAsia="仿宋"/>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.推荐剂量为固定剂量240mg</w:t>
      </w:r>
      <w:r w:rsidRPr="003C684F" w:rsidR="00C11B06">
        <w:rPr>
          <w:rFonts w:hint="eastAsia" w:ascii="仿宋" w:hAnsi="仿宋" w:eastAsia="仿宋"/>
          <w:color w:val="000000"/>
          <w:sz w:val="32"/>
          <w:szCs w:val="32"/>
        </w:rPr>
        <w:t>/次</w:t>
      </w:r>
      <w:r w:rsidRPr="003C684F">
        <w:rPr>
          <w:rFonts w:hint="eastAsia" w:ascii="仿宋" w:hAnsi="仿宋" w:eastAsia="仿宋"/>
          <w:color w:val="000000"/>
          <w:sz w:val="32"/>
          <w:szCs w:val="32"/>
        </w:rPr>
        <w:t>，每3周一次，</w:t>
      </w:r>
      <w:r w:rsidRPr="003C684F" w:rsidR="00C11B06">
        <w:rPr>
          <w:rFonts w:hint="eastAsia" w:ascii="仿宋" w:hAnsi="仿宋" w:eastAsia="仿宋"/>
          <w:color w:val="000000"/>
          <w:sz w:val="32"/>
          <w:szCs w:val="32"/>
        </w:rPr>
        <w:t>静脉输注，</w:t>
      </w:r>
      <w:r w:rsidRPr="003C684F" w:rsidR="00AC506C">
        <w:rPr>
          <w:rFonts w:hint="eastAsia" w:ascii="仿宋" w:hAnsi="仿宋" w:eastAsia="仿宋"/>
          <w:color w:val="000000"/>
          <w:sz w:val="32"/>
          <w:szCs w:val="32"/>
        </w:rPr>
        <w:t>首次静脉输注时间至少60分钟，如果第一次输注耐受</w:t>
      </w:r>
      <w:r w:rsidRPr="003C684F" w:rsidR="00AC506C">
        <w:rPr>
          <w:rFonts w:hint="eastAsia" w:ascii="仿宋" w:hAnsi="仿宋" w:eastAsia="仿宋"/>
          <w:color w:val="000000"/>
          <w:sz w:val="32"/>
          <w:szCs w:val="32"/>
        </w:rPr>
        <w:lastRenderedPageBreak/>
        <w:t>性良好，则第二次输注的时间可以缩短到30分钟，</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sidR="00AC506C">
        <w:rPr>
          <w:rFonts w:hint="eastAsia" w:ascii="仿宋" w:hAnsi="仿宋" w:eastAsia="仿宋"/>
          <w:color w:val="000000"/>
          <w:sz w:val="32"/>
          <w:szCs w:val="32"/>
        </w:rPr>
        <w:t>不得采用静脉推注或单次快速静脉注射给药。</w:t>
      </w:r>
    </w:p>
    <w:p w:rsidRPr="003C684F" w:rsidR="009730C1" w:rsidRDefault="00A315B9" w14:paraId="63604CB3"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w:t>
      </w:r>
      <w:r w:rsidRPr="003C684F">
        <w:rPr>
          <w:rFonts w:hint="eastAsia" w:ascii="仿宋" w:hAnsi="仿宋" w:eastAsia="仿宋" w:cs="仿宋"/>
          <w:sz w:val="32"/>
          <w:szCs w:val="32"/>
        </w:rPr>
        <w:t>只要观察到临床获益，应继续</w:t>
      </w:r>
      <w:r w:rsidRPr="003C684F">
        <w:rPr>
          <w:rFonts w:hint="eastAsia" w:ascii="仿宋" w:hAnsi="仿宋" w:eastAsia="仿宋"/>
          <w:color w:val="000000"/>
          <w:sz w:val="32"/>
          <w:szCs w:val="32"/>
        </w:rPr>
        <w:t>特瑞普利单抗</w:t>
      </w:r>
      <w:r w:rsidRPr="003C684F">
        <w:rPr>
          <w:rFonts w:hint="eastAsia" w:ascii="仿宋" w:hAnsi="仿宋" w:eastAsia="仿宋" w:cs="仿宋"/>
          <w:sz w:val="32"/>
          <w:szCs w:val="32"/>
        </w:rPr>
        <w:t>治疗，直至患者不能耐受，</w:t>
      </w:r>
      <w:r w:rsidRPr="003C684F">
        <w:rPr>
          <w:rFonts w:hint="eastAsia" w:ascii="仿宋" w:hAnsi="仿宋" w:eastAsia="仿宋"/>
          <w:color w:val="000000"/>
          <w:sz w:val="32"/>
          <w:szCs w:val="32"/>
        </w:rPr>
        <w:t>有可能观察到非典型反应。如果患者临床症状稳定，</w:t>
      </w:r>
      <w:r w:rsidRPr="003C684F">
        <w:rPr>
          <w:rFonts w:hint="eastAsia" w:ascii="仿宋" w:hAnsi="仿宋" w:eastAsia="仿宋" w:cs="仿宋"/>
          <w:sz w:val="32"/>
          <w:szCs w:val="32"/>
        </w:rPr>
        <w:t>即使考虑有疾病进展的可能，但</w:t>
      </w:r>
      <w:r w:rsidRPr="003C684F">
        <w:rPr>
          <w:rFonts w:hint="eastAsia" w:ascii="仿宋" w:hAnsi="仿宋" w:eastAsia="仿宋"/>
          <w:color w:val="000000"/>
          <w:sz w:val="32"/>
          <w:szCs w:val="32"/>
        </w:rPr>
        <w:t>基于总体临床获益的判断，可考虑继续应用本品治疗，直至证实疾病进展。</w:t>
      </w:r>
    </w:p>
    <w:p w:rsidRPr="003C684F" w:rsidR="009730C1" w:rsidRDefault="00A315B9" w14:paraId="006B5456" w14:textId="4638082C">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.根据个体患者的安全性和耐受性，可能需要暂停给药或</w:t>
      </w:r>
      <w:r w:rsidRPr="003C684F" w:rsidR="00A24989">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308F0A89" w14:textId="09B0873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4.发生4级或复发性3级不良反应，虽然进行治疗调整但仍持续存在2级或3</w:t>
      </w:r>
      <w:r w:rsidRPr="003C684F" w:rsidR="002B7292">
        <w:rPr>
          <w:rFonts w:hint="eastAsia" w:ascii="仿宋" w:hAnsi="仿宋" w:eastAsia="仿宋"/>
          <w:color w:val="000000"/>
          <w:sz w:val="32"/>
          <w:szCs w:val="32"/>
        </w:rPr>
        <w:t>级不良反应，应永久</w:t>
      </w:r>
      <w:r w:rsidRPr="003C684F">
        <w:rPr>
          <w:rFonts w:hint="eastAsia" w:ascii="仿宋" w:hAnsi="仿宋" w:eastAsia="仿宋"/>
          <w:color w:val="000000"/>
          <w:sz w:val="32"/>
          <w:szCs w:val="32"/>
        </w:rPr>
        <w:t>停用特瑞普利单抗。如果出现任何重度、复发的免疫相关性不良反应以及任何危及生命的免疫相关性不良反应，必须永久停</w:t>
      </w:r>
      <w:r w:rsidRPr="003C684F" w:rsidR="002B7292">
        <w:rPr>
          <w:rFonts w:hint="eastAsia" w:ascii="仿宋" w:hAnsi="仿宋" w:eastAsia="仿宋"/>
          <w:color w:val="000000"/>
          <w:sz w:val="32"/>
          <w:szCs w:val="32"/>
        </w:rPr>
        <w:t>用</w:t>
      </w:r>
      <w:r w:rsidRPr="003C684F">
        <w:rPr>
          <w:rFonts w:hint="eastAsia" w:ascii="仿宋" w:hAnsi="仿宋" w:eastAsia="仿宋"/>
          <w:color w:val="000000"/>
          <w:sz w:val="32"/>
          <w:szCs w:val="32"/>
        </w:rPr>
        <w:t>特瑞普利单抗。</w:t>
      </w:r>
    </w:p>
    <w:p w:rsidRPr="003C684F" w:rsidR="009730C1" w:rsidRDefault="00A315B9" w14:paraId="7A93F273" w14:textId="040F22A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5.老年患者（≥65岁）</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调整剂量。轻度肾功能损伤患者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调整剂量，中重度肾功能损伤患者的数据有限。轻度肝功能损伤患者</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调整剂量，中重度肝功能损伤患者的数据有限。</w:t>
      </w:r>
    </w:p>
    <w:p w:rsidRPr="003C684F" w:rsidR="009730C1" w:rsidRDefault="00A315B9" w14:paraId="18C9127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rsidRPr="003C684F" w:rsidR="009730C1" w:rsidRDefault="00A315B9" w14:paraId="74D611A8"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7.特瑞普利单抗可能引起免疫相关性不良反应，建议治疗前进行包括甲状腺功能、心肌酶等的基线检测，在治疗中定期随访用于早期发现免疫相关性不良反应。因为不良反应可能在特瑞普利单抗治疗期间或特瑞普利单抗治疗停止后的任何时间发生，应持续进行患者监测（至少至末次给药后5个月）。</w:t>
      </w:r>
    </w:p>
    <w:p w:rsidRPr="003C684F" w:rsidR="009730C1" w:rsidRDefault="00A315B9" w14:paraId="53703D3C" w14:textId="3FB78822">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8.对于疑似免疫相关性不良反应，应进行充分的评估以确认病因或排除其他病因。根据不良反应的严重程度，应暂时停用特瑞普利单抗，并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逐步减量至停药。基于有限的临床研究数据，发生糖皮质激素无法控制的免疫相关性不良反应时可以考虑使用其他全身性免疫抑制剂。如果不良反应保持在≤1级，且糖皮质激素剂量已降至每天≤10mg泼尼松或等效剂量，则可在最后一次特瑞普利单抗给药后12周内重新开始特瑞普利单抗治疗。严重者或诊断存疑者可由消化科、风湿科、皮肤科、呼吸科、肿瘤科等组成的免疫不良反应MDT进行会诊。</w:t>
      </w:r>
    </w:p>
    <w:p w:rsidRPr="003C684F" w:rsidR="009730C1" w:rsidP="0037660B" w:rsidRDefault="00A315B9" w14:paraId="13EA1385" w14:textId="77777777">
      <w:pPr>
        <w:widowControl/>
        <w:spacing w:line="360" w:lineRule="auto"/>
        <w:ind w:firstLine="643" w:firstLineChars="200"/>
        <w:jc w:val="left"/>
        <w:outlineLvl w:val="0"/>
        <w:rPr>
          <w:rFonts w:ascii="黑体" w:hAnsi="黑体" w:eastAsia="黑体" w:cs="Times New Roman"/>
          <w:sz w:val="32"/>
          <w:szCs w:val="32"/>
        </w:rPr>
      </w:pPr>
      <w:r w:rsidRPr="003C684F">
        <w:rPr>
          <w:rFonts w:hint="eastAsia" w:ascii="黑体" w:hAnsi="黑体" w:eastAsia="黑体"/>
          <w:b/>
          <w:color w:val="000000"/>
          <w:sz w:val="32"/>
          <w:szCs w:val="32"/>
        </w:rPr>
        <w:t>十一</w:t>
      </w:r>
      <w:r w:rsidRPr="003C684F">
        <w:rPr>
          <w:rFonts w:hint="eastAsia" w:ascii="黑体" w:hAnsi="黑体" w:eastAsia="黑体" w:cs="黑体"/>
          <w:sz w:val="32"/>
          <w:szCs w:val="32"/>
        </w:rPr>
        <w:t>、曲妥珠单抗 T</w:t>
      </w:r>
      <w:r w:rsidRPr="003C684F">
        <w:rPr>
          <w:rFonts w:ascii="黑体" w:hAnsi="黑体" w:eastAsia="黑体" w:cs="黑体"/>
          <w:sz w:val="32"/>
          <w:szCs w:val="32"/>
        </w:rPr>
        <w:t>rastuzumab</w:t>
      </w:r>
    </w:p>
    <w:p w:rsidRPr="003C684F" w:rsidR="009730C1" w:rsidRDefault="00A315B9" w14:paraId="15FB9E4D" w14:textId="77777777">
      <w:pPr>
        <w:spacing w:line="360" w:lineRule="auto"/>
        <w:ind w:firstLine="643" w:firstLineChars="200"/>
        <w:jc w:val="left"/>
        <w:rPr>
          <w:rFonts w:ascii="仿宋" w:hAnsi="仿宋" w:eastAsia="仿宋" w:cs="Times New Roman"/>
          <w:kern w:val="0"/>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注射剂：</w:t>
      </w:r>
      <w:r w:rsidRPr="003C684F">
        <w:rPr>
          <w:rFonts w:ascii="仿宋" w:hAnsi="仿宋" w:eastAsia="仿宋" w:cs="仿宋"/>
          <w:sz w:val="32"/>
          <w:szCs w:val="32"/>
        </w:rPr>
        <w:t>440mg</w:t>
      </w:r>
      <w:r w:rsidRPr="003C684F">
        <w:rPr>
          <w:rFonts w:hint="eastAsia" w:ascii="仿宋" w:hAnsi="仿宋" w:eastAsia="仿宋" w:cs="仿宋"/>
          <w:sz w:val="32"/>
          <w:szCs w:val="32"/>
        </w:rPr>
        <w:t>（</w:t>
      </w:r>
      <w:r w:rsidRPr="003C684F">
        <w:rPr>
          <w:rFonts w:ascii="仿宋" w:hAnsi="仿宋" w:eastAsia="仿宋" w:cs="仿宋"/>
          <w:sz w:val="32"/>
          <w:szCs w:val="32"/>
        </w:rPr>
        <w:t>20ml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r w:rsidRPr="003C684F" w:rsidR="006E171A">
        <w:rPr>
          <w:rFonts w:hint="eastAsia" w:ascii="仿宋" w:hAnsi="仿宋" w:eastAsia="仿宋" w:cs="仿宋"/>
          <w:sz w:val="32"/>
          <w:szCs w:val="32"/>
        </w:rPr>
        <w:t>、150mg/瓶（生物类似药）</w:t>
      </w:r>
    </w:p>
    <w:p w:rsidRPr="003C684F" w:rsidR="009730C1" w:rsidRDefault="00A315B9" w14:paraId="70F4A04C" w14:textId="77777777">
      <w:pPr>
        <w:spacing w:line="360" w:lineRule="auto"/>
        <w:ind w:firstLine="643" w:firstLineChars="200"/>
        <w:jc w:val="left"/>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本品联合卡培他滨或</w:t>
      </w:r>
      <w:r w:rsidRPr="003C684F">
        <w:rPr>
          <w:rFonts w:ascii="仿宋" w:hAnsi="仿宋" w:eastAsia="仿宋" w:cs="仿宋"/>
          <w:sz w:val="32"/>
          <w:szCs w:val="32"/>
        </w:rPr>
        <w:t>氟尿嘧啶</w:t>
      </w:r>
      <w:r w:rsidRPr="003C684F">
        <w:rPr>
          <w:rFonts w:hint="eastAsia" w:ascii="仿宋" w:hAnsi="仿宋" w:eastAsia="仿宋" w:cs="仿宋"/>
          <w:sz w:val="32"/>
          <w:szCs w:val="32"/>
        </w:rPr>
        <w:t>和顺铂适用于既往未接受过针对转移性疾病治疗的</w:t>
      </w:r>
      <w:r w:rsidRPr="003C684F">
        <w:rPr>
          <w:rFonts w:ascii="仿宋" w:hAnsi="仿宋" w:eastAsia="仿宋" w:cs="仿宋"/>
          <w:sz w:val="32"/>
          <w:szCs w:val="32"/>
        </w:rPr>
        <w:t>HER2</w:t>
      </w:r>
      <w:r w:rsidRPr="003C684F">
        <w:rPr>
          <w:rFonts w:hint="eastAsia" w:ascii="仿宋" w:hAnsi="仿宋" w:eastAsia="仿宋" w:cs="仿宋"/>
          <w:sz w:val="32"/>
          <w:szCs w:val="32"/>
        </w:rPr>
        <w:t>阳性的转移性胃腺</w:t>
      </w:r>
      <w:r w:rsidRPr="003C684F">
        <w:rPr>
          <w:rFonts w:hint="eastAsia" w:ascii="仿宋" w:hAnsi="仿宋" w:eastAsia="仿宋" w:cs="仿宋"/>
          <w:sz w:val="32"/>
          <w:szCs w:val="32"/>
        </w:rPr>
        <w:lastRenderedPageBreak/>
        <w:t>癌或胃食管结合部腺癌患者，对于顺铂和氟尿嘧啶类进展，而未使用过曲妥珠单抗的</w:t>
      </w:r>
      <w:r w:rsidRPr="003C684F">
        <w:rPr>
          <w:rFonts w:ascii="仿宋" w:hAnsi="仿宋" w:eastAsia="仿宋" w:cs="仿宋"/>
          <w:sz w:val="32"/>
          <w:szCs w:val="32"/>
        </w:rPr>
        <w:t>HER2</w:t>
      </w:r>
      <w:r w:rsidRPr="003C684F">
        <w:rPr>
          <w:rFonts w:hint="eastAsia" w:ascii="仿宋" w:hAnsi="仿宋" w:eastAsia="仿宋" w:cs="仿宋"/>
          <w:sz w:val="32"/>
          <w:szCs w:val="32"/>
        </w:rPr>
        <w:t>阳性的转移性胃癌患者，可以考虑曲妥珠单抗联合其他有效的化疗药物治疗；曲妥珠单抗只能用于</w:t>
      </w:r>
      <w:r w:rsidRPr="003C684F">
        <w:rPr>
          <w:rFonts w:ascii="仿宋" w:hAnsi="仿宋" w:eastAsia="仿宋" w:cs="仿宋"/>
          <w:sz w:val="32"/>
          <w:szCs w:val="32"/>
        </w:rPr>
        <w:t>HER2</w:t>
      </w:r>
      <w:r w:rsidRPr="003C684F">
        <w:rPr>
          <w:rFonts w:hint="eastAsia" w:ascii="仿宋" w:hAnsi="仿宋" w:eastAsia="仿宋" w:cs="仿宋"/>
          <w:sz w:val="32"/>
          <w:szCs w:val="32"/>
        </w:rPr>
        <w:t>阳性的转移性胃癌患者，</w:t>
      </w:r>
      <w:r w:rsidRPr="003C684F">
        <w:rPr>
          <w:rFonts w:ascii="仿宋" w:hAnsi="仿宋" w:eastAsia="仿宋" w:cs="仿宋"/>
          <w:sz w:val="32"/>
          <w:szCs w:val="32"/>
        </w:rPr>
        <w:t>HER2阳性的定义为使用已验证的检测方法得到的IHC3+或IHC2+/FISH+结果。</w:t>
      </w:r>
    </w:p>
    <w:p w:rsidRPr="003C684F" w:rsidR="009730C1" w:rsidRDefault="00A315B9" w14:paraId="73B689E1" w14:textId="77777777">
      <w:pPr>
        <w:spacing w:line="360" w:lineRule="auto"/>
        <w:ind w:firstLine="643" w:firstLineChars="200"/>
        <w:jc w:val="left"/>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CD469C2"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在本品治疗前，应进行</w:t>
      </w:r>
      <w:r w:rsidRPr="003C684F">
        <w:rPr>
          <w:rFonts w:ascii="仿宋" w:hAnsi="仿宋" w:eastAsia="仿宋" w:cs="仿宋"/>
          <w:sz w:val="32"/>
          <w:szCs w:val="32"/>
        </w:rPr>
        <w:t>HER2</w:t>
      </w:r>
      <w:r w:rsidRPr="003C684F">
        <w:rPr>
          <w:rFonts w:hint="eastAsia" w:ascii="仿宋" w:hAnsi="仿宋" w:eastAsia="仿宋" w:cs="仿宋"/>
          <w:sz w:val="32"/>
          <w:szCs w:val="32"/>
        </w:rPr>
        <w:t>检测，相关检测应使用国家药品监督管理局批准的检测方法。</w:t>
      </w:r>
    </w:p>
    <w:p w:rsidRPr="003C684F" w:rsidR="007E6D22" w:rsidP="007E6D22" w:rsidRDefault="007E6D22" w14:paraId="6BCB21F9" w14:textId="05EE4318">
      <w:pPr>
        <w:spacing w:line="360" w:lineRule="auto"/>
        <w:ind w:firstLine="640" w:firstLineChars="200"/>
        <w:jc w:val="left"/>
        <w:rPr>
          <w:rFonts w:ascii="仿宋" w:hAnsi="仿宋" w:eastAsia="仿宋" w:cs="仿宋"/>
          <w:sz w:val="32"/>
          <w:szCs w:val="32"/>
        </w:rPr>
      </w:pPr>
      <w:r w:rsidRPr="003C684F">
        <w:rPr>
          <w:rFonts w:hint="eastAsia" w:ascii="仿宋" w:hAnsi="仿宋" w:eastAsia="仿宋" w:cs="仿宋"/>
          <w:sz w:val="32"/>
          <w:szCs w:val="32"/>
        </w:rPr>
        <w:t>2.初始负荷剂量为8mg/kg，随后6mg/kg，每3周一次，静脉输注。首次输注时间为90分钟，若患者耐受性良好，后续输注可改为30分钟，直至疾病进展或出现不可耐受的毒性。</w:t>
      </w:r>
    </w:p>
    <w:p w:rsidRPr="003C684F" w:rsidR="00973A38" w:rsidP="00973A38" w:rsidRDefault="00973A38" w14:paraId="2E72EFDA" w14:textId="4D30F228">
      <w:pPr>
        <w:spacing w:line="360" w:lineRule="auto"/>
        <w:ind w:firstLine="640" w:firstLineChars="200"/>
        <w:jc w:val="left"/>
        <w:rPr>
          <w:rFonts w:ascii="仿宋" w:hAnsi="仿宋" w:eastAsia="仿宋" w:cs="仿宋"/>
          <w:sz w:val="32"/>
          <w:szCs w:val="32"/>
        </w:rPr>
      </w:pPr>
      <w:r w:rsidRPr="003C684F">
        <w:rPr>
          <w:rFonts w:hint="eastAsia" w:ascii="仿宋" w:hAnsi="仿宋" w:eastAsia="仿宋" w:cs="仿宋"/>
          <w:sz w:val="32"/>
          <w:szCs w:val="32"/>
        </w:rPr>
        <w:t>3.对发生轻中度输注反应患者应降低输注速率，对呼吸困难或临床明显低血压患者应中断输注，对发生严重和危及生命的输注反应患者</w:t>
      </w:r>
      <w:r w:rsidRPr="003C684F" w:rsidR="00104ED4">
        <w:rPr>
          <w:rFonts w:hint="eastAsia" w:ascii="仿宋" w:hAnsi="仿宋" w:eastAsia="仿宋" w:cs="仿宋"/>
          <w:sz w:val="32"/>
          <w:szCs w:val="32"/>
        </w:rPr>
        <w:t>，</w:t>
      </w:r>
      <w:r w:rsidRPr="003C684F" w:rsidR="00B73FF2">
        <w:rPr>
          <w:rFonts w:hint="eastAsia" w:ascii="仿宋" w:hAnsi="仿宋" w:eastAsia="仿宋" w:cs="仿宋"/>
          <w:sz w:val="32"/>
          <w:szCs w:val="32"/>
        </w:rPr>
        <w:t>应</w:t>
      </w:r>
      <w:r w:rsidRPr="003C684F">
        <w:rPr>
          <w:rFonts w:hint="eastAsia" w:ascii="仿宋" w:hAnsi="仿宋" w:eastAsia="仿宋" w:cs="仿宋"/>
          <w:sz w:val="32"/>
          <w:szCs w:val="32"/>
        </w:rPr>
        <w:t>永久停</w:t>
      </w:r>
      <w:r w:rsidRPr="003C684F" w:rsidR="00B73FF2">
        <w:rPr>
          <w:rFonts w:hint="eastAsia" w:ascii="仿宋" w:hAnsi="仿宋" w:eastAsia="仿宋" w:cs="仿宋"/>
          <w:sz w:val="32"/>
          <w:szCs w:val="32"/>
        </w:rPr>
        <w:t>用</w:t>
      </w:r>
      <w:r w:rsidRPr="003C684F">
        <w:rPr>
          <w:rFonts w:hint="eastAsia" w:ascii="仿宋" w:hAnsi="仿宋" w:eastAsia="仿宋" w:cs="仿宋"/>
          <w:sz w:val="32"/>
          <w:szCs w:val="32"/>
        </w:rPr>
        <w:t>曲妥珠单抗。</w:t>
      </w:r>
    </w:p>
    <w:p w:rsidRPr="003C684F" w:rsidR="009730C1" w:rsidRDefault="00B73FF2" w14:paraId="3BEA1C68" w14:textId="099722A0">
      <w:pPr>
        <w:spacing w:line="360" w:lineRule="auto"/>
        <w:ind w:firstLine="640" w:firstLineChars="200"/>
        <w:jc w:val="left"/>
        <w:rPr>
          <w:rFonts w:ascii="仿宋" w:hAnsi="仿宋" w:eastAsia="仿宋" w:cs="仿宋"/>
          <w:sz w:val="32"/>
          <w:szCs w:val="32"/>
        </w:rPr>
      </w:pPr>
      <w:r w:rsidRPr="003C684F">
        <w:rPr>
          <w:rFonts w:hint="eastAsia" w:ascii="仿宋" w:hAnsi="仿宋" w:eastAsia="仿宋" w:cs="仿宋"/>
          <w:sz w:val="32"/>
          <w:szCs w:val="32"/>
        </w:rPr>
        <w:t>4</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曲妥珠单抗开始治疗前应进行左室射血分数（</w:t>
      </w:r>
      <w:r w:rsidRPr="003C684F" w:rsidR="00A315B9">
        <w:rPr>
          <w:rFonts w:ascii="仿宋" w:hAnsi="仿宋" w:eastAsia="仿宋" w:cs="仿宋"/>
          <w:sz w:val="32"/>
          <w:szCs w:val="32"/>
        </w:rPr>
        <w:t>LVEF</w:t>
      </w:r>
      <w:r w:rsidRPr="003C684F" w:rsidR="00A315B9">
        <w:rPr>
          <w:rFonts w:hint="eastAsia" w:ascii="仿宋" w:hAnsi="仿宋" w:eastAsia="仿宋" w:cs="仿宋"/>
          <w:sz w:val="32"/>
          <w:szCs w:val="32"/>
        </w:rPr>
        <w:t>）的检测，治疗期间须密切监测</w:t>
      </w:r>
      <w:r w:rsidRPr="003C684F" w:rsidR="00A315B9">
        <w:rPr>
          <w:rFonts w:ascii="仿宋" w:hAnsi="仿宋" w:eastAsia="仿宋" w:cs="仿宋"/>
          <w:sz w:val="32"/>
          <w:szCs w:val="32"/>
        </w:rPr>
        <w:t>LVEF</w:t>
      </w:r>
      <w:r w:rsidRPr="003C684F" w:rsidR="00A315B9">
        <w:rPr>
          <w:rFonts w:hint="eastAsia" w:ascii="仿宋" w:hAnsi="仿宋" w:eastAsia="仿宋" w:cs="仿宋"/>
          <w:sz w:val="32"/>
          <w:szCs w:val="32"/>
        </w:rPr>
        <w:t>。LVEF较治疗前绝对数值下降≥16%，或LVEF低于该检测中心正常范围并且LVEF较治疗前绝对数值下降≥10%，应停止曲妥珠单抗治疗至少4周，并每4周检测一次LVEF。4～8周内LVEF回升至正常范围或LVEF较治疗前绝对数值下降≤15%，可恢复使用曲妥珠单抗。LVEF持续下降（＞8周），</w:t>
      </w:r>
      <w:r w:rsidRPr="003C684F" w:rsidR="00DB4978">
        <w:rPr>
          <w:rFonts w:hint="eastAsia" w:ascii="仿宋" w:hAnsi="仿宋" w:eastAsia="仿宋" w:cs="仿宋"/>
          <w:sz w:val="32"/>
          <w:szCs w:val="32"/>
        </w:rPr>
        <w:t>或</w:t>
      </w:r>
      <w:r w:rsidRPr="003C684F" w:rsidR="00A315B9">
        <w:rPr>
          <w:rFonts w:hint="eastAsia" w:ascii="仿宋" w:hAnsi="仿宋" w:eastAsia="仿宋" w:cs="仿宋"/>
          <w:sz w:val="32"/>
          <w:szCs w:val="32"/>
        </w:rPr>
        <w:t>三次以上因心脏毒性而</w:t>
      </w:r>
      <w:r w:rsidRPr="003C684F" w:rsidR="00A315B9">
        <w:rPr>
          <w:rFonts w:hint="eastAsia" w:ascii="仿宋" w:hAnsi="仿宋" w:eastAsia="仿宋" w:cs="仿宋"/>
          <w:sz w:val="32"/>
          <w:szCs w:val="32"/>
        </w:rPr>
        <w:lastRenderedPageBreak/>
        <w:t>停止曲妥珠单抗治疗，应永久停用曲妥珠单抗。</w:t>
      </w:r>
    </w:p>
    <w:p w:rsidRPr="003C684F" w:rsidR="009730C1" w:rsidRDefault="00B73FF2" w14:paraId="1F508EF6" w14:textId="6507B82C">
      <w:pPr>
        <w:spacing w:line="360" w:lineRule="auto"/>
        <w:ind w:firstLine="640" w:firstLineChars="200"/>
        <w:jc w:val="left"/>
        <w:rPr>
          <w:rFonts w:ascii="仿宋" w:hAnsi="仿宋" w:eastAsia="仿宋" w:cs="Times New Roman"/>
          <w:sz w:val="32"/>
          <w:szCs w:val="32"/>
          <w:lang w:val="en-GB"/>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胃癌治疗过程中患者出现充血性心力衰竭、左心室功能明显下降、严重的输注反应和肺部反应时，要中断或停止曲妥珠单抗的治疗。</w:t>
      </w:r>
    </w:p>
    <w:p w:rsidRPr="003C684F" w:rsidR="009730C1" w:rsidRDefault="00A315B9" w14:paraId="70892A49" w14:textId="77777777">
      <w:pPr>
        <w:widowControl/>
        <w:ind w:firstLine="640" w:firstLineChars="200"/>
        <w:jc w:val="left"/>
        <w:rPr>
          <w:rFonts w:ascii="黑体" w:hAnsi="黑体" w:eastAsia="黑体" w:cs="黑体"/>
          <w:sz w:val="32"/>
          <w:szCs w:val="32"/>
        </w:rPr>
      </w:pPr>
      <w:r w:rsidRPr="003C684F">
        <w:rPr>
          <w:rFonts w:hint="eastAsia" w:ascii="黑体" w:hAnsi="黑体" w:eastAsia="黑体" w:cs="黑体"/>
          <w:sz w:val="32"/>
          <w:szCs w:val="32"/>
        </w:rPr>
        <w:t>十二、阿帕替尼 A</w:t>
      </w:r>
      <w:r w:rsidRPr="003C684F">
        <w:rPr>
          <w:rFonts w:ascii="黑体" w:hAnsi="黑体" w:eastAsia="黑体" w:cs="黑体"/>
          <w:sz w:val="32"/>
          <w:szCs w:val="32"/>
        </w:rPr>
        <w:t>patinib</w:t>
      </w:r>
    </w:p>
    <w:p w:rsidRPr="003C684F" w:rsidR="009730C1" w:rsidRDefault="00A315B9" w14:paraId="59283831" w14:textId="1F006426">
      <w:pPr>
        <w:spacing w:line="360" w:lineRule="auto"/>
        <w:ind w:firstLine="643" w:firstLineChars="200"/>
        <w:jc w:val="left"/>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sidR="00C11B06">
        <w:rPr>
          <w:rFonts w:hint="eastAsia" w:ascii="仿宋" w:hAnsi="仿宋" w:eastAsia="仿宋" w:cs="仿宋"/>
          <w:sz w:val="32"/>
          <w:szCs w:val="32"/>
        </w:rPr>
        <w:t>250m</w:t>
      </w:r>
      <w:r w:rsidRPr="003C684F">
        <w:rPr>
          <w:rFonts w:ascii="仿宋" w:hAnsi="仿宋" w:eastAsia="仿宋" w:cs="仿宋"/>
          <w:sz w:val="32"/>
          <w:szCs w:val="32"/>
        </w:rPr>
        <w:t>g</w:t>
      </w:r>
      <w:r w:rsidRPr="003C684F">
        <w:rPr>
          <w:rFonts w:hint="eastAsia" w:ascii="仿宋" w:hAnsi="仿宋" w:eastAsia="仿宋" w:cs="仿宋"/>
          <w:sz w:val="32"/>
          <w:szCs w:val="32"/>
        </w:rPr>
        <w:t>、</w:t>
      </w:r>
      <w:r w:rsidRPr="003C684F">
        <w:rPr>
          <w:rFonts w:ascii="仿宋" w:hAnsi="仿宋" w:eastAsia="仿宋" w:cs="仿宋"/>
          <w:sz w:val="32"/>
          <w:szCs w:val="32"/>
        </w:rPr>
        <w:t>375</w:t>
      </w:r>
      <w:r w:rsidRPr="003C684F" w:rsidR="00C11B06">
        <w:rPr>
          <w:rFonts w:hint="eastAsia" w:ascii="仿宋" w:hAnsi="仿宋" w:eastAsia="仿宋" w:cs="仿宋"/>
          <w:sz w:val="32"/>
          <w:szCs w:val="32"/>
        </w:rPr>
        <w:t>m</w:t>
      </w:r>
      <w:r w:rsidRPr="003C684F">
        <w:rPr>
          <w:rFonts w:ascii="仿宋" w:hAnsi="仿宋" w:eastAsia="仿宋" w:cs="仿宋"/>
          <w:sz w:val="32"/>
          <w:szCs w:val="32"/>
        </w:rPr>
        <w:t>g</w:t>
      </w:r>
      <w:r w:rsidRPr="003C684F">
        <w:rPr>
          <w:rFonts w:hint="eastAsia" w:ascii="仿宋" w:hAnsi="仿宋" w:eastAsia="仿宋" w:cs="仿宋"/>
          <w:sz w:val="32"/>
          <w:szCs w:val="32"/>
        </w:rPr>
        <w:t>、</w:t>
      </w:r>
      <w:r w:rsidRPr="003C684F">
        <w:rPr>
          <w:rFonts w:ascii="仿宋" w:hAnsi="仿宋" w:eastAsia="仿宋" w:cs="仿宋"/>
          <w:sz w:val="32"/>
          <w:szCs w:val="32"/>
        </w:rPr>
        <w:t>425</w:t>
      </w:r>
      <w:r w:rsidRPr="003C684F" w:rsidR="00C11B06">
        <w:rPr>
          <w:rFonts w:hint="eastAsia" w:ascii="仿宋" w:hAnsi="仿宋" w:eastAsia="仿宋" w:cs="仿宋"/>
          <w:sz w:val="32"/>
          <w:szCs w:val="32"/>
        </w:rPr>
        <w:t>m</w:t>
      </w:r>
      <w:r w:rsidRPr="003C684F">
        <w:rPr>
          <w:rFonts w:ascii="仿宋" w:hAnsi="仿宋" w:eastAsia="仿宋" w:cs="仿宋"/>
          <w:sz w:val="32"/>
          <w:szCs w:val="32"/>
        </w:rPr>
        <w:t>g</w:t>
      </w:r>
    </w:p>
    <w:p w:rsidRPr="003C684F" w:rsidR="009C0B36" w:rsidRDefault="00A315B9" w14:paraId="3B3D9874" w14:textId="77777777">
      <w:pPr>
        <w:spacing w:line="360" w:lineRule="auto"/>
        <w:ind w:firstLine="643" w:firstLineChars="200"/>
        <w:jc w:val="left"/>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P="009C0B36" w:rsidRDefault="009C0B36" w14:paraId="77008B6F" w14:textId="5350FAB6">
      <w:pPr>
        <w:spacing w:line="360" w:lineRule="auto"/>
        <w:ind w:firstLine="640" w:firstLineChars="200"/>
        <w:jc w:val="left"/>
        <w:rPr>
          <w:rFonts w:ascii="仿宋" w:hAnsi="仿宋" w:eastAsia="仿宋" w:cs="仿宋"/>
          <w:sz w:val="32"/>
          <w:szCs w:val="32"/>
        </w:rPr>
      </w:pPr>
      <w:r w:rsidRPr="003C684F">
        <w:rPr>
          <w:rFonts w:hint="eastAsia" w:ascii="仿宋" w:hAnsi="仿宋" w:eastAsia="仿宋" w:cs="仿宋"/>
          <w:bCs/>
          <w:sz w:val="32"/>
          <w:szCs w:val="32"/>
        </w:rPr>
        <w:t>1.</w:t>
      </w:r>
      <w:r w:rsidRPr="003C684F" w:rsidR="00A315B9">
        <w:rPr>
          <w:rFonts w:hint="eastAsia" w:ascii="仿宋" w:hAnsi="仿宋" w:eastAsia="仿宋" w:cs="仿宋"/>
          <w:sz w:val="32"/>
          <w:szCs w:val="32"/>
        </w:rPr>
        <w:t>既往至少接受过</w:t>
      </w:r>
      <w:r w:rsidRPr="003C684F" w:rsidR="00A315B9">
        <w:rPr>
          <w:rFonts w:ascii="仿宋" w:hAnsi="仿宋" w:eastAsia="仿宋" w:cs="仿宋"/>
          <w:sz w:val="32"/>
          <w:szCs w:val="32"/>
        </w:rPr>
        <w:t>两种</w:t>
      </w:r>
      <w:r w:rsidRPr="003C684F" w:rsidR="00A315B9">
        <w:rPr>
          <w:rFonts w:hint="eastAsia" w:ascii="仿宋" w:hAnsi="仿宋" w:eastAsia="仿宋" w:cs="仿宋"/>
          <w:sz w:val="32"/>
          <w:szCs w:val="32"/>
        </w:rPr>
        <w:t>系统化疗后进展或复发的晚期胃腺癌或胃食管结合部腺癌患者，且患者接受阿帕替尼治疗时一般状况良好。</w:t>
      </w:r>
    </w:p>
    <w:p w:rsidRPr="003C684F" w:rsidR="009C0B36" w:rsidP="009C0B36" w:rsidRDefault="009C0B36" w14:paraId="64AF091B" w14:textId="2D435DC8">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Times New Roman"/>
          <w:sz w:val="32"/>
          <w:szCs w:val="32"/>
        </w:rPr>
        <w:t>2.单药用于既往接受过至少一线系统性治疗后失败或不可耐受的晚期肝细胞癌患者。</w:t>
      </w:r>
    </w:p>
    <w:p w:rsidRPr="003C684F" w:rsidR="009730C1" w:rsidRDefault="00A315B9" w14:paraId="6AF22725" w14:textId="77777777">
      <w:pPr>
        <w:spacing w:line="360" w:lineRule="auto"/>
        <w:ind w:firstLine="643" w:firstLineChars="200"/>
        <w:jc w:val="left"/>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6D4A02A" w14:textId="24DA70D4">
      <w:pPr>
        <w:spacing w:line="360" w:lineRule="auto"/>
        <w:ind w:firstLine="640" w:firstLineChars="200"/>
        <w:jc w:val="left"/>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药品说明书推荐剂量为</w:t>
      </w:r>
      <w:r w:rsidRPr="003C684F">
        <w:rPr>
          <w:rFonts w:ascii="仿宋" w:hAnsi="仿宋" w:eastAsia="仿宋" w:cs="仿宋"/>
          <w:sz w:val="32"/>
          <w:szCs w:val="32"/>
        </w:rPr>
        <w:t>850mg</w:t>
      </w:r>
      <w:r w:rsidRPr="003C684F" w:rsidR="003559CC">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3559CC">
        <w:rPr>
          <w:rFonts w:hint="eastAsia" w:ascii="仿宋" w:hAnsi="仿宋" w:eastAsia="仿宋" w:cs="仿宋"/>
          <w:sz w:val="32"/>
          <w:szCs w:val="32"/>
        </w:rPr>
        <w:t>，口服</w:t>
      </w:r>
      <w:r w:rsidRPr="003C684F">
        <w:rPr>
          <w:rFonts w:hint="eastAsia" w:ascii="仿宋" w:hAnsi="仿宋" w:eastAsia="仿宋" w:cs="仿宋"/>
          <w:sz w:val="32"/>
          <w:szCs w:val="32"/>
        </w:rPr>
        <w:t>。对于体力状态评分</w:t>
      </w:r>
      <w:r w:rsidRPr="003C684F">
        <w:rPr>
          <w:rFonts w:ascii="仿宋" w:hAnsi="仿宋" w:eastAsia="仿宋" w:cs="仿宋"/>
          <w:sz w:val="32"/>
          <w:szCs w:val="32"/>
        </w:rPr>
        <w:t>ECOG</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w:t>
      </w:r>
      <w:r w:rsidRPr="003C684F" w:rsidR="009C0B36">
        <w:rPr>
          <w:rFonts w:hint="eastAsia" w:ascii="仿宋" w:hAnsi="仿宋" w:eastAsia="仿宋" w:cs="仿宋"/>
          <w:sz w:val="32"/>
          <w:szCs w:val="32"/>
        </w:rPr>
        <w:t>二</w:t>
      </w:r>
      <w:r w:rsidRPr="003C684F">
        <w:rPr>
          <w:rFonts w:hint="eastAsia" w:ascii="仿宋" w:hAnsi="仿宋" w:eastAsia="仿宋" w:cs="仿宋"/>
          <w:sz w:val="32"/>
          <w:szCs w:val="32"/>
        </w:rPr>
        <w:t>线化疗以后、胃部原发癌灶没有切除、骨髓功能储备差、年老体弱或瘦小的女性患者，为了确保患者的安全性和提高依从性，可以适当降低起始剂量，先从250</w:t>
      </w:r>
      <w:r w:rsidRPr="003C684F">
        <w:rPr>
          <w:rFonts w:ascii="仿宋" w:hAnsi="仿宋" w:eastAsia="仿宋" w:cs="仿宋"/>
          <w:sz w:val="32"/>
          <w:szCs w:val="32"/>
        </w:rPr>
        <w:t>mg</w:t>
      </w:r>
      <w:r w:rsidRPr="003C684F">
        <w:rPr>
          <w:rFonts w:hint="eastAsia" w:ascii="仿宋" w:hAnsi="仿宋" w:eastAsia="仿宋" w:cs="仿宋"/>
          <w:sz w:val="32"/>
          <w:szCs w:val="32"/>
        </w:rPr>
        <w:t>开始服药，服用</w:t>
      </w:r>
      <w:r w:rsidRPr="003C684F">
        <w:rPr>
          <w:rFonts w:ascii="仿宋" w:hAnsi="仿宋" w:eastAsia="仿宋" w:cs="仿宋"/>
          <w:sz w:val="32"/>
          <w:szCs w:val="32"/>
        </w:rPr>
        <w:t>1</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周后再酌情增加剂量。</w:t>
      </w:r>
      <w:r w:rsidRPr="003C684F" w:rsidR="00B10657">
        <w:rPr>
          <w:rFonts w:hint="eastAsia" w:ascii="仿宋" w:hAnsi="仿宋" w:eastAsia="仿宋" w:cs="仿宋"/>
          <w:sz w:val="32"/>
          <w:szCs w:val="32"/>
        </w:rPr>
        <w:t>晚期肝细胞癌患者本品推荐剂量为750mg/次（</w:t>
      </w:r>
      <w:r w:rsidRPr="003C684F" w:rsidR="00B10657">
        <w:rPr>
          <w:rFonts w:ascii="仿宋" w:hAnsi="仿宋" w:eastAsia="仿宋" w:cs="仿宋"/>
          <w:sz w:val="32"/>
          <w:szCs w:val="32"/>
        </w:rPr>
        <w:t>250mg</w:t>
      </w:r>
      <w:r w:rsidRPr="003C684F" w:rsidR="00B10657">
        <w:rPr>
          <w:rFonts w:hint="eastAsia" w:ascii="仿宋" w:hAnsi="仿宋" w:eastAsia="仿宋" w:cs="仿宋"/>
          <w:sz w:val="32"/>
          <w:szCs w:val="32"/>
        </w:rPr>
        <w:t>每片，每次3片），每天一次，口服。</w:t>
      </w:r>
    </w:p>
    <w:p w:rsidRPr="003C684F" w:rsidR="009730C1" w:rsidRDefault="00A315B9" w14:paraId="0611507D" w14:textId="1BCE8023">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使用过程中出现</w:t>
      </w:r>
      <w:r w:rsidRPr="003C684F">
        <w:rPr>
          <w:rFonts w:ascii="仿宋" w:hAnsi="仿宋" w:eastAsia="仿宋" w:cs="仿宋"/>
          <w:sz w:val="32"/>
          <w:szCs w:val="32"/>
        </w:rPr>
        <w:t>3</w:t>
      </w:r>
      <w:r w:rsidRPr="003C684F">
        <w:rPr>
          <w:rFonts w:hint="eastAsia" w:ascii="仿宋" w:hAnsi="仿宋" w:eastAsia="仿宋" w:cs="仿宋"/>
          <w:sz w:val="32"/>
          <w:szCs w:val="32"/>
        </w:rPr>
        <w:t>～</w:t>
      </w:r>
      <w:r w:rsidRPr="003C684F">
        <w:rPr>
          <w:rFonts w:ascii="仿宋" w:hAnsi="仿宋" w:eastAsia="仿宋" w:cs="仿宋"/>
          <w:sz w:val="32"/>
          <w:szCs w:val="32"/>
        </w:rPr>
        <w:t>4</w:t>
      </w:r>
      <w:r w:rsidRPr="003C684F">
        <w:rPr>
          <w:rFonts w:hint="eastAsia" w:ascii="仿宋" w:hAnsi="仿宋" w:eastAsia="仿宋" w:cs="仿宋"/>
          <w:sz w:val="32"/>
          <w:szCs w:val="32"/>
        </w:rPr>
        <w:t>级不良反应时，建议暂停用药</w:t>
      </w:r>
      <w:r w:rsidRPr="003C684F" w:rsidR="00076460">
        <w:rPr>
          <w:rFonts w:hint="eastAsia" w:ascii="仿宋" w:hAnsi="仿宋" w:eastAsia="仿宋" w:cs="仿宋"/>
          <w:sz w:val="32"/>
          <w:szCs w:val="32"/>
        </w:rPr>
        <w:t>（不超过2周）直至症状缓解或消失，随后继续按原剂量服</w:t>
      </w:r>
      <w:r w:rsidRPr="003C684F" w:rsidR="00076460">
        <w:rPr>
          <w:rFonts w:hint="eastAsia" w:ascii="仿宋" w:hAnsi="仿宋" w:eastAsia="仿宋" w:cs="仿宋"/>
          <w:sz w:val="32"/>
          <w:szCs w:val="32"/>
        </w:rPr>
        <w:lastRenderedPageBreak/>
        <w:t>用；若2周后不良反应仍未缓解，建议在医师指导下调整剂量：第一次调整剂量：750mg/次，每天一次，口服；第二次调整剂量：500mg/次，每天一次，口服。如需要第三次调整剂量，则永久停用</w:t>
      </w:r>
      <w:r w:rsidRPr="003C684F" w:rsidR="009C0B36">
        <w:rPr>
          <w:rFonts w:hint="eastAsia" w:ascii="仿宋" w:hAnsi="仿宋" w:eastAsia="仿宋" w:cs="仿宋"/>
          <w:sz w:val="32"/>
          <w:szCs w:val="32"/>
        </w:rPr>
        <w:t>。</w:t>
      </w:r>
    </w:p>
    <w:p w:rsidRPr="003C684F" w:rsidR="009C0B36" w:rsidP="009C0B36" w:rsidRDefault="009C0B36" w14:paraId="5C168393" w14:textId="1DC76110">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Times New Roman"/>
          <w:sz w:val="32"/>
          <w:szCs w:val="32"/>
        </w:rPr>
        <w:t>3.对于出现胃肠道穿孔、需要临床处理的伤口裂开、瘘、重度出血、肾病综合征或高血压危象的患者，应永久停用本品。</w:t>
      </w:r>
    </w:p>
    <w:p w:rsidRPr="003C684F" w:rsidR="009C0B36" w:rsidP="009C0B36" w:rsidRDefault="009C0B36" w14:paraId="40785686" w14:textId="7AF8C80C">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Times New Roman"/>
          <w:sz w:val="32"/>
          <w:szCs w:val="32"/>
        </w:rPr>
        <w:t>4.阿帕替尼与CYP3A4强效抑制剂或诱导剂合用时需谨慎。阿帕替尼对CYP3A4和CYP2C9有较强的抑制作用，与经CYP3A4和CYP2C9代谢的药物合用时需谨慎。</w:t>
      </w:r>
    </w:p>
    <w:p w:rsidRPr="003C684F" w:rsidR="009730C1" w:rsidRDefault="00CC3948" w14:paraId="61498E18" w14:textId="0DF0ADD3">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用药期间必须特别</w:t>
      </w:r>
      <w:r w:rsidRPr="003C684F" w:rsidR="001A5DCC">
        <w:rPr>
          <w:rFonts w:hint="eastAsia" w:ascii="仿宋" w:hAnsi="仿宋" w:eastAsia="仿宋" w:cs="仿宋"/>
          <w:sz w:val="32"/>
          <w:szCs w:val="32"/>
        </w:rPr>
        <w:t>注意</w:t>
      </w:r>
      <w:r w:rsidRPr="003C684F" w:rsidR="00A315B9">
        <w:rPr>
          <w:rFonts w:hint="eastAsia" w:ascii="仿宋" w:hAnsi="仿宋" w:eastAsia="仿宋" w:cs="仿宋"/>
          <w:sz w:val="32"/>
          <w:szCs w:val="32"/>
        </w:rPr>
        <w:t>血压升高、蛋白尿、手足皮肤反应、出血、心脏毒性、肝脏毒性等不良反应。</w:t>
      </w:r>
    </w:p>
    <w:p w:rsidRPr="003C684F" w:rsidR="009730C1" w:rsidRDefault="00CC3948" w14:paraId="5DDD21E2" w14:textId="635CE20C">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仿宋"/>
          <w:sz w:val="32"/>
          <w:szCs w:val="32"/>
        </w:rPr>
        <w:t>6</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慎与延长QTc</w:t>
      </w:r>
      <w:r w:rsidRPr="003C684F" w:rsidR="00A315B9">
        <w:rPr>
          <w:rFonts w:ascii="仿宋" w:hAnsi="仿宋" w:eastAsia="仿宋" w:cs="仿宋"/>
          <w:sz w:val="32"/>
          <w:szCs w:val="32"/>
        </w:rPr>
        <w:t>间期</w:t>
      </w:r>
      <w:r w:rsidRPr="003C684F" w:rsidR="00A315B9">
        <w:rPr>
          <w:rFonts w:hint="eastAsia" w:ascii="仿宋" w:hAnsi="仿宋" w:eastAsia="仿宋" w:cs="仿宋"/>
          <w:sz w:val="32"/>
          <w:szCs w:val="32"/>
        </w:rPr>
        <w:t>的药物同时使用。</w:t>
      </w:r>
      <w:r w:rsidRPr="003C684F" w:rsidR="00D67EE4">
        <w:rPr>
          <w:rFonts w:hint="eastAsia" w:ascii="仿宋" w:hAnsi="仿宋" w:eastAsia="仿宋" w:cs="仿宋"/>
          <w:sz w:val="32"/>
          <w:szCs w:val="32"/>
        </w:rPr>
        <w:t>活动性出血、溃疡、肠穿孔、肠梗阻、大手术后30天内、药物不可控制的高血压、Ⅲ～Ⅳ级心功能不全、重度肝肾功能</w:t>
      </w:r>
      <w:r w:rsidRPr="003C684F" w:rsidR="007A68CB">
        <w:rPr>
          <w:rFonts w:hint="eastAsia" w:ascii="仿宋" w:hAnsi="仿宋" w:eastAsia="仿宋" w:cs="仿宋"/>
          <w:sz w:val="32"/>
          <w:szCs w:val="32"/>
        </w:rPr>
        <w:t>损伤</w:t>
      </w:r>
      <w:r w:rsidRPr="003C684F" w:rsidR="00D67EE4">
        <w:rPr>
          <w:rFonts w:hint="eastAsia" w:ascii="仿宋" w:hAnsi="仿宋" w:eastAsia="仿宋" w:cs="仿宋"/>
          <w:sz w:val="32"/>
          <w:szCs w:val="32"/>
        </w:rPr>
        <w:t>患者禁用</w:t>
      </w:r>
      <w:r w:rsidRPr="003C684F" w:rsidR="007A68CB">
        <w:rPr>
          <w:rFonts w:hint="eastAsia" w:ascii="仿宋" w:hAnsi="仿宋" w:eastAsia="仿宋" w:cs="仿宋"/>
          <w:sz w:val="32"/>
          <w:szCs w:val="32"/>
        </w:rPr>
        <w:t>。</w:t>
      </w:r>
    </w:p>
    <w:p w:rsidRPr="003C684F" w:rsidR="009730C1" w:rsidP="0037660B" w:rsidRDefault="00A315B9" w14:paraId="0769BBEA"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olor w:val="000000"/>
          <w:sz w:val="32"/>
          <w:szCs w:val="32"/>
        </w:rPr>
        <w:t>十三、</w:t>
      </w:r>
      <w:r w:rsidRPr="003C684F">
        <w:rPr>
          <w:rFonts w:hint="eastAsia" w:ascii="黑体" w:hAnsi="黑体" w:eastAsia="黑体" w:cs="黑体"/>
          <w:sz w:val="32"/>
          <w:szCs w:val="32"/>
        </w:rPr>
        <w:t>纳武利尤单抗 N</w:t>
      </w:r>
      <w:r w:rsidRPr="003C684F">
        <w:rPr>
          <w:rFonts w:ascii="黑体" w:hAnsi="黑体" w:eastAsia="黑体" w:cs="黑体"/>
          <w:sz w:val="32"/>
          <w:szCs w:val="32"/>
        </w:rPr>
        <w:t>ivolumab</w:t>
      </w:r>
    </w:p>
    <w:p w:rsidRPr="003C684F" w:rsidR="009730C1" w:rsidRDefault="00A315B9" w14:paraId="7E5AA731" w14:textId="77777777">
      <w:pPr>
        <w:spacing w:line="360" w:lineRule="auto"/>
        <w:ind w:firstLine="613" w:firstLineChars="200"/>
        <w:rPr>
          <w:rFonts w:ascii="仿宋" w:hAnsi="仿宋" w:eastAsia="仿宋" w:cs="Times New Roman"/>
          <w:b/>
          <w:bCs/>
          <w:w w:val="95"/>
          <w:sz w:val="32"/>
          <w:szCs w:val="32"/>
          <w:lang w:val="it-IT"/>
        </w:rPr>
      </w:pPr>
      <w:r w:rsidRPr="003C684F">
        <w:rPr>
          <w:rFonts w:hint="eastAsia" w:ascii="仿宋" w:hAnsi="仿宋" w:eastAsia="仿宋" w:cs="仿宋"/>
          <w:b/>
          <w:bCs/>
          <w:w w:val="95"/>
          <w:sz w:val="32"/>
          <w:szCs w:val="32"/>
        </w:rPr>
        <w:t>制剂与规格</w:t>
      </w:r>
      <w:r w:rsidRPr="003C684F">
        <w:rPr>
          <w:rFonts w:hint="eastAsia" w:ascii="仿宋" w:hAnsi="仿宋" w:eastAsia="仿宋" w:cs="仿宋"/>
          <w:w w:val="95"/>
          <w:sz w:val="32"/>
          <w:szCs w:val="32"/>
          <w:lang w:val="it-IT"/>
        </w:rPr>
        <w:t>：注射</w:t>
      </w:r>
      <w:r w:rsidRPr="003C684F" w:rsidR="00A26F0B">
        <w:rPr>
          <w:rFonts w:hint="eastAsia" w:ascii="仿宋" w:hAnsi="仿宋" w:eastAsia="仿宋" w:cs="仿宋"/>
          <w:w w:val="95"/>
          <w:sz w:val="32"/>
          <w:szCs w:val="32"/>
          <w:lang w:val="it-IT"/>
        </w:rPr>
        <w:t>剂</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40mg</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4ml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w:t>
      </w:r>
      <w:r w:rsidRPr="003C684F">
        <w:rPr>
          <w:rFonts w:ascii="仿宋" w:hAnsi="仿宋" w:eastAsia="仿宋" w:cs="仿宋"/>
          <w:w w:val="95"/>
          <w:sz w:val="32"/>
          <w:szCs w:val="32"/>
          <w:lang w:val="it-IT"/>
        </w:rPr>
        <w:t>100mg</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10ml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w:t>
      </w:r>
    </w:p>
    <w:p w:rsidRPr="003C684F" w:rsidR="009730C1" w:rsidRDefault="00A315B9" w14:paraId="76CD02ED"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w:t>
      </w:r>
    </w:p>
    <w:p w:rsidRPr="003C684F" w:rsidR="009730C1" w:rsidRDefault="00A315B9" w14:paraId="31F62F51"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1.联合含氟尿嘧啶和铂类药物化疗适用于一线治疗晚期或转移性胃癌、胃食管结合部癌或食管腺癌患者。</w:t>
      </w:r>
    </w:p>
    <w:p w:rsidRPr="003C684F" w:rsidR="009730C1" w:rsidRDefault="00A315B9" w14:paraId="4C81FB9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2.既往接受过两种或两种以上全身性治疗方案的晚期</w:t>
      </w:r>
      <w:r w:rsidRPr="003C684F">
        <w:rPr>
          <w:rFonts w:hint="eastAsia" w:ascii="仿宋" w:hAnsi="仿宋" w:eastAsia="仿宋" w:cs="仿宋"/>
          <w:sz w:val="32"/>
          <w:szCs w:val="32"/>
        </w:rPr>
        <w:lastRenderedPageBreak/>
        <w:t>或复发性胃或胃食管结合部腺癌患者。</w:t>
      </w:r>
    </w:p>
    <w:p w:rsidRPr="003C684F" w:rsidR="009730C1" w:rsidRDefault="00A315B9" w14:paraId="319D7612"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经新辅助放化疗及完全手术切除后仍有病理学残留的食管癌或胃食管结合部癌患者的辅助治疗。</w:t>
      </w:r>
    </w:p>
    <w:p w:rsidRPr="003C684F" w:rsidR="009730C1" w:rsidRDefault="00A315B9" w14:paraId="00C75C72"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联合氟尿嘧啶类和含铂化疗适用于晚期或转移性食管鳞癌患者的一线治疗。</w:t>
      </w:r>
    </w:p>
    <w:p w:rsidRPr="003C684F" w:rsidR="009730C1" w:rsidRDefault="00A315B9" w14:paraId="7B3234F6"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5026C05F" w14:textId="4F738744">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单药治疗推荐剂量为3mg/kg或240mg</w:t>
      </w:r>
      <w:r w:rsidRPr="003C684F" w:rsidR="00662967">
        <w:rPr>
          <w:rFonts w:hint="eastAsia" w:ascii="仿宋" w:hAnsi="仿宋" w:eastAsia="仿宋" w:cs="仿宋"/>
          <w:sz w:val="32"/>
          <w:szCs w:val="32"/>
        </w:rPr>
        <w:t>/次</w:t>
      </w:r>
      <w:r w:rsidRPr="003C684F">
        <w:rPr>
          <w:rFonts w:hint="eastAsia" w:ascii="仿宋" w:hAnsi="仿宋" w:eastAsia="仿宋" w:cs="仿宋"/>
          <w:sz w:val="32"/>
          <w:szCs w:val="32"/>
        </w:rPr>
        <w:t>固定剂量，每2周一次，或480mg</w:t>
      </w:r>
      <w:r w:rsidRPr="003C684F" w:rsidR="00346F82">
        <w:rPr>
          <w:rFonts w:hint="eastAsia" w:ascii="仿宋" w:hAnsi="仿宋" w:eastAsia="仿宋" w:cs="仿宋"/>
          <w:sz w:val="32"/>
          <w:szCs w:val="32"/>
        </w:rPr>
        <w:t>/次，</w:t>
      </w:r>
      <w:r w:rsidRPr="003C684F">
        <w:rPr>
          <w:rFonts w:hint="eastAsia" w:ascii="仿宋" w:hAnsi="仿宋" w:eastAsia="仿宋" w:cs="仿宋"/>
          <w:sz w:val="32"/>
          <w:szCs w:val="32"/>
        </w:rPr>
        <w:t>每4周一次，静脉输注30分钟。联合含氟尿嘧啶和铂类药物化疗，推荐剂量为360mg</w:t>
      </w:r>
      <w:r w:rsidRPr="003C684F" w:rsidR="00662967">
        <w:rPr>
          <w:rFonts w:hint="eastAsia" w:ascii="仿宋" w:hAnsi="仿宋" w:eastAsia="仿宋" w:cs="仿宋"/>
          <w:sz w:val="32"/>
          <w:szCs w:val="32"/>
        </w:rPr>
        <w:t>/次，</w:t>
      </w:r>
      <w:r w:rsidRPr="003C684F">
        <w:rPr>
          <w:rFonts w:hint="eastAsia" w:ascii="仿宋" w:hAnsi="仿宋" w:eastAsia="仿宋" w:cs="仿宋"/>
          <w:sz w:val="32"/>
          <w:szCs w:val="32"/>
        </w:rPr>
        <w:t>每3周一次，或240mg</w:t>
      </w:r>
      <w:r w:rsidRPr="003C684F" w:rsidR="00662967">
        <w:rPr>
          <w:rFonts w:hint="eastAsia" w:ascii="仿宋" w:hAnsi="仿宋" w:eastAsia="仿宋" w:cs="仿宋"/>
          <w:sz w:val="32"/>
          <w:szCs w:val="32"/>
        </w:rPr>
        <w:t>/次，</w:t>
      </w:r>
      <w:r w:rsidRPr="003C684F">
        <w:rPr>
          <w:rFonts w:hint="eastAsia" w:ascii="仿宋" w:hAnsi="仿宋" w:eastAsia="仿宋" w:cs="仿宋"/>
          <w:sz w:val="32"/>
          <w:szCs w:val="32"/>
        </w:rPr>
        <w:t>每2周一次，或</w:t>
      </w:r>
      <w:r w:rsidRPr="003C684F">
        <w:rPr>
          <w:rFonts w:ascii="仿宋" w:hAnsi="仿宋" w:eastAsia="仿宋" w:cs="仿宋"/>
          <w:sz w:val="32"/>
          <w:szCs w:val="32"/>
        </w:rPr>
        <w:t>48</w:t>
      </w:r>
      <w:r w:rsidRPr="003C684F">
        <w:rPr>
          <w:rFonts w:hint="eastAsia" w:ascii="仿宋" w:hAnsi="仿宋" w:eastAsia="仿宋" w:cs="仿宋"/>
          <w:sz w:val="32"/>
          <w:szCs w:val="32"/>
        </w:rPr>
        <w:t>0mg</w:t>
      </w:r>
      <w:r w:rsidRPr="003C684F" w:rsidR="00662967">
        <w:rPr>
          <w:rFonts w:hint="eastAsia" w:ascii="仿宋" w:hAnsi="仿宋" w:eastAsia="仿宋" w:cs="仿宋"/>
          <w:sz w:val="32"/>
          <w:szCs w:val="32"/>
        </w:rPr>
        <w:t>/次，</w:t>
      </w:r>
      <w:r w:rsidRPr="003C684F">
        <w:rPr>
          <w:rFonts w:hint="eastAsia" w:ascii="仿宋" w:hAnsi="仿宋" w:eastAsia="仿宋" w:cs="仿宋"/>
          <w:sz w:val="32"/>
          <w:szCs w:val="32"/>
        </w:rPr>
        <w:t>每</w:t>
      </w:r>
      <w:r w:rsidRPr="003C684F">
        <w:rPr>
          <w:rFonts w:ascii="仿宋" w:hAnsi="仿宋" w:eastAsia="仿宋" w:cs="仿宋"/>
          <w:sz w:val="32"/>
          <w:szCs w:val="32"/>
        </w:rPr>
        <w:t>4</w:t>
      </w:r>
      <w:r w:rsidRPr="003C684F">
        <w:rPr>
          <w:rFonts w:hint="eastAsia" w:ascii="仿宋" w:hAnsi="仿宋" w:eastAsia="仿宋" w:cs="仿宋"/>
          <w:sz w:val="32"/>
          <w:szCs w:val="32"/>
        </w:rPr>
        <w:t>周一次，静脉</w:t>
      </w:r>
      <w:r w:rsidRPr="003C684F" w:rsidR="00662967">
        <w:rPr>
          <w:rFonts w:hint="eastAsia" w:ascii="仿宋" w:hAnsi="仿宋" w:eastAsia="仿宋" w:cs="仿宋"/>
          <w:sz w:val="32"/>
          <w:szCs w:val="32"/>
        </w:rPr>
        <w:t>输注</w:t>
      </w:r>
      <w:r w:rsidRPr="003C684F">
        <w:rPr>
          <w:rFonts w:hint="eastAsia" w:ascii="仿宋" w:hAnsi="仿宋" w:eastAsia="仿宋" w:cs="仿宋"/>
          <w:sz w:val="32"/>
          <w:szCs w:val="32"/>
        </w:rPr>
        <w:t>持续30分钟。最长治疗持续时间为24个月。</w:t>
      </w:r>
    </w:p>
    <w:p w:rsidRPr="003C684F" w:rsidR="009730C1" w:rsidRDefault="00A315B9" w14:paraId="79AEDD64"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只要观察到临床获益，应继续纳武利尤单抗治疗，直至患者不能耐受，有可能观察到非典型反应。如果患者临床症状稳定或持续减轻，即使考虑有疾病进展的可能，但基于总体临床获益的判断，可考虑继续应用本品治疗，直至证实疾病进展。</w:t>
      </w:r>
    </w:p>
    <w:p w:rsidRPr="003C684F" w:rsidR="009730C1" w:rsidRDefault="00A315B9" w14:paraId="44704036" w14:textId="4DF10DEA">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根据个体患者的安全性和耐受性，可暂停给药或</w:t>
      </w:r>
      <w:r w:rsidRPr="003C684F" w:rsidR="00A24989">
        <w:rPr>
          <w:rFonts w:hint="eastAsia" w:ascii="仿宋" w:hAnsi="仿宋" w:eastAsia="仿宋" w:cs="仿宋"/>
          <w:sz w:val="32"/>
          <w:szCs w:val="32"/>
        </w:rPr>
        <w:t>永久停用</w:t>
      </w:r>
      <w:r w:rsidRPr="003C684F">
        <w:rPr>
          <w:rFonts w:hint="eastAsia" w:ascii="仿宋" w:hAnsi="仿宋" w:eastAsia="仿宋" w:cs="仿宋"/>
          <w:sz w:val="32"/>
          <w:szCs w:val="32"/>
        </w:rPr>
        <w:t>，不建议增加或减少剂量。</w:t>
      </w:r>
    </w:p>
    <w:p w:rsidRPr="003C684F" w:rsidR="009730C1" w:rsidRDefault="00A315B9" w14:paraId="215C2D43" w14:textId="0A781693">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发生</w:t>
      </w:r>
      <w:r w:rsidRPr="003C684F">
        <w:rPr>
          <w:rFonts w:ascii="仿宋" w:hAnsi="仿宋" w:eastAsia="仿宋" w:cs="仿宋"/>
          <w:sz w:val="32"/>
          <w:szCs w:val="32"/>
        </w:rPr>
        <w:t>4</w:t>
      </w:r>
      <w:r w:rsidRPr="003C684F">
        <w:rPr>
          <w:rFonts w:hint="eastAsia" w:ascii="仿宋" w:hAnsi="仿宋" w:eastAsia="仿宋" w:cs="仿宋"/>
          <w:sz w:val="32"/>
          <w:szCs w:val="32"/>
        </w:rPr>
        <w:t>级或复发性</w:t>
      </w:r>
      <w:r w:rsidRPr="003C684F">
        <w:rPr>
          <w:rFonts w:ascii="仿宋" w:hAnsi="仿宋" w:eastAsia="仿宋" w:cs="仿宋"/>
          <w:sz w:val="32"/>
          <w:szCs w:val="32"/>
        </w:rPr>
        <w:t>3</w:t>
      </w:r>
      <w:r w:rsidRPr="003C684F">
        <w:rPr>
          <w:rFonts w:hint="eastAsia" w:ascii="仿宋" w:hAnsi="仿宋" w:eastAsia="仿宋" w:cs="仿宋"/>
          <w:sz w:val="32"/>
          <w:szCs w:val="32"/>
        </w:rPr>
        <w:t>级不良反应，虽然进行治疗调整但仍持续存在</w:t>
      </w:r>
      <w:r w:rsidRPr="003C684F">
        <w:rPr>
          <w:rFonts w:ascii="仿宋" w:hAnsi="仿宋" w:eastAsia="仿宋" w:cs="仿宋"/>
          <w:sz w:val="32"/>
          <w:szCs w:val="32"/>
        </w:rPr>
        <w:t>2</w:t>
      </w:r>
      <w:r w:rsidRPr="003C684F">
        <w:rPr>
          <w:rFonts w:hint="eastAsia" w:ascii="仿宋" w:hAnsi="仿宋" w:eastAsia="仿宋" w:cs="仿宋"/>
          <w:sz w:val="32"/>
          <w:szCs w:val="32"/>
        </w:rPr>
        <w:t>级或</w:t>
      </w:r>
      <w:r w:rsidRPr="003C684F">
        <w:rPr>
          <w:rFonts w:ascii="仿宋" w:hAnsi="仿宋" w:eastAsia="仿宋" w:cs="仿宋"/>
          <w:sz w:val="32"/>
          <w:szCs w:val="32"/>
        </w:rPr>
        <w:t>3</w:t>
      </w:r>
      <w:r w:rsidRPr="003C684F">
        <w:rPr>
          <w:rFonts w:hint="eastAsia" w:ascii="仿宋" w:hAnsi="仿宋" w:eastAsia="仿宋" w:cs="仿宋"/>
          <w:sz w:val="32"/>
          <w:szCs w:val="32"/>
        </w:rPr>
        <w:t>级不良反应，发生3级免疫相关性肺炎、肝炎、心肌炎，应永久停用纳武利尤单抗。如果出现任何重度、复发的免疫相关性不良反应以及任何危及生命的免</w:t>
      </w:r>
      <w:r w:rsidRPr="003C684F">
        <w:rPr>
          <w:rFonts w:hint="eastAsia" w:ascii="仿宋" w:hAnsi="仿宋" w:eastAsia="仿宋" w:cs="仿宋"/>
          <w:sz w:val="32"/>
          <w:szCs w:val="32"/>
        </w:rPr>
        <w:lastRenderedPageBreak/>
        <w:t>疫相关性不良反应，必须永久停</w:t>
      </w:r>
      <w:r w:rsidRPr="003C684F" w:rsidR="002B7292">
        <w:rPr>
          <w:rFonts w:hint="eastAsia" w:ascii="仿宋" w:hAnsi="仿宋" w:eastAsia="仿宋" w:cs="仿宋"/>
          <w:sz w:val="32"/>
          <w:szCs w:val="32"/>
        </w:rPr>
        <w:t>用</w:t>
      </w:r>
      <w:r w:rsidRPr="003C684F">
        <w:rPr>
          <w:rFonts w:hint="eastAsia" w:ascii="仿宋" w:hAnsi="仿宋" w:eastAsia="仿宋" w:cs="仿宋"/>
          <w:sz w:val="32"/>
          <w:szCs w:val="32"/>
        </w:rPr>
        <w:t>纳武利尤单抗。</w:t>
      </w:r>
    </w:p>
    <w:p w:rsidRPr="003C684F" w:rsidR="009730C1" w:rsidRDefault="00A315B9" w14:paraId="68412E6A" w14:textId="50BE524A">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老年患者（≥</w:t>
      </w:r>
      <w:r w:rsidRPr="003C684F">
        <w:rPr>
          <w:rFonts w:ascii="仿宋" w:hAnsi="仿宋" w:eastAsia="仿宋" w:cs="仿宋"/>
          <w:sz w:val="32"/>
          <w:szCs w:val="32"/>
        </w:rPr>
        <w:t>65</w:t>
      </w:r>
      <w:r w:rsidRPr="003C684F">
        <w:rPr>
          <w:rFonts w:hint="eastAsia" w:ascii="仿宋" w:hAnsi="仿宋" w:eastAsia="仿宋" w:cs="仿宋"/>
          <w:sz w:val="32"/>
          <w:szCs w:val="32"/>
        </w:rPr>
        <w:t>岁）</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调整剂量。轻中度肾功能损伤患者</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调整剂量，重度肾功能损伤患者的数据有限。轻中度肝功能损伤患者</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调整剂量，没有对重度肝功能损伤患者进行本品的相关研究，重度肝功能损伤（总胆红素、ALT或</w:t>
      </w:r>
      <w:r w:rsidRPr="003C684F">
        <w:rPr>
          <w:rFonts w:ascii="仿宋" w:hAnsi="仿宋" w:eastAsia="仿宋" w:cs="仿宋"/>
          <w:sz w:val="32"/>
          <w:szCs w:val="32"/>
        </w:rPr>
        <w:t>AST</w:t>
      </w:r>
      <w:r w:rsidRPr="003C684F">
        <w:rPr>
          <w:rFonts w:hint="eastAsia" w:ascii="仿宋" w:hAnsi="仿宋" w:eastAsia="仿宋" w:cs="仿宋"/>
          <w:sz w:val="32"/>
          <w:szCs w:val="32"/>
        </w:rPr>
        <w:t>＞</w:t>
      </w:r>
      <w:r w:rsidRPr="003C684F">
        <w:rPr>
          <w:rFonts w:ascii="仿宋" w:hAnsi="仿宋" w:eastAsia="仿宋" w:cs="仿宋"/>
          <w:sz w:val="32"/>
          <w:szCs w:val="32"/>
        </w:rPr>
        <w:t>3</w:t>
      </w:r>
      <w:r w:rsidRPr="003C684F">
        <w:rPr>
          <w:rFonts w:hint="eastAsia" w:ascii="仿宋" w:hAnsi="仿宋" w:eastAsia="仿宋" w:cs="仿宋"/>
          <w:sz w:val="32"/>
          <w:szCs w:val="32"/>
        </w:rPr>
        <w:t>倍ULN）患者慎用本品。</w:t>
      </w:r>
    </w:p>
    <w:p w:rsidRPr="003C684F" w:rsidR="009730C1" w:rsidRDefault="00A315B9" w14:paraId="279E98DD"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rsidRPr="003C684F" w:rsidR="009730C1" w:rsidRDefault="00A315B9" w14:paraId="0A5B0F89"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olor w:val="000000"/>
          <w:sz w:val="32"/>
          <w:szCs w:val="32"/>
        </w:rPr>
        <w:t>7.纳武利尤单抗可能引起免疫相关性不良反应，建议治疗前进行包括甲状腺功能、心肌酶等的基线检测，在治疗中定期随访用于早期发现免疫相关性不良反应。</w:t>
      </w:r>
      <w:r w:rsidRPr="003C684F">
        <w:rPr>
          <w:rFonts w:hint="eastAsia" w:ascii="仿宋" w:hAnsi="仿宋" w:eastAsia="仿宋" w:cs="仿宋"/>
          <w:sz w:val="32"/>
          <w:szCs w:val="32"/>
        </w:rPr>
        <w:t>因为不良反应可能在纳武利尤单抗治疗期间或纳武利尤单抗治疗停止后的任何时间发生，应持续进行患者监测（至少至末次给药后</w:t>
      </w:r>
      <w:r w:rsidRPr="003C684F">
        <w:rPr>
          <w:rFonts w:ascii="仿宋" w:hAnsi="仿宋" w:eastAsia="仿宋" w:cs="仿宋"/>
          <w:sz w:val="32"/>
          <w:szCs w:val="32"/>
        </w:rPr>
        <w:t>5</w:t>
      </w:r>
      <w:r w:rsidRPr="003C684F">
        <w:rPr>
          <w:rFonts w:hint="eastAsia" w:ascii="仿宋" w:hAnsi="仿宋" w:eastAsia="仿宋" w:cs="仿宋"/>
          <w:sz w:val="32"/>
          <w:szCs w:val="32"/>
        </w:rPr>
        <w:t>个月）。</w:t>
      </w:r>
    </w:p>
    <w:p w:rsidRPr="003C684F" w:rsidR="009730C1" w:rsidRDefault="00A315B9" w14:paraId="626FA58D"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8.</w:t>
      </w:r>
      <w:r w:rsidRPr="003C684F">
        <w:rPr>
          <w:rFonts w:hint="eastAsia" w:ascii="仿宋" w:hAnsi="仿宋" w:eastAsia="仿宋" w:cs="仿宋"/>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逐渐减量至停药，快速减量可能引起不良反应恶化或复发。如果使用了糖皮质激素但仍恶化或无改善，则应增加非糖皮质激素性免疫</w:t>
      </w:r>
      <w:r w:rsidRPr="003C684F">
        <w:rPr>
          <w:rFonts w:hint="eastAsia" w:ascii="仿宋" w:hAnsi="仿宋" w:eastAsia="仿宋" w:cs="仿宋"/>
          <w:sz w:val="32"/>
          <w:szCs w:val="32"/>
        </w:rPr>
        <w:lastRenderedPageBreak/>
        <w:t>抑制剂治疗。严重者或诊断存疑者可由消化科、风湿科、皮肤科、呼吸科、肿瘤科等组成的免疫不良反应MDT进行会诊。</w:t>
      </w:r>
    </w:p>
    <w:p w:rsidRPr="003C684F" w:rsidR="009730C1" w:rsidRDefault="00A315B9" w14:paraId="702F078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9.</w:t>
      </w:r>
      <w:r w:rsidRPr="003C684F">
        <w:rPr>
          <w:rFonts w:hint="eastAsia" w:ascii="仿宋" w:hAnsi="仿宋" w:eastAsia="仿宋" w:cs="仿宋"/>
          <w:sz w:val="32"/>
          <w:szCs w:val="32"/>
        </w:rPr>
        <w:t>在患者接受免疫抑制剂量的糖皮质激素或其他免疫抑制剂治疗期间，不可重新使用纳武利尤单抗治疗。</w:t>
      </w:r>
    </w:p>
    <w:p w:rsidRPr="003C684F" w:rsidR="009730C1" w:rsidRDefault="00A315B9" w14:paraId="5741E405"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十四、维迪西妥单抗 Dis</w:t>
      </w:r>
      <w:r w:rsidRPr="003C684F">
        <w:rPr>
          <w:rFonts w:ascii="黑体" w:hAnsi="黑体" w:eastAsia="黑体" w:cs="黑体"/>
          <w:sz w:val="32"/>
          <w:szCs w:val="32"/>
        </w:rPr>
        <w:t>itamabVedotin</w:t>
      </w:r>
    </w:p>
    <w:p w:rsidRPr="003C684F" w:rsidR="009730C1" w:rsidRDefault="00A315B9" w14:paraId="15D58363" w14:textId="5D3B61AC">
      <w:pPr>
        <w:spacing w:line="360" w:lineRule="auto"/>
        <w:ind w:firstLine="643" w:firstLineChars="200"/>
        <w:jc w:val="left"/>
        <w:rPr>
          <w:rFonts w:ascii="仿宋" w:hAnsi="仿宋" w:eastAsia="仿宋" w:cs="Times New Roman"/>
          <w:kern w:val="0"/>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冻干制剂：</w:t>
      </w:r>
      <w:r w:rsidRPr="003C684F">
        <w:rPr>
          <w:rFonts w:ascii="仿宋" w:hAnsi="仿宋" w:eastAsia="仿宋" w:cs="仿宋"/>
          <w:sz w:val="32"/>
          <w:szCs w:val="32"/>
        </w:rPr>
        <w:t>60mg/</w:t>
      </w:r>
      <w:r w:rsidRPr="003C684F" w:rsidR="008C6544">
        <w:rPr>
          <w:rFonts w:hint="eastAsia" w:ascii="仿宋" w:hAnsi="仿宋" w:eastAsia="仿宋" w:cs="仿宋"/>
          <w:sz w:val="32"/>
          <w:szCs w:val="32"/>
        </w:rPr>
        <w:t>瓶</w:t>
      </w:r>
    </w:p>
    <w:p w:rsidRPr="003C684F" w:rsidR="009730C1" w:rsidRDefault="00A315B9" w14:paraId="3B1E3233" w14:textId="77777777">
      <w:pPr>
        <w:spacing w:line="360" w:lineRule="auto"/>
        <w:ind w:firstLine="643" w:firstLineChars="200"/>
        <w:jc w:val="left"/>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至少接受过2个系统化疗的HER2过表达局部晚期或转移性胃癌（包括胃食管结合部腺癌）的患者。</w:t>
      </w:r>
      <w:r w:rsidRPr="003C684F">
        <w:rPr>
          <w:rFonts w:ascii="仿宋" w:hAnsi="仿宋" w:eastAsia="仿宋" w:cs="仿宋"/>
          <w:sz w:val="32"/>
          <w:szCs w:val="32"/>
        </w:rPr>
        <w:t>HER2过表达定义为HER2免疫组织化学检查结果为2+或3+，无论FiSH/CiSH</w:t>
      </w:r>
      <w:r w:rsidRPr="003C684F">
        <w:rPr>
          <w:rFonts w:hint="eastAsia" w:ascii="仿宋" w:hAnsi="仿宋" w:eastAsia="仿宋" w:cs="仿宋"/>
          <w:sz w:val="32"/>
          <w:szCs w:val="32"/>
        </w:rPr>
        <w:t>扩增与否。</w:t>
      </w:r>
    </w:p>
    <w:p w:rsidRPr="003C684F" w:rsidR="009730C1" w:rsidRDefault="00A315B9" w14:paraId="1078A213" w14:textId="77777777">
      <w:pPr>
        <w:spacing w:line="360" w:lineRule="auto"/>
        <w:ind w:firstLine="643" w:firstLineChars="200"/>
        <w:jc w:val="left"/>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EEE7AAE" w14:textId="77777777">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在本品治疗前，应进行</w:t>
      </w:r>
      <w:r w:rsidRPr="003C684F">
        <w:rPr>
          <w:rFonts w:ascii="仿宋" w:hAnsi="仿宋" w:eastAsia="仿宋" w:cs="仿宋"/>
          <w:sz w:val="32"/>
          <w:szCs w:val="32"/>
        </w:rPr>
        <w:t>HER2</w:t>
      </w:r>
      <w:r w:rsidRPr="003C684F">
        <w:rPr>
          <w:rFonts w:hint="eastAsia" w:ascii="仿宋" w:hAnsi="仿宋" w:eastAsia="仿宋" w:cs="仿宋"/>
          <w:sz w:val="32"/>
          <w:szCs w:val="32"/>
        </w:rPr>
        <w:t>检测，相关检测应使用国家药品监督管理局批准的检测方法。</w:t>
      </w:r>
    </w:p>
    <w:p w:rsidRPr="003C684F" w:rsidR="009730C1" w:rsidRDefault="00A315B9" w14:paraId="1DE565DD" w14:textId="3BF7E215">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2.</w:t>
      </w:r>
      <w:r w:rsidRPr="003C684F">
        <w:rPr>
          <w:rFonts w:hint="eastAsia" w:ascii="仿宋" w:hAnsi="仿宋" w:eastAsia="仿宋" w:cs="Times New Roman"/>
          <w:sz w:val="32"/>
          <w:szCs w:val="32"/>
        </w:rPr>
        <w:t>推荐剂量为2</w:t>
      </w:r>
      <w:r w:rsidRPr="003C684F">
        <w:rPr>
          <w:rFonts w:ascii="仿宋" w:hAnsi="仿宋" w:eastAsia="仿宋" w:cs="Times New Roman"/>
          <w:sz w:val="32"/>
          <w:szCs w:val="32"/>
        </w:rPr>
        <w:t>.5</w:t>
      </w:r>
      <w:r w:rsidRPr="003C684F">
        <w:rPr>
          <w:rFonts w:hint="eastAsia" w:ascii="仿宋" w:hAnsi="仿宋" w:eastAsia="仿宋" w:cs="Times New Roman"/>
          <w:sz w:val="32"/>
          <w:szCs w:val="32"/>
        </w:rPr>
        <w:t>mg/kg，每</w:t>
      </w:r>
      <w:r w:rsidRPr="003C684F" w:rsidR="009B5B90">
        <w:rPr>
          <w:rFonts w:hint="eastAsia" w:ascii="仿宋" w:hAnsi="仿宋" w:eastAsia="仿宋" w:cs="Times New Roman"/>
          <w:sz w:val="32"/>
          <w:szCs w:val="32"/>
        </w:rPr>
        <w:t>2周</w:t>
      </w:r>
      <w:r w:rsidRPr="003C684F">
        <w:rPr>
          <w:rFonts w:hint="eastAsia" w:ascii="仿宋" w:hAnsi="仿宋" w:eastAsia="仿宋" w:cs="Times New Roman"/>
          <w:sz w:val="32"/>
          <w:szCs w:val="32"/>
        </w:rPr>
        <w:t>一次，</w:t>
      </w:r>
      <w:r w:rsidRPr="003C684F" w:rsidR="00FC21CC">
        <w:rPr>
          <w:rFonts w:hint="eastAsia" w:ascii="仿宋" w:hAnsi="仿宋" w:eastAsia="仿宋" w:cs="Times New Roman"/>
          <w:sz w:val="32"/>
          <w:szCs w:val="32"/>
        </w:rPr>
        <w:t>静脉输注</w:t>
      </w:r>
      <w:r w:rsidRPr="003C684F">
        <w:rPr>
          <w:rFonts w:hint="eastAsia" w:ascii="仿宋" w:hAnsi="仿宋" w:eastAsia="仿宋" w:cs="Times New Roman"/>
          <w:sz w:val="32"/>
          <w:szCs w:val="32"/>
        </w:rPr>
        <w:t>，历时3</w:t>
      </w:r>
      <w:r w:rsidRPr="003C684F">
        <w:rPr>
          <w:rFonts w:ascii="仿宋" w:hAnsi="仿宋" w:eastAsia="仿宋" w:cs="Times New Roman"/>
          <w:sz w:val="32"/>
          <w:szCs w:val="32"/>
        </w:rPr>
        <w:t>0</w:t>
      </w:r>
      <w:r w:rsidRPr="003C684F">
        <w:rPr>
          <w:rFonts w:hint="eastAsia" w:ascii="仿宋" w:hAnsi="仿宋" w:eastAsia="仿宋" w:cs="Times New Roman"/>
          <w:sz w:val="32"/>
          <w:szCs w:val="32"/>
        </w:rPr>
        <w:t>～</w:t>
      </w:r>
      <w:r w:rsidRPr="003C684F">
        <w:rPr>
          <w:rFonts w:ascii="仿宋" w:hAnsi="仿宋" w:eastAsia="仿宋" w:cs="Times New Roman"/>
          <w:sz w:val="32"/>
          <w:szCs w:val="32"/>
        </w:rPr>
        <w:t>90</w:t>
      </w:r>
      <w:r w:rsidRPr="003C684F">
        <w:rPr>
          <w:rFonts w:hint="eastAsia" w:ascii="仿宋" w:hAnsi="仿宋" w:eastAsia="仿宋" w:cs="Times New Roman"/>
          <w:sz w:val="32"/>
          <w:szCs w:val="32"/>
        </w:rPr>
        <w:t>分钟（通常建议6</w:t>
      </w:r>
      <w:r w:rsidRPr="003C684F">
        <w:rPr>
          <w:rFonts w:ascii="仿宋" w:hAnsi="仿宋" w:eastAsia="仿宋" w:cs="Times New Roman"/>
          <w:sz w:val="32"/>
          <w:szCs w:val="32"/>
        </w:rPr>
        <w:t>0</w:t>
      </w:r>
      <w:r w:rsidRPr="003C684F">
        <w:rPr>
          <w:rFonts w:hint="eastAsia" w:ascii="仿宋" w:hAnsi="仿宋" w:eastAsia="仿宋" w:cs="Times New Roman"/>
          <w:sz w:val="32"/>
          <w:szCs w:val="32"/>
        </w:rPr>
        <w:t>分钟左右）。</w:t>
      </w:r>
    </w:p>
    <w:p w:rsidRPr="003C684F" w:rsidR="009730C1" w:rsidRDefault="00A315B9" w14:paraId="0481A47C"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3.</w:t>
      </w:r>
      <w:r w:rsidRPr="003C684F">
        <w:rPr>
          <w:rFonts w:hint="eastAsia" w:ascii="仿宋" w:hAnsi="仿宋" w:eastAsia="仿宋" w:cs="Times New Roman"/>
          <w:sz w:val="32"/>
          <w:szCs w:val="32"/>
        </w:rPr>
        <w:t>该适应证是基于一项HER2过表达的局部晚期或转移性胃癌患者（包括胃食管结合部腺癌）的Ⅱ期单臂临床试验结果给予的附条件批准。</w:t>
      </w:r>
    </w:p>
    <w:p w:rsidRPr="003C684F" w:rsidR="009730C1" w:rsidRDefault="00A315B9" w14:paraId="7C8FCA50" w14:textId="4D937B85">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4.</w:t>
      </w:r>
      <w:r w:rsidRPr="003C684F" w:rsidR="00AE555B">
        <w:rPr>
          <w:rFonts w:hint="eastAsia" w:ascii="仿宋" w:hAnsi="仿宋" w:eastAsia="仿宋" w:cs="Times New Roman"/>
          <w:sz w:val="32"/>
          <w:szCs w:val="32"/>
        </w:rPr>
        <w:t>常见的临床不良反应包括脱发、皮疹、恶心、呕吐、乏力、发热、肌肉疼痛、感觉减退、周围神经病。</w:t>
      </w:r>
    </w:p>
    <w:p w:rsidRPr="003C684F" w:rsidR="009730C1" w:rsidRDefault="00A315B9" w14:paraId="335151C7" w14:textId="16DD4F79">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Times New Roman"/>
          <w:sz w:val="32"/>
          <w:szCs w:val="32"/>
        </w:rPr>
        <w:t>5.如果患者发生与药物相关的≥3级血液</w:t>
      </w:r>
      <w:r w:rsidRPr="003C684F" w:rsidR="00AE555B">
        <w:rPr>
          <w:rFonts w:hint="eastAsia" w:ascii="仿宋" w:hAnsi="仿宋" w:eastAsia="仿宋" w:cs="Times New Roman"/>
          <w:sz w:val="32"/>
          <w:szCs w:val="32"/>
        </w:rPr>
        <w:t>学</w:t>
      </w:r>
      <w:r w:rsidRPr="003C684F">
        <w:rPr>
          <w:rFonts w:hint="eastAsia" w:ascii="仿宋" w:hAnsi="仿宋" w:eastAsia="仿宋" w:cs="Times New Roman"/>
          <w:sz w:val="32"/>
          <w:szCs w:val="32"/>
        </w:rPr>
        <w:t>异常，建议暂停治疗，对症治疗，每周两次进行血液学检查，直至恢复</w:t>
      </w:r>
      <w:r w:rsidRPr="003C684F">
        <w:rPr>
          <w:rFonts w:hint="eastAsia" w:ascii="仿宋" w:hAnsi="仿宋" w:eastAsia="仿宋" w:cs="Times New Roman"/>
          <w:sz w:val="32"/>
          <w:szCs w:val="32"/>
        </w:rPr>
        <w:lastRenderedPageBreak/>
        <w:t>至CTCAE≤1级或开始治疗前的水平，若恢复用药后再次发生不良反应，则应调整给药剂量。如果患者在暂停用药28天后仍未恢复至CTCAE≤1级或开始治疗前的水平，则建议停止治疗。</w:t>
      </w:r>
    </w:p>
    <w:p w:rsidRPr="003C684F" w:rsidR="009730C1" w:rsidRDefault="00A315B9" w14:paraId="51BB1CBA"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6.</w:t>
      </w:r>
      <w:r w:rsidRPr="003C684F">
        <w:rPr>
          <w:rFonts w:hint="eastAsia" w:ascii="仿宋" w:hAnsi="仿宋" w:eastAsia="仿宋" w:cs="Times New Roman"/>
          <w:sz w:val="32"/>
          <w:szCs w:val="32"/>
        </w:rPr>
        <w:t>如果患者发生与药物相关的≥3级转氨酶升高，建议暂停治疗，对症治疗，每周两次进行血生化检查，直至恢复至CTCAE≤1级或开始治疗前的水平，若恢复用药后再次发生不良反应，则应调整给药剂量。如果患者在暂停用药28天后仍未恢复至CTCAE≤1级或开始治疗前的水平，则建议停止治疗。</w:t>
      </w:r>
    </w:p>
    <w:p w:rsidRPr="003C684F" w:rsidR="009730C1" w:rsidRDefault="00A315B9" w14:paraId="1249F8D2"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7.</w:t>
      </w:r>
      <w:r w:rsidRPr="003C684F">
        <w:rPr>
          <w:rFonts w:hint="eastAsia" w:ascii="仿宋" w:hAnsi="仿宋" w:eastAsia="仿宋" w:cs="Times New Roman"/>
          <w:sz w:val="32"/>
          <w:szCs w:val="32"/>
        </w:rPr>
        <w:t>如果患者发生了药物相关的感觉异常（如麻木等），且在暂停用药28天后仍未恢复至可继续给药的水平，建议停止治疗。</w:t>
      </w:r>
    </w:p>
    <w:p w:rsidRPr="003C684F" w:rsidR="009730C1" w:rsidRDefault="00A315B9" w14:paraId="3ADB3D52"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8.</w:t>
      </w:r>
      <w:r w:rsidRPr="003C684F">
        <w:rPr>
          <w:rFonts w:hint="eastAsia" w:ascii="仿宋" w:hAnsi="仿宋" w:eastAsia="仿宋" w:cs="Times New Roman"/>
          <w:sz w:val="32"/>
          <w:szCs w:val="32"/>
        </w:rPr>
        <w:t>轻度肝功能损伤患者无需进行剂量调整。目前尚未考察中重度肝功能损伤对本品药代动力学的影响。轻中度肾功能损伤患者无需进行剂量调整，目前尚未评估重度肾功能损伤患者的药代动力学，尚无重度肾功能损伤患者的研究数据。</w:t>
      </w:r>
    </w:p>
    <w:p w:rsidRPr="003C684F" w:rsidR="009730C1" w:rsidRDefault="00A315B9" w14:paraId="07CC5300" w14:textId="0C03023B">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9.</w:t>
      </w:r>
      <w:r w:rsidRPr="003C684F">
        <w:rPr>
          <w:rFonts w:hint="eastAsia" w:ascii="仿宋" w:hAnsi="仿宋" w:eastAsia="仿宋" w:cs="Times New Roman"/>
          <w:sz w:val="32"/>
          <w:szCs w:val="32"/>
        </w:rPr>
        <w:t>尚未确</w:t>
      </w:r>
      <w:r w:rsidRPr="003C684F" w:rsidR="004953DC">
        <w:rPr>
          <w:rFonts w:hint="eastAsia" w:ascii="仿宋" w:hAnsi="仿宋" w:eastAsia="仿宋" w:cs="Times New Roman"/>
          <w:sz w:val="32"/>
          <w:szCs w:val="32"/>
        </w:rPr>
        <w:t>定</w:t>
      </w:r>
      <w:r w:rsidRPr="003C684F">
        <w:rPr>
          <w:rFonts w:hint="eastAsia" w:ascii="仿宋" w:hAnsi="仿宋" w:eastAsia="仿宋" w:cs="Times New Roman"/>
          <w:sz w:val="32"/>
          <w:szCs w:val="32"/>
        </w:rPr>
        <w:t>本品在</w:t>
      </w:r>
      <w:r w:rsidRPr="003C684F" w:rsidR="00D61FBA">
        <w:rPr>
          <w:rFonts w:hint="eastAsia" w:ascii="仿宋" w:hAnsi="仿宋" w:eastAsia="仿宋" w:cs="Times New Roman"/>
          <w:sz w:val="32"/>
          <w:szCs w:val="32"/>
        </w:rPr>
        <w:t>18岁以下儿童和青少年患者</w:t>
      </w:r>
      <w:r w:rsidRPr="003C684F">
        <w:rPr>
          <w:rFonts w:hint="eastAsia" w:ascii="仿宋" w:hAnsi="仿宋" w:eastAsia="仿宋" w:cs="Times New Roman"/>
          <w:sz w:val="32"/>
          <w:szCs w:val="32"/>
        </w:rPr>
        <w:t>的安全性和有效性。临床试验中</w:t>
      </w:r>
      <w:r w:rsidRPr="003C684F" w:rsidR="006C60AB">
        <w:rPr>
          <w:rFonts w:hint="eastAsia" w:ascii="仿宋" w:hAnsi="仿宋" w:eastAsia="仿宋" w:cs="Times New Roman"/>
          <w:sz w:val="32"/>
          <w:szCs w:val="32"/>
        </w:rPr>
        <w:t>老年患者（≥65岁）</w:t>
      </w:r>
      <w:r w:rsidRPr="003C684F">
        <w:rPr>
          <w:rFonts w:hint="eastAsia" w:ascii="仿宋" w:hAnsi="仿宋" w:eastAsia="仿宋" w:cs="Times New Roman"/>
          <w:sz w:val="32"/>
          <w:szCs w:val="32"/>
        </w:rPr>
        <w:t>的</w:t>
      </w:r>
      <w:r w:rsidRPr="003C684F" w:rsidR="007F3658">
        <w:rPr>
          <w:rFonts w:hint="eastAsia" w:ascii="仿宋" w:hAnsi="仿宋" w:eastAsia="仿宋" w:cs="Times New Roman"/>
          <w:sz w:val="32"/>
          <w:szCs w:val="32"/>
        </w:rPr>
        <w:t>安全性和有效性</w:t>
      </w:r>
      <w:r w:rsidRPr="003C684F">
        <w:rPr>
          <w:rFonts w:hint="eastAsia" w:ascii="仿宋" w:hAnsi="仿宋" w:eastAsia="仿宋" w:cs="Times New Roman"/>
          <w:sz w:val="32"/>
          <w:szCs w:val="32"/>
        </w:rPr>
        <w:t>与整体人群相比未见明显差异。</w:t>
      </w:r>
    </w:p>
    <w:p w:rsidRPr="003C684F" w:rsidR="00AE555B" w:rsidRDefault="00AE555B" w14:paraId="433EA548" w14:textId="66895D5C">
      <w:pPr>
        <w:spacing w:line="360" w:lineRule="auto"/>
        <w:ind w:firstLine="640" w:firstLineChars="200"/>
        <w:jc w:val="left"/>
        <w:rPr>
          <w:rFonts w:ascii="仿宋" w:hAnsi="仿宋" w:eastAsia="仿宋" w:cs="Times New Roman"/>
          <w:sz w:val="32"/>
          <w:szCs w:val="32"/>
        </w:rPr>
      </w:pPr>
      <w:r w:rsidRPr="003C684F">
        <w:rPr>
          <w:rFonts w:hint="eastAsia" w:ascii="仿宋" w:hAnsi="仿宋" w:eastAsia="仿宋" w:cs="Times New Roman"/>
          <w:sz w:val="32"/>
          <w:szCs w:val="32"/>
        </w:rPr>
        <w:t>10.基于动物试验结果，本品可能对男性生殖系统、胚胎-胎儿发育具有潜在毒性。女性患者在开始接受本品治疗</w:t>
      </w:r>
      <w:r w:rsidRPr="003C684F">
        <w:rPr>
          <w:rFonts w:hint="eastAsia" w:ascii="仿宋" w:hAnsi="仿宋" w:eastAsia="仿宋" w:cs="Times New Roman"/>
          <w:sz w:val="32"/>
          <w:szCs w:val="32"/>
        </w:rPr>
        <w:lastRenderedPageBreak/>
        <w:t>前，应当进行妊娠检查。建议有生育可能的女性患者在治疗过程中以及治疗结束后的至少180天内，使用适当的方法避孕。建议配偶有生育可能的男性患者在治疗过程中以及治疗结束后的至少180天内，使用适当的方法避孕。</w:t>
      </w:r>
    </w:p>
    <w:p w:rsidRPr="003C684F" w:rsidR="009730C1" w:rsidRDefault="00A315B9" w14:paraId="4498E32B"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十五、雷莫西尤单抗 Ram</w:t>
      </w:r>
      <w:r w:rsidRPr="003C684F">
        <w:rPr>
          <w:rFonts w:ascii="黑体" w:hAnsi="黑体" w:eastAsia="黑体" w:cs="黑体"/>
          <w:sz w:val="32"/>
          <w:szCs w:val="32"/>
        </w:rPr>
        <w:t>u</w:t>
      </w:r>
      <w:r w:rsidRPr="003C684F">
        <w:rPr>
          <w:rFonts w:hint="eastAsia" w:ascii="黑体" w:hAnsi="黑体" w:eastAsia="黑体" w:cs="黑体"/>
          <w:sz w:val="32"/>
          <w:szCs w:val="32"/>
        </w:rPr>
        <w:t>cirumab</w:t>
      </w:r>
    </w:p>
    <w:p w:rsidRPr="003C684F" w:rsidR="009730C1" w:rsidRDefault="00A315B9" w14:paraId="384FBCFE" w14:textId="77777777">
      <w:pPr>
        <w:spacing w:line="360" w:lineRule="auto"/>
        <w:ind w:firstLine="643" w:firstLineChars="200"/>
        <w:jc w:val="left"/>
        <w:rPr>
          <w:rFonts w:ascii="仿宋" w:hAnsi="仿宋" w:eastAsia="仿宋" w:cs="Times New Roman"/>
          <w:kern w:val="0"/>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w w:val="95"/>
          <w:sz w:val="32"/>
          <w:szCs w:val="32"/>
          <w:lang w:val="it-IT"/>
        </w:rPr>
        <w:t>注射</w:t>
      </w:r>
      <w:r w:rsidRPr="003C684F" w:rsidR="00505281">
        <w:rPr>
          <w:rFonts w:hint="eastAsia" w:ascii="仿宋" w:hAnsi="仿宋" w:eastAsia="仿宋" w:cs="仿宋"/>
          <w:w w:val="95"/>
          <w:sz w:val="32"/>
          <w:szCs w:val="32"/>
          <w:lang w:val="it-IT"/>
        </w:rPr>
        <w:t>剂</w:t>
      </w:r>
      <w:r w:rsidRPr="003C684F">
        <w:rPr>
          <w:rFonts w:hint="eastAsia" w:ascii="仿宋" w:hAnsi="仿宋" w:eastAsia="仿宋" w:cs="仿宋"/>
          <w:w w:val="95"/>
          <w:sz w:val="32"/>
          <w:szCs w:val="32"/>
          <w:lang w:val="it-IT"/>
        </w:rPr>
        <w:t>：1</w:t>
      </w:r>
      <w:r w:rsidRPr="003C684F">
        <w:rPr>
          <w:rFonts w:ascii="仿宋" w:hAnsi="仿宋" w:eastAsia="仿宋" w:cs="仿宋"/>
          <w:w w:val="95"/>
          <w:sz w:val="32"/>
          <w:szCs w:val="32"/>
          <w:lang w:val="it-IT"/>
        </w:rPr>
        <w:t>00mg</w:t>
      </w:r>
      <w:r w:rsidRPr="003C684F">
        <w:rPr>
          <w:rFonts w:hint="eastAsia" w:ascii="仿宋" w:hAnsi="仿宋" w:eastAsia="仿宋" w:cs="仿宋"/>
          <w:w w:val="95"/>
          <w:sz w:val="32"/>
          <w:szCs w:val="32"/>
          <w:lang w:val="it-IT"/>
        </w:rPr>
        <w:t>（1</w:t>
      </w:r>
      <w:r w:rsidRPr="003C684F">
        <w:rPr>
          <w:rFonts w:ascii="仿宋" w:hAnsi="仿宋" w:eastAsia="仿宋" w:cs="仿宋"/>
          <w:w w:val="95"/>
          <w:sz w:val="32"/>
          <w:szCs w:val="32"/>
          <w:lang w:val="it-IT"/>
        </w:rPr>
        <w:t>0ml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瓶、5</w:t>
      </w:r>
      <w:r w:rsidRPr="003C684F">
        <w:rPr>
          <w:rFonts w:ascii="仿宋" w:hAnsi="仿宋" w:eastAsia="仿宋" w:cs="仿宋"/>
          <w:w w:val="95"/>
          <w:sz w:val="32"/>
          <w:szCs w:val="32"/>
          <w:lang w:val="it-IT"/>
        </w:rPr>
        <w:t>00mg</w:t>
      </w:r>
      <w:r w:rsidRPr="003C684F">
        <w:rPr>
          <w:rFonts w:hint="eastAsia" w:ascii="仿宋" w:hAnsi="仿宋" w:eastAsia="仿宋" w:cs="仿宋"/>
          <w:w w:val="95"/>
          <w:sz w:val="32"/>
          <w:szCs w:val="32"/>
          <w:lang w:val="it-IT"/>
        </w:rPr>
        <w:t>（5</w:t>
      </w:r>
      <w:r w:rsidRPr="003C684F">
        <w:rPr>
          <w:rFonts w:ascii="仿宋" w:hAnsi="仿宋" w:eastAsia="仿宋" w:cs="仿宋"/>
          <w:w w:val="95"/>
          <w:sz w:val="32"/>
          <w:szCs w:val="32"/>
          <w:lang w:val="it-IT"/>
        </w:rPr>
        <w:t>0ml</w:t>
      </w:r>
      <w:r w:rsidRPr="003C684F">
        <w:rPr>
          <w:rFonts w:hint="eastAsia" w:ascii="仿宋" w:hAnsi="仿宋" w:eastAsia="仿宋" w:cs="仿宋"/>
          <w:w w:val="95"/>
          <w:sz w:val="32"/>
          <w:szCs w:val="32"/>
          <w:lang w:val="it-IT"/>
        </w:rPr>
        <w:t>）</w:t>
      </w:r>
      <w:r w:rsidRPr="003C684F">
        <w:rPr>
          <w:rFonts w:ascii="仿宋" w:hAnsi="仿宋" w:eastAsia="仿宋" w:cs="仿宋"/>
          <w:w w:val="95"/>
          <w:sz w:val="32"/>
          <w:szCs w:val="32"/>
          <w:lang w:val="it-IT"/>
        </w:rPr>
        <w:t>/</w:t>
      </w:r>
      <w:r w:rsidRPr="003C684F">
        <w:rPr>
          <w:rFonts w:hint="eastAsia" w:ascii="仿宋" w:hAnsi="仿宋" w:eastAsia="仿宋" w:cs="仿宋"/>
          <w:w w:val="95"/>
          <w:sz w:val="32"/>
          <w:szCs w:val="32"/>
          <w:lang w:val="it-IT"/>
        </w:rPr>
        <w:t>瓶</w:t>
      </w:r>
    </w:p>
    <w:p w:rsidRPr="003C684F" w:rsidR="009730C1" w:rsidRDefault="00A315B9" w14:paraId="661223FA" w14:textId="77777777">
      <w:pPr>
        <w:spacing w:line="360" w:lineRule="auto"/>
        <w:ind w:firstLine="643" w:firstLineChars="200"/>
        <w:jc w:val="left"/>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联合紫杉醇用于在含氟尿嘧啶类或含铂类化疗期间或化疗后岀现疾病进展的晚期胃或胃食管结合部腺癌患者。</w:t>
      </w:r>
    </w:p>
    <w:p w:rsidRPr="003C684F" w:rsidR="009730C1" w:rsidRDefault="00A315B9" w14:paraId="60FB2781" w14:textId="77777777">
      <w:pPr>
        <w:spacing w:line="360" w:lineRule="auto"/>
        <w:ind w:firstLine="643" w:firstLineChars="200"/>
        <w:jc w:val="left"/>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E27591B" w14:textId="6D5350DA">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1.</w:t>
      </w:r>
      <w:r w:rsidRPr="003C684F" w:rsidR="00AE555B">
        <w:rPr>
          <w:rFonts w:hint="eastAsia" w:ascii="仿宋" w:hAnsi="仿宋" w:eastAsia="仿宋" w:cs="仿宋"/>
          <w:sz w:val="32"/>
          <w:szCs w:val="32"/>
        </w:rPr>
        <w:t>每次使用雷莫西尤单抗前，推荐所有患者预先给予H</w:t>
      </w:r>
      <w:r w:rsidRPr="003C684F" w:rsidR="00AE555B">
        <w:rPr>
          <w:rFonts w:hint="eastAsia" w:ascii="仿宋" w:hAnsi="仿宋" w:eastAsia="仿宋" w:cs="仿宋"/>
          <w:sz w:val="32"/>
          <w:szCs w:val="32"/>
          <w:vertAlign w:val="subscript"/>
        </w:rPr>
        <w:t>1</w:t>
      </w:r>
      <w:r w:rsidRPr="003C684F" w:rsidR="00AE555B">
        <w:rPr>
          <w:rFonts w:hint="eastAsia" w:ascii="仿宋" w:hAnsi="仿宋" w:eastAsia="仿宋" w:cs="仿宋"/>
          <w:sz w:val="32"/>
          <w:szCs w:val="32"/>
        </w:rPr>
        <w:t>受体</w:t>
      </w:r>
      <w:r w:rsidR="00033474">
        <w:rPr>
          <w:rFonts w:hint="eastAsia" w:ascii="仿宋" w:hAnsi="仿宋" w:eastAsia="仿宋" w:cs="仿宋"/>
          <w:sz w:val="32"/>
          <w:szCs w:val="32"/>
        </w:rPr>
        <w:t>阻滞</w:t>
      </w:r>
      <w:r w:rsidRPr="003C684F" w:rsidR="00AE555B">
        <w:rPr>
          <w:rFonts w:hint="eastAsia" w:ascii="仿宋" w:hAnsi="仿宋" w:eastAsia="仿宋" w:cs="仿宋"/>
          <w:sz w:val="32"/>
          <w:szCs w:val="32"/>
        </w:rPr>
        <w:t>剂；</w:t>
      </w:r>
      <w:r w:rsidRPr="003C684F" w:rsidR="004D1712">
        <w:rPr>
          <w:rFonts w:hint="eastAsia" w:ascii="仿宋" w:hAnsi="仿宋" w:eastAsia="仿宋" w:cs="仿宋"/>
          <w:sz w:val="32"/>
          <w:szCs w:val="32"/>
        </w:rPr>
        <w:t>发生1</w:t>
      </w:r>
      <w:r w:rsidRPr="003C684F" w:rsidR="00A30A65">
        <w:rPr>
          <w:rFonts w:hint="eastAsia" w:ascii="仿宋" w:hAnsi="仿宋" w:eastAsia="仿宋" w:cs="仿宋"/>
          <w:sz w:val="32"/>
          <w:szCs w:val="32"/>
        </w:rPr>
        <w:t>级</w:t>
      </w:r>
      <w:r w:rsidRPr="003C684F" w:rsidR="004D1712">
        <w:rPr>
          <w:rFonts w:hint="eastAsia" w:ascii="仿宋" w:hAnsi="仿宋" w:eastAsia="仿宋" w:cs="仿宋"/>
          <w:sz w:val="32"/>
          <w:szCs w:val="32"/>
        </w:rPr>
        <w:t>或2级</w:t>
      </w:r>
      <w:r w:rsidR="009C1DF6">
        <w:rPr>
          <w:rFonts w:hint="eastAsia" w:ascii="仿宋" w:hAnsi="仿宋" w:eastAsia="仿宋" w:cs="仿宋"/>
          <w:sz w:val="32"/>
          <w:szCs w:val="32"/>
        </w:rPr>
        <w:t>输注相关反应</w:t>
      </w:r>
      <w:r w:rsidRPr="003C684F" w:rsidR="004D1712">
        <w:rPr>
          <w:rFonts w:hint="eastAsia" w:ascii="仿宋" w:hAnsi="仿宋" w:eastAsia="仿宋" w:cs="仿宋"/>
          <w:sz w:val="32"/>
          <w:szCs w:val="32"/>
        </w:rPr>
        <w:t>患者，每次使用前须预先给予H</w:t>
      </w:r>
      <w:r w:rsidRPr="003C684F" w:rsidR="004D1712">
        <w:rPr>
          <w:rFonts w:hint="eastAsia" w:ascii="仿宋" w:hAnsi="仿宋" w:eastAsia="仿宋" w:cs="仿宋"/>
          <w:sz w:val="32"/>
          <w:szCs w:val="32"/>
          <w:vertAlign w:val="subscript"/>
        </w:rPr>
        <w:t>1</w:t>
      </w:r>
      <w:r w:rsidRPr="003C684F" w:rsidR="004D1712">
        <w:rPr>
          <w:rFonts w:hint="eastAsia" w:ascii="仿宋" w:hAnsi="仿宋" w:eastAsia="仿宋" w:cs="仿宋"/>
          <w:sz w:val="32"/>
          <w:szCs w:val="32"/>
        </w:rPr>
        <w:t>受体</w:t>
      </w:r>
      <w:r w:rsidR="00033474">
        <w:rPr>
          <w:rFonts w:hint="eastAsia" w:ascii="仿宋" w:hAnsi="仿宋" w:eastAsia="仿宋" w:cs="仿宋"/>
          <w:sz w:val="32"/>
          <w:szCs w:val="32"/>
        </w:rPr>
        <w:t>阻滞</w:t>
      </w:r>
      <w:r w:rsidRPr="003C684F" w:rsidR="004D1712">
        <w:rPr>
          <w:rFonts w:hint="eastAsia" w:ascii="仿宋" w:hAnsi="仿宋" w:eastAsia="仿宋" w:cs="仿宋"/>
          <w:sz w:val="32"/>
          <w:szCs w:val="32"/>
        </w:rPr>
        <w:t>剂、地塞米松（或等效药物）和对乙酰氨基酚</w:t>
      </w:r>
      <w:r w:rsidRPr="003C684F" w:rsidR="00A30A65">
        <w:rPr>
          <w:rFonts w:hint="eastAsia" w:ascii="仿宋" w:hAnsi="仿宋" w:eastAsia="仿宋" w:cs="仿宋"/>
          <w:sz w:val="32"/>
          <w:szCs w:val="32"/>
        </w:rPr>
        <w:t>等</w:t>
      </w:r>
      <w:r w:rsidRPr="003C684F" w:rsidR="004D1712">
        <w:rPr>
          <w:rFonts w:hint="eastAsia" w:ascii="仿宋" w:hAnsi="仿宋" w:eastAsia="仿宋" w:cs="仿宋"/>
          <w:sz w:val="32"/>
          <w:szCs w:val="32"/>
        </w:rPr>
        <w:t>解热镇痛药</w:t>
      </w:r>
      <w:r w:rsidRPr="003C684F">
        <w:rPr>
          <w:rFonts w:hint="eastAsia" w:ascii="仿宋" w:hAnsi="仿宋" w:eastAsia="仿宋" w:cs="仿宋"/>
          <w:sz w:val="32"/>
          <w:szCs w:val="32"/>
        </w:rPr>
        <w:t>。</w:t>
      </w:r>
    </w:p>
    <w:p w:rsidRPr="003C684F" w:rsidR="009730C1" w:rsidRDefault="00A315B9" w14:paraId="66922118"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2.</w:t>
      </w:r>
      <w:r w:rsidRPr="003C684F">
        <w:rPr>
          <w:rFonts w:hint="eastAsia" w:ascii="仿宋" w:hAnsi="仿宋" w:eastAsia="仿宋" w:cs="Times New Roman"/>
          <w:sz w:val="32"/>
          <w:szCs w:val="32"/>
        </w:rPr>
        <w:t>推荐剂量为8mg/kg，在每28天为一周期的第1、15天约60分钟经静脉输注给药。如果患者能耐受，则所有后续的输注可在约30分钟完成。</w:t>
      </w:r>
    </w:p>
    <w:p w:rsidRPr="003C684F" w:rsidR="009730C1" w:rsidRDefault="00A315B9" w14:paraId="0F0C9014"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3.</w:t>
      </w:r>
      <w:r w:rsidRPr="003C684F">
        <w:rPr>
          <w:rFonts w:hint="eastAsia" w:ascii="仿宋" w:hAnsi="仿宋" w:eastAsia="仿宋" w:cs="Times New Roman"/>
          <w:sz w:val="32"/>
          <w:szCs w:val="32"/>
        </w:rPr>
        <w:t>最常见的不良反应为：周围性水肿、高血压、腹泻、腹痛、头痛、蛋白尿和血小板减少症。</w:t>
      </w:r>
    </w:p>
    <w:p w:rsidRPr="003C684F" w:rsidR="009730C1" w:rsidRDefault="00A315B9" w14:paraId="70001A7E" w14:textId="6AE91F3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4</w:t>
      </w:r>
      <w:r w:rsidRPr="003C684F">
        <w:rPr>
          <w:rFonts w:hint="eastAsia" w:ascii="仿宋" w:hAnsi="仿宋" w:eastAsia="仿宋" w:cs="Times New Roman"/>
          <w:sz w:val="32"/>
          <w:szCs w:val="32"/>
        </w:rPr>
        <w:t>.</w:t>
      </w:r>
      <w:r w:rsidRPr="003C684F" w:rsidR="0009013C">
        <w:rPr>
          <w:rFonts w:hint="eastAsia" w:ascii="仿宋" w:hAnsi="仿宋" w:eastAsia="仿宋" w:cs="Times New Roman"/>
          <w:sz w:val="32"/>
          <w:szCs w:val="32"/>
        </w:rPr>
        <w:t>择期手术前28天应暂停使用雷莫西尤单抗，外科大手术后2周内不应使用，直到伤口充分愈合。</w:t>
      </w:r>
      <w:r w:rsidRPr="003C684F">
        <w:rPr>
          <w:rFonts w:hint="eastAsia" w:ascii="仿宋" w:hAnsi="仿宋" w:eastAsia="仿宋" w:cs="Times New Roman"/>
          <w:sz w:val="32"/>
          <w:szCs w:val="32"/>
        </w:rPr>
        <w:t>所有级别的胃</w:t>
      </w:r>
      <w:r w:rsidRPr="003C684F">
        <w:rPr>
          <w:rFonts w:hint="eastAsia" w:ascii="仿宋" w:hAnsi="仿宋" w:eastAsia="仿宋" w:cs="Times New Roman"/>
          <w:sz w:val="32"/>
          <w:szCs w:val="32"/>
        </w:rPr>
        <w:lastRenderedPageBreak/>
        <w:t>肠穿孔、伤口愈合并发症、动脉血栓栓塞事件</w:t>
      </w:r>
      <w:r w:rsidRPr="003C684F" w:rsidR="00B36180">
        <w:rPr>
          <w:rFonts w:hint="eastAsia" w:ascii="仿宋" w:hAnsi="仿宋" w:eastAsia="仿宋" w:cs="Times New Roman"/>
          <w:sz w:val="32"/>
          <w:szCs w:val="32"/>
        </w:rPr>
        <w:t>、</w:t>
      </w:r>
      <w:r w:rsidRPr="003C684F">
        <w:rPr>
          <w:rFonts w:hint="eastAsia" w:ascii="仿宋" w:hAnsi="仿宋" w:eastAsia="仿宋" w:cs="Times New Roman"/>
          <w:sz w:val="32"/>
          <w:szCs w:val="32"/>
        </w:rPr>
        <w:t>降压治疗无法控制的重度高血压</w:t>
      </w:r>
      <w:r w:rsidRPr="003C684F" w:rsidR="00B36180">
        <w:rPr>
          <w:rFonts w:hint="eastAsia" w:ascii="仿宋" w:hAnsi="仿宋" w:eastAsia="仿宋" w:cs="Times New Roman"/>
          <w:sz w:val="32"/>
          <w:szCs w:val="32"/>
        </w:rPr>
        <w:t>、</w:t>
      </w:r>
      <w:r w:rsidRPr="003C684F">
        <w:rPr>
          <w:rFonts w:ascii="仿宋" w:hAnsi="仿宋" w:eastAsia="仿宋" w:cs="Times New Roman"/>
          <w:sz w:val="32"/>
          <w:szCs w:val="32"/>
        </w:rPr>
        <w:t>3</w:t>
      </w:r>
      <w:r w:rsidRPr="003C684F">
        <w:rPr>
          <w:rFonts w:hint="eastAsia" w:ascii="仿宋" w:hAnsi="仿宋" w:eastAsia="仿宋" w:cs="Times New Roman"/>
          <w:sz w:val="32"/>
          <w:szCs w:val="32"/>
        </w:rPr>
        <w:t>级或4级出血、</w:t>
      </w:r>
      <w:r w:rsidR="009C1DF6">
        <w:rPr>
          <w:rFonts w:hint="eastAsia" w:ascii="仿宋" w:hAnsi="仿宋" w:eastAsia="仿宋" w:cs="Times New Roman"/>
          <w:sz w:val="32"/>
          <w:szCs w:val="32"/>
        </w:rPr>
        <w:t>输注相关反应</w:t>
      </w:r>
      <w:r w:rsidRPr="003C684F">
        <w:rPr>
          <w:rFonts w:hint="eastAsia" w:ascii="仿宋" w:hAnsi="仿宋" w:eastAsia="仿宋" w:cs="Times New Roman"/>
          <w:sz w:val="32"/>
          <w:szCs w:val="32"/>
        </w:rPr>
        <w:t>，应永久停用雷莫西尤单抗。</w:t>
      </w:r>
      <w:r w:rsidRPr="003C684F" w:rsidR="00B36180">
        <w:rPr>
          <w:rFonts w:hint="eastAsia" w:ascii="仿宋" w:hAnsi="仿宋" w:eastAsia="仿宋" w:cs="Times New Roman"/>
          <w:sz w:val="32"/>
          <w:szCs w:val="32"/>
        </w:rPr>
        <w:t>雷莫西尤单抗可增加出血和胃肠出血风险,包括≥3级的出血事件。</w:t>
      </w:r>
    </w:p>
    <w:p w:rsidRPr="003C684F" w:rsidR="009730C1" w:rsidRDefault="00A315B9" w14:paraId="4F053BB3" w14:textId="77777777">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5.</w:t>
      </w:r>
      <w:r w:rsidRPr="003C684F">
        <w:rPr>
          <w:rFonts w:hint="eastAsia" w:ascii="仿宋" w:hAnsi="仿宋" w:eastAsia="仿宋" w:cs="Times New Roman"/>
          <w:sz w:val="32"/>
          <w:szCs w:val="32"/>
        </w:rPr>
        <w:t>首次发生的24小时尿蛋白</w:t>
      </w:r>
      <w:r w:rsidRPr="003C684F">
        <w:rPr>
          <w:rFonts w:ascii="仿宋" w:hAnsi="仿宋" w:eastAsia="仿宋" w:cs="Times New Roman"/>
          <w:sz w:val="32"/>
          <w:szCs w:val="32"/>
        </w:rPr>
        <w:t>＞</w:t>
      </w:r>
      <w:r w:rsidRPr="003C684F">
        <w:rPr>
          <w:rFonts w:hint="eastAsia" w:ascii="仿宋" w:hAnsi="仿宋" w:eastAsia="仿宋" w:cs="Times New Roman"/>
          <w:sz w:val="32"/>
          <w:szCs w:val="32"/>
        </w:rPr>
        <w:t>2g，暂停雷莫西尤单抗给药，直到尿蛋白＜2g/24h，降低一个剂量水平恢复雷莫西尤单抗给药：将8mg/kg降低至6mg/kg；在首次剂量降低后，再次发生的尿蛋白＞2g/24h，暂停雷莫西尤单抗给药，直到尿蛋白＜2g/24h，再次降低一个剂量水平恢复雷莫西尤单抗给药：将6mg/kg降低至5mg/kg；尿蛋白</w:t>
      </w:r>
      <w:r w:rsidRPr="003C684F">
        <w:rPr>
          <w:rFonts w:ascii="仿宋" w:hAnsi="仿宋" w:eastAsia="仿宋" w:cs="Times New Roman"/>
          <w:sz w:val="32"/>
          <w:szCs w:val="32"/>
        </w:rPr>
        <w:t>＞</w:t>
      </w:r>
      <w:r w:rsidRPr="003C684F">
        <w:rPr>
          <w:rFonts w:hint="eastAsia" w:ascii="仿宋" w:hAnsi="仿宋" w:eastAsia="仿宋" w:cs="Times New Roman"/>
          <w:sz w:val="32"/>
          <w:szCs w:val="32"/>
        </w:rPr>
        <w:t>3g/24h或患有肾病综合征，永久停用雷莫西尤单抗。</w:t>
      </w:r>
    </w:p>
    <w:p w:rsidRPr="003C684F" w:rsidR="009730C1" w:rsidRDefault="00A315B9" w14:paraId="16D01979" w14:textId="7B2244DD">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6.</w:t>
      </w:r>
      <w:r w:rsidRPr="003C684F" w:rsidR="00B36180">
        <w:rPr>
          <w:rFonts w:hint="eastAsia" w:ascii="仿宋" w:hAnsi="仿宋" w:eastAsia="仿宋" w:cs="Times New Roman"/>
          <w:sz w:val="32"/>
          <w:szCs w:val="32"/>
        </w:rPr>
        <w:t>轻中重度肾功能损伤患者无需调整剂量。轻中度肝功能损伤患者无需调整剂量，尚无在重度肝功能损伤患者中雷莫西尤单抗的用药数据。不推荐降低剂量。</w:t>
      </w:r>
    </w:p>
    <w:p w:rsidRPr="003C684F" w:rsidR="009730C1" w:rsidRDefault="00A315B9" w14:paraId="486DE975" w14:textId="6A331EE6">
      <w:pPr>
        <w:spacing w:line="360" w:lineRule="auto"/>
        <w:ind w:firstLine="640" w:firstLineChars="200"/>
        <w:jc w:val="left"/>
        <w:rPr>
          <w:rFonts w:ascii="仿宋" w:hAnsi="仿宋" w:eastAsia="仿宋" w:cs="Times New Roman"/>
          <w:sz w:val="32"/>
          <w:szCs w:val="32"/>
        </w:rPr>
      </w:pPr>
      <w:r w:rsidRPr="003C684F">
        <w:rPr>
          <w:rFonts w:ascii="仿宋" w:hAnsi="仿宋" w:eastAsia="仿宋" w:cs="Times New Roman"/>
          <w:sz w:val="32"/>
          <w:szCs w:val="32"/>
        </w:rPr>
        <w:t>7.</w:t>
      </w:r>
      <w:r w:rsidRPr="003C684F">
        <w:rPr>
          <w:rFonts w:hint="eastAsia" w:ascii="仿宋" w:hAnsi="仿宋" w:eastAsia="仿宋" w:cs="Times New Roman"/>
          <w:sz w:val="32"/>
          <w:szCs w:val="32"/>
        </w:rPr>
        <w:t>尚未确</w:t>
      </w:r>
      <w:r w:rsidRPr="003C684F" w:rsidR="004953DC">
        <w:rPr>
          <w:rFonts w:hint="eastAsia" w:ascii="仿宋" w:hAnsi="仿宋" w:eastAsia="仿宋" w:cs="Times New Roman"/>
          <w:sz w:val="32"/>
          <w:szCs w:val="32"/>
        </w:rPr>
        <w:t>定</w:t>
      </w:r>
      <w:r w:rsidRPr="003C684F">
        <w:rPr>
          <w:rFonts w:hint="eastAsia" w:ascii="仿宋" w:hAnsi="仿宋" w:eastAsia="仿宋" w:cs="Times New Roman"/>
          <w:sz w:val="32"/>
          <w:szCs w:val="32"/>
        </w:rPr>
        <w:t>本品在</w:t>
      </w:r>
      <w:r w:rsidRPr="003C684F" w:rsidR="00D61FBA">
        <w:rPr>
          <w:rFonts w:hint="eastAsia" w:ascii="仿宋" w:hAnsi="仿宋" w:eastAsia="仿宋" w:cs="Times New Roman"/>
          <w:sz w:val="32"/>
          <w:szCs w:val="32"/>
        </w:rPr>
        <w:t>18岁以下儿童和青少年患者</w:t>
      </w:r>
      <w:r w:rsidRPr="003C684F">
        <w:rPr>
          <w:rFonts w:hint="eastAsia" w:ascii="仿宋" w:hAnsi="仿宋" w:eastAsia="仿宋" w:cs="Times New Roman"/>
          <w:sz w:val="32"/>
          <w:szCs w:val="32"/>
        </w:rPr>
        <w:t>的安全性和有效性。临床试验中有限证据表明，与</w:t>
      </w:r>
      <w:r w:rsidRPr="003C684F" w:rsidR="006C60AB">
        <w:rPr>
          <w:rFonts w:hint="eastAsia" w:ascii="仿宋" w:hAnsi="仿宋" w:eastAsia="仿宋" w:cs="Times New Roman"/>
          <w:sz w:val="32"/>
          <w:szCs w:val="32"/>
        </w:rPr>
        <w:t>＜</w:t>
      </w:r>
      <w:r w:rsidRPr="003C684F">
        <w:rPr>
          <w:rFonts w:hint="eastAsia" w:ascii="仿宋" w:hAnsi="仿宋" w:eastAsia="仿宋" w:cs="Times New Roman"/>
          <w:sz w:val="32"/>
          <w:szCs w:val="32"/>
        </w:rPr>
        <w:t>65岁的患者相比，</w:t>
      </w:r>
      <w:r w:rsidRPr="003C684F" w:rsidR="006C60AB">
        <w:rPr>
          <w:rFonts w:hint="eastAsia" w:ascii="仿宋" w:hAnsi="仿宋" w:eastAsia="仿宋" w:cs="Times New Roman"/>
          <w:sz w:val="32"/>
          <w:szCs w:val="32"/>
        </w:rPr>
        <w:t>老年患者（≥65岁）</w:t>
      </w:r>
      <w:r w:rsidRPr="003C684F">
        <w:rPr>
          <w:rFonts w:hint="eastAsia" w:ascii="仿宋" w:hAnsi="仿宋" w:eastAsia="仿宋" w:cs="Times New Roman"/>
          <w:sz w:val="32"/>
          <w:szCs w:val="32"/>
        </w:rPr>
        <w:t>的不良事件风险升高。不推荐降低剂量。</w:t>
      </w:r>
    </w:p>
    <w:p w:rsidRPr="003C684F" w:rsidR="009730C1" w:rsidP="0037660B" w:rsidRDefault="00A315B9" w14:paraId="3BA217AE"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十六、伊马替尼 I</w:t>
      </w:r>
      <w:r w:rsidRPr="003C684F">
        <w:rPr>
          <w:rFonts w:ascii="黑体" w:hAnsi="黑体" w:eastAsia="黑体" w:cs="黑体"/>
          <w:sz w:val="32"/>
          <w:szCs w:val="32"/>
        </w:rPr>
        <w:t>matinib</w:t>
      </w:r>
    </w:p>
    <w:p w:rsidRPr="003C684F" w:rsidR="009730C1" w:rsidRDefault="00A315B9" w14:paraId="5473307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w:t>
      </w:r>
      <w:r w:rsidRPr="003C684F">
        <w:rPr>
          <w:rFonts w:ascii="仿宋" w:hAnsi="仿宋" w:eastAsia="仿宋" w:cs="仿宋"/>
          <w:sz w:val="32"/>
          <w:szCs w:val="32"/>
        </w:rPr>
        <w:t>1</w:t>
      </w:r>
      <w:r w:rsidRPr="003C684F">
        <w:rPr>
          <w:rFonts w:hint="eastAsia" w:ascii="仿宋" w:hAnsi="仿宋" w:eastAsia="仿宋" w:cs="仿宋"/>
          <w:sz w:val="32"/>
          <w:szCs w:val="32"/>
        </w:rPr>
        <w:t>）片剂：</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400mg</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）胶囊：</w:t>
      </w:r>
      <w:r w:rsidRPr="003C684F">
        <w:rPr>
          <w:rFonts w:ascii="仿宋" w:hAnsi="仿宋" w:eastAsia="仿宋" w:cs="仿宋"/>
          <w:sz w:val="32"/>
          <w:szCs w:val="32"/>
        </w:rPr>
        <w:t>50mg</w:t>
      </w:r>
      <w:r w:rsidRPr="003C684F">
        <w:rPr>
          <w:rFonts w:hint="eastAsia" w:ascii="仿宋" w:hAnsi="仿宋" w:eastAsia="仿宋" w:cs="仿宋"/>
          <w:sz w:val="32"/>
          <w:szCs w:val="32"/>
        </w:rPr>
        <w:t>、</w:t>
      </w:r>
      <w:r w:rsidRPr="003C684F">
        <w:rPr>
          <w:rFonts w:ascii="仿宋" w:hAnsi="仿宋" w:eastAsia="仿宋" w:cs="仿宋"/>
          <w:sz w:val="32"/>
          <w:szCs w:val="32"/>
        </w:rPr>
        <w:t>100mg</w:t>
      </w:r>
    </w:p>
    <w:p w:rsidRPr="003C684F" w:rsidR="009730C1" w:rsidRDefault="00A315B9" w14:paraId="62167521"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12986C86"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lastRenderedPageBreak/>
        <w:t>1.</w:t>
      </w:r>
      <w:r w:rsidRPr="003C684F">
        <w:rPr>
          <w:rFonts w:hint="eastAsia" w:ascii="仿宋" w:hAnsi="仿宋" w:eastAsia="仿宋" w:cs="仿宋"/>
          <w:sz w:val="32"/>
          <w:szCs w:val="32"/>
        </w:rPr>
        <w:t>用于治疗不能切除和</w:t>
      </w:r>
      <w:r w:rsidRPr="003C684F">
        <w:rPr>
          <w:rFonts w:ascii="仿宋" w:hAnsi="仿宋" w:eastAsia="仿宋" w:cs="仿宋"/>
          <w:sz w:val="32"/>
          <w:szCs w:val="32"/>
        </w:rPr>
        <w:t>/</w:t>
      </w:r>
      <w:r w:rsidRPr="003C684F">
        <w:rPr>
          <w:rFonts w:hint="eastAsia" w:ascii="仿宋" w:hAnsi="仿宋" w:eastAsia="仿宋" w:cs="仿宋"/>
          <w:sz w:val="32"/>
          <w:szCs w:val="32"/>
        </w:rPr>
        <w:t>或发生转移的胃肠间质瘤成人患者。</w:t>
      </w:r>
    </w:p>
    <w:p w:rsidRPr="003C684F" w:rsidR="009730C1" w:rsidRDefault="00A315B9" w14:paraId="7C881BFB"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用于C-</w:t>
      </w:r>
      <w:r w:rsidRPr="003C684F">
        <w:rPr>
          <w:rFonts w:ascii="仿宋" w:hAnsi="仿宋" w:eastAsia="仿宋" w:cs="仿宋"/>
          <w:sz w:val="32"/>
          <w:szCs w:val="32"/>
        </w:rPr>
        <w:t>Kit</w:t>
      </w:r>
      <w:r w:rsidRPr="003C684F">
        <w:rPr>
          <w:rFonts w:hint="eastAsia" w:ascii="仿宋" w:hAnsi="仿宋" w:eastAsia="仿宋" w:cs="仿宋"/>
          <w:sz w:val="32"/>
          <w:szCs w:val="32"/>
        </w:rPr>
        <w:t>（</w:t>
      </w:r>
      <w:r w:rsidRPr="003C684F">
        <w:rPr>
          <w:rFonts w:ascii="仿宋" w:hAnsi="仿宋" w:eastAsia="仿宋" w:cs="仿宋"/>
          <w:sz w:val="32"/>
          <w:szCs w:val="32"/>
        </w:rPr>
        <w:t>CD117</w:t>
      </w:r>
      <w:r w:rsidRPr="003C684F">
        <w:rPr>
          <w:rFonts w:hint="eastAsia" w:ascii="仿宋" w:hAnsi="仿宋" w:eastAsia="仿宋" w:cs="仿宋"/>
          <w:sz w:val="32"/>
          <w:szCs w:val="32"/>
        </w:rPr>
        <w:t>）阳性胃肠间质瘤手术切除后具有明显复发风险的成人患者的辅助治疗。</w:t>
      </w:r>
    </w:p>
    <w:p w:rsidRPr="003C684F" w:rsidR="009730C1" w:rsidRDefault="00A315B9" w14:paraId="0CA65B15"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500E182" w14:textId="3E5B0D11">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推荐剂量为400mg/</w:t>
      </w:r>
      <w:r w:rsidRPr="003C684F" w:rsidR="0024039E">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24039E">
        <w:rPr>
          <w:rFonts w:hint="eastAsia" w:ascii="仿宋" w:hAnsi="仿宋" w:eastAsia="仿宋" w:cs="仿宋"/>
          <w:sz w:val="32"/>
          <w:szCs w:val="32"/>
        </w:rPr>
        <w:t>，</w:t>
      </w:r>
      <w:r w:rsidRPr="003C684F">
        <w:rPr>
          <w:rFonts w:hint="eastAsia" w:ascii="仿宋" w:hAnsi="仿宋" w:eastAsia="仿宋" w:cs="仿宋"/>
          <w:sz w:val="32"/>
          <w:szCs w:val="32"/>
        </w:rPr>
        <w:t>口服，宜在进餐时服药。用药期间必须注意常见的不良反应，例如：体液潴留、恶心、腹泻、皮疹、</w:t>
      </w:r>
      <w:r w:rsidRPr="003C684F" w:rsidR="00691EDE">
        <w:rPr>
          <w:rFonts w:hint="eastAsia" w:ascii="仿宋" w:hAnsi="仿宋" w:eastAsia="仿宋" w:cs="仿宋"/>
          <w:sz w:val="32"/>
          <w:szCs w:val="32"/>
        </w:rPr>
        <w:t>中性粒细胞减少症</w:t>
      </w:r>
      <w:r w:rsidRPr="003C684F">
        <w:rPr>
          <w:rFonts w:hint="eastAsia" w:ascii="仿宋" w:hAnsi="仿宋" w:eastAsia="仿宋" w:cs="仿宋"/>
          <w:sz w:val="32"/>
          <w:szCs w:val="32"/>
        </w:rPr>
        <w:t>、</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、贫血、疼痛性肌痉挛以及肝功能损伤。</w:t>
      </w:r>
    </w:p>
    <w:p w:rsidRPr="003C684F" w:rsidR="009730C1" w:rsidRDefault="00A315B9" w14:paraId="6DD830DC" w14:textId="6B6CD9DF">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sidR="005D72D0">
        <w:rPr>
          <w:rFonts w:hint="eastAsia" w:ascii="仿宋" w:hAnsi="仿宋" w:eastAsia="仿宋" w:cs="仿宋"/>
          <w:w w:val="98"/>
          <w:sz w:val="32"/>
          <w:szCs w:val="32"/>
        </w:rPr>
        <w:t>治疗前应检查肝功能，以后可每月复查1次。治疗的第1个月宜每周检查血常规，第2个月每2周检查1次。建议定期监测体重。对于肝功能损伤、严重心力衰竭、孕妇、哺乳期妇女、骨髓抑制者、病毒、细菌感染及胃肠功能紊乱者慎用。</w:t>
      </w:r>
    </w:p>
    <w:p w:rsidRPr="003C684F" w:rsidR="009730C1" w:rsidRDefault="00A315B9" w14:paraId="19D752B3" w14:textId="49B968A5">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治疗后若未能获得满意疗效，如果没有严重药物不良反应，剂量可增加到每天</w:t>
      </w:r>
      <w:r w:rsidRPr="003C684F" w:rsidR="0024039E">
        <w:rPr>
          <w:rFonts w:hint="eastAsia" w:ascii="仿宋" w:hAnsi="仿宋" w:eastAsia="仿宋" w:cs="仿宋"/>
          <w:sz w:val="32"/>
          <w:szCs w:val="32"/>
        </w:rPr>
        <w:t>600</w:t>
      </w:r>
      <w:r w:rsidRPr="003C684F">
        <w:rPr>
          <w:rFonts w:hint="eastAsia" w:ascii="仿宋" w:hAnsi="仿宋" w:eastAsia="仿宋" w:cs="仿宋"/>
          <w:sz w:val="32"/>
          <w:szCs w:val="32"/>
        </w:rPr>
        <w:t>～</w:t>
      </w:r>
      <w:r w:rsidRPr="003C684F" w:rsidR="0024039E">
        <w:rPr>
          <w:rFonts w:hint="eastAsia" w:ascii="仿宋" w:hAnsi="仿宋" w:eastAsia="仿宋" w:cs="仿宋"/>
          <w:sz w:val="32"/>
          <w:szCs w:val="32"/>
        </w:rPr>
        <w:t>800m</w:t>
      </w:r>
      <w:r w:rsidRPr="003C684F">
        <w:rPr>
          <w:rFonts w:ascii="仿宋" w:hAnsi="仿宋" w:eastAsia="仿宋" w:cs="仿宋"/>
          <w:sz w:val="32"/>
          <w:szCs w:val="32"/>
        </w:rPr>
        <w:t>g</w:t>
      </w:r>
      <w:r w:rsidRPr="003C684F" w:rsidR="00697949">
        <w:rPr>
          <w:rFonts w:hint="eastAsia" w:ascii="仿宋" w:hAnsi="仿宋" w:eastAsia="仿宋" w:cs="仿宋"/>
          <w:sz w:val="32"/>
          <w:szCs w:val="32"/>
        </w:rPr>
        <w:t>，分两次餐后服用</w:t>
      </w:r>
      <w:r w:rsidRPr="003C684F">
        <w:rPr>
          <w:rFonts w:hint="eastAsia" w:ascii="仿宋" w:hAnsi="仿宋" w:eastAsia="仿宋" w:cs="仿宋"/>
          <w:sz w:val="32"/>
          <w:szCs w:val="32"/>
        </w:rPr>
        <w:t>；若患者从本药持续获益，可持续接受本药治疗。</w:t>
      </w:r>
    </w:p>
    <w:p w:rsidRPr="003C684F" w:rsidR="009730C1" w:rsidRDefault="00A315B9" w14:paraId="748C4A5B"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对于潜在可切除的胃肠间质瘤患者，伊马替尼新辅助治疗也可令患者获益。</w:t>
      </w:r>
    </w:p>
    <w:p w:rsidRPr="003C684F" w:rsidR="009730C1" w:rsidRDefault="00A315B9" w14:paraId="450D8124" w14:textId="38E6DF3F">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5.本品是CYP3A4的底物，同时给予CYP3A4诱导剂后伊马替尼的血浆浓度降低，从而导致疗效降低，应避免伊马替尼与CYP3A4诱导剂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3930C6" w:rsidP="003930C6" w:rsidRDefault="003930C6" w14:paraId="651BA93A" w14:textId="5F848DC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6.伊马替尼可抑制CYP3A4、CYP2D6、CYP2C9和CYP2C19，</w:t>
      </w:r>
      <w:r w:rsidRPr="003C684F">
        <w:rPr>
          <w:rFonts w:hint="eastAsia" w:ascii="仿宋" w:hAnsi="仿宋" w:eastAsia="仿宋" w:cs="仿宋"/>
          <w:sz w:val="32"/>
          <w:szCs w:val="32"/>
        </w:rPr>
        <w:lastRenderedPageBreak/>
        <w:t>与其他药物合用时应注意药物相互作用。</w:t>
      </w:r>
    </w:p>
    <w:p w:rsidRPr="003C684F" w:rsidR="009730C1" w:rsidRDefault="003930C6" w14:paraId="32201420" w14:textId="267BA50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sidR="00A315B9">
        <w:rPr>
          <w:rFonts w:hint="eastAsia" w:ascii="仿宋" w:hAnsi="仿宋" w:eastAsia="仿宋" w:cs="仿宋"/>
          <w:sz w:val="32"/>
          <w:szCs w:val="32"/>
        </w:rPr>
        <w:t>.伊马替尼应在进餐时</w:t>
      </w:r>
      <w:r w:rsidRPr="003C684F">
        <w:rPr>
          <w:rFonts w:hint="eastAsia" w:ascii="仿宋" w:hAnsi="仿宋" w:eastAsia="仿宋" w:cs="仿宋"/>
          <w:sz w:val="32"/>
          <w:szCs w:val="32"/>
        </w:rPr>
        <w:t>或餐后</w:t>
      </w:r>
      <w:r w:rsidRPr="003C684F" w:rsidR="00A315B9">
        <w:rPr>
          <w:rFonts w:hint="eastAsia" w:ascii="仿宋" w:hAnsi="仿宋" w:eastAsia="仿宋" w:cs="仿宋"/>
          <w:sz w:val="32"/>
          <w:szCs w:val="32"/>
        </w:rPr>
        <w:t>服用。（1）使用胶囊剂型时，对于不能吞咽胶囊的患者（包括儿童），可以将胶囊内药物分散于水或苹果汁中。使用片剂时，可以将药片分散于不含气体的水或苹果汁中（100mg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治疗的儿童和青春前期青少年出现发育迟缓。暂不知伊马替尼延长治疗对儿童发育的长期影响。因此，建议对使用伊马替尼的儿童的发育情况进行密切监测。</w:t>
      </w:r>
    </w:p>
    <w:p w:rsidRPr="003C684F" w:rsidR="009730C1" w:rsidP="0037660B" w:rsidRDefault="00A315B9" w14:paraId="13B0E57F" w14:textId="77777777">
      <w:pPr>
        <w:spacing w:line="360" w:lineRule="auto"/>
        <w:ind w:firstLine="640" w:firstLineChars="200"/>
        <w:outlineLvl w:val="0"/>
        <w:rPr>
          <w:rFonts w:ascii="仿宋" w:hAnsi="仿宋" w:eastAsia="仿宋" w:cs="仿宋"/>
          <w:kern w:val="0"/>
          <w:sz w:val="32"/>
          <w:szCs w:val="32"/>
        </w:rPr>
      </w:pPr>
      <w:r w:rsidRPr="003C684F">
        <w:rPr>
          <w:rFonts w:hint="eastAsia" w:ascii="黑体" w:hAnsi="黑体" w:eastAsia="黑体" w:cs="黑体"/>
          <w:sz w:val="32"/>
          <w:szCs w:val="32"/>
        </w:rPr>
        <w:t>十七、舒尼替尼 S</w:t>
      </w:r>
      <w:r w:rsidRPr="003C684F">
        <w:rPr>
          <w:rFonts w:ascii="黑体" w:hAnsi="黑体" w:eastAsia="黑体" w:cs="黑体"/>
          <w:sz w:val="32"/>
          <w:szCs w:val="32"/>
        </w:rPr>
        <w:t>unitinib</w:t>
      </w:r>
    </w:p>
    <w:p w:rsidRPr="003C684F" w:rsidR="009730C1" w:rsidRDefault="00A315B9" w14:paraId="0460F2C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kern w:val="0"/>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12.5mg</w:t>
      </w:r>
      <w:r w:rsidRPr="003C684F">
        <w:rPr>
          <w:rFonts w:hint="eastAsia" w:ascii="仿宋" w:hAnsi="仿宋" w:eastAsia="仿宋" w:cs="仿宋"/>
          <w:sz w:val="32"/>
          <w:szCs w:val="32"/>
        </w:rPr>
        <w:t>、</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37.5mg</w:t>
      </w:r>
      <w:r w:rsidRPr="003C684F">
        <w:rPr>
          <w:rFonts w:hint="eastAsia" w:ascii="仿宋" w:hAnsi="仿宋" w:eastAsia="仿宋" w:cs="仿宋"/>
          <w:sz w:val="32"/>
          <w:szCs w:val="32"/>
        </w:rPr>
        <w:t>、</w:t>
      </w:r>
      <w:r w:rsidRPr="003C684F">
        <w:rPr>
          <w:rFonts w:ascii="仿宋" w:hAnsi="仿宋" w:eastAsia="仿宋" w:cs="仿宋"/>
          <w:sz w:val="32"/>
          <w:szCs w:val="32"/>
        </w:rPr>
        <w:t>50mg</w:t>
      </w:r>
    </w:p>
    <w:p w:rsidRPr="003C684F" w:rsidR="009730C1" w:rsidRDefault="00A315B9" w14:paraId="164DCA1B"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414F282E"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伊马替尼治疗失败或不能耐受的胃肠间质瘤患者。</w:t>
      </w:r>
    </w:p>
    <w:p w:rsidRPr="003C684F" w:rsidR="009730C1" w:rsidRDefault="00A315B9" w14:paraId="14C5334C"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不可切除的、转移性高分化进展期胰腺神经内分泌瘤成年患者。</w:t>
      </w:r>
    </w:p>
    <w:p w:rsidRPr="003C684F" w:rsidR="009730C1" w:rsidRDefault="00A315B9" w14:paraId="6C4DA221"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951BCAD" w14:textId="209823BD">
      <w:pPr>
        <w:spacing w:line="360" w:lineRule="auto"/>
        <w:ind w:firstLine="640" w:firstLineChars="200"/>
        <w:rPr>
          <w:rFonts w:ascii="仿宋" w:hAnsi="仿宋" w:eastAsia="仿宋" w:cs="Times New Roman"/>
          <w:b/>
          <w:bCs/>
          <w:sz w:val="32"/>
          <w:szCs w:val="32"/>
        </w:rPr>
      </w:pPr>
      <w:r w:rsidRPr="003C684F">
        <w:rPr>
          <w:rFonts w:hint="eastAsia" w:ascii="仿宋" w:hAnsi="仿宋" w:eastAsia="仿宋" w:cs="仿宋"/>
          <w:bCs/>
          <w:sz w:val="32"/>
          <w:szCs w:val="32"/>
        </w:rPr>
        <w:lastRenderedPageBreak/>
        <w:t>1.</w:t>
      </w:r>
      <w:r w:rsidRPr="003C684F">
        <w:rPr>
          <w:rFonts w:hint="eastAsia" w:ascii="仿宋" w:hAnsi="仿宋" w:eastAsia="仿宋" w:cs="仿宋"/>
          <w:sz w:val="32"/>
          <w:szCs w:val="32"/>
        </w:rPr>
        <w:t>治疗胃肠间质瘤的推荐最高剂量为</w:t>
      </w:r>
      <w:r w:rsidRPr="003C684F">
        <w:rPr>
          <w:rFonts w:ascii="仿宋" w:hAnsi="仿宋" w:eastAsia="仿宋" w:cs="仿宋"/>
          <w:sz w:val="32"/>
          <w:szCs w:val="32"/>
        </w:rPr>
        <w:t>50mg</w:t>
      </w:r>
      <w:r w:rsidRPr="003C684F" w:rsidR="00DE6848">
        <w:rPr>
          <w:rFonts w:hint="eastAsia" w:ascii="仿宋" w:hAnsi="仿宋" w:eastAsia="仿宋" w:cs="仿宋"/>
          <w:sz w:val="32"/>
          <w:szCs w:val="32"/>
        </w:rPr>
        <w:t>/次</w:t>
      </w:r>
      <w:r w:rsidRPr="003C684F">
        <w:rPr>
          <w:rFonts w:hint="eastAsia" w:ascii="仿宋" w:hAnsi="仿宋" w:eastAsia="仿宋" w:cs="仿宋"/>
          <w:sz w:val="32"/>
          <w:szCs w:val="32"/>
        </w:rPr>
        <w:t>，</w:t>
      </w:r>
      <w:r w:rsidRPr="003C684F" w:rsidR="00DE6848">
        <w:rPr>
          <w:rFonts w:hint="eastAsia" w:ascii="仿宋" w:hAnsi="仿宋" w:eastAsia="仿宋" w:cs="仿宋"/>
          <w:sz w:val="32"/>
          <w:szCs w:val="32"/>
        </w:rPr>
        <w:t>每天一次，口服，</w:t>
      </w:r>
      <w:r w:rsidRPr="003C684F">
        <w:rPr>
          <w:rFonts w:hint="eastAsia" w:ascii="仿宋" w:hAnsi="仿宋" w:eastAsia="仿宋" w:cs="仿宋"/>
          <w:sz w:val="32"/>
          <w:szCs w:val="32"/>
        </w:rPr>
        <w:t>服药</w:t>
      </w:r>
      <w:r w:rsidRPr="003C684F">
        <w:rPr>
          <w:rFonts w:ascii="仿宋" w:hAnsi="仿宋" w:eastAsia="仿宋" w:cs="仿宋"/>
          <w:sz w:val="32"/>
          <w:szCs w:val="32"/>
        </w:rPr>
        <w:t>4</w:t>
      </w:r>
      <w:r w:rsidRPr="003C684F">
        <w:rPr>
          <w:rFonts w:hint="eastAsia" w:ascii="仿宋" w:hAnsi="仿宋" w:eastAsia="仿宋" w:cs="仿宋"/>
          <w:sz w:val="32"/>
          <w:szCs w:val="32"/>
        </w:rPr>
        <w:t>周、停药</w:t>
      </w:r>
      <w:r w:rsidRPr="003C684F">
        <w:rPr>
          <w:rFonts w:ascii="仿宋" w:hAnsi="仿宋" w:eastAsia="仿宋" w:cs="仿宋"/>
          <w:sz w:val="32"/>
          <w:szCs w:val="32"/>
        </w:rPr>
        <w:t>2</w:t>
      </w:r>
      <w:r w:rsidRPr="003C684F">
        <w:rPr>
          <w:rFonts w:hint="eastAsia" w:ascii="仿宋" w:hAnsi="仿宋" w:eastAsia="仿宋" w:cs="仿宋"/>
          <w:sz w:val="32"/>
          <w:szCs w:val="32"/>
        </w:rPr>
        <w:t>周，与进食无相关性；若必须与</w:t>
      </w:r>
      <w:r w:rsidRPr="003C684F">
        <w:rPr>
          <w:rFonts w:ascii="仿宋" w:hAnsi="仿宋" w:eastAsia="仿宋" w:cs="仿宋"/>
          <w:sz w:val="32"/>
          <w:szCs w:val="32"/>
        </w:rPr>
        <w:t>CYP3A4</w:t>
      </w:r>
      <w:r w:rsidRPr="003C684F">
        <w:rPr>
          <w:rFonts w:hint="eastAsia" w:ascii="仿宋" w:hAnsi="仿宋" w:eastAsia="仿宋" w:cs="仿宋"/>
          <w:sz w:val="32"/>
          <w:szCs w:val="32"/>
        </w:rPr>
        <w:t>抑制剂联合使用，剂量可减至</w:t>
      </w:r>
      <w:r w:rsidRPr="003C684F">
        <w:rPr>
          <w:rFonts w:ascii="仿宋" w:hAnsi="仿宋" w:eastAsia="仿宋" w:cs="仿宋"/>
          <w:sz w:val="32"/>
          <w:szCs w:val="32"/>
        </w:rPr>
        <w:t>37.5mg</w:t>
      </w:r>
      <w:r w:rsidRPr="003C684F">
        <w:rPr>
          <w:rFonts w:hint="eastAsia" w:ascii="仿宋" w:hAnsi="仿宋" w:eastAsia="仿宋" w:cs="仿宋"/>
          <w:sz w:val="32"/>
          <w:szCs w:val="32"/>
        </w:rPr>
        <w:t>；若必须与</w:t>
      </w:r>
      <w:r w:rsidRPr="003C684F">
        <w:rPr>
          <w:rFonts w:ascii="仿宋" w:hAnsi="仿宋" w:eastAsia="仿宋" w:cs="仿宋"/>
          <w:sz w:val="32"/>
          <w:szCs w:val="32"/>
        </w:rPr>
        <w:t>CYP3A4</w:t>
      </w:r>
      <w:r w:rsidRPr="003C684F">
        <w:rPr>
          <w:rFonts w:hint="eastAsia" w:ascii="仿宋" w:hAnsi="仿宋" w:eastAsia="仿宋" w:cs="仿宋"/>
          <w:sz w:val="32"/>
          <w:szCs w:val="32"/>
        </w:rPr>
        <w:t>诱导剂联合使用，最大剂量不超过</w:t>
      </w:r>
      <w:r w:rsidRPr="003C684F">
        <w:rPr>
          <w:rFonts w:ascii="仿宋" w:hAnsi="仿宋" w:eastAsia="仿宋" w:cs="仿宋"/>
          <w:sz w:val="32"/>
          <w:szCs w:val="32"/>
        </w:rPr>
        <w:t>87.5mg</w:t>
      </w:r>
      <w:r w:rsidRPr="003C684F">
        <w:rPr>
          <w:rFonts w:hint="eastAsia" w:ascii="仿宋" w:hAnsi="仿宋" w:eastAsia="仿宋" w:cs="仿宋"/>
          <w:sz w:val="32"/>
          <w:szCs w:val="32"/>
        </w:rPr>
        <w:t>。对于胰腺神经内分泌瘤，推荐剂量为37.5mg，</w:t>
      </w:r>
      <w:r w:rsidRPr="003C684F" w:rsidR="00DE7FFA">
        <w:rPr>
          <w:rFonts w:hint="eastAsia" w:ascii="仿宋" w:hAnsi="仿宋" w:eastAsia="仿宋" w:cs="仿宋"/>
          <w:sz w:val="32"/>
          <w:szCs w:val="32"/>
        </w:rPr>
        <w:t>每天一次，</w:t>
      </w:r>
      <w:r w:rsidRPr="003C684F">
        <w:rPr>
          <w:rFonts w:hint="eastAsia" w:ascii="仿宋" w:hAnsi="仿宋" w:eastAsia="仿宋" w:cs="仿宋"/>
          <w:sz w:val="32"/>
          <w:szCs w:val="32"/>
        </w:rPr>
        <w:t>口服，连续服药，无停药期。与食物同服或不同服均可。</w:t>
      </w:r>
    </w:p>
    <w:p w:rsidRPr="003C684F" w:rsidR="009730C1" w:rsidRDefault="00A315B9" w14:paraId="4FC0403E" w14:textId="2C70B251">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用药期间必须注意常见的不良反应，例如：</w:t>
      </w:r>
      <w:r w:rsidRPr="003C684F" w:rsidR="00701C08">
        <w:rPr>
          <w:rFonts w:hint="eastAsia" w:ascii="仿宋" w:hAnsi="仿宋" w:eastAsia="仿宋" w:cs="仿宋"/>
          <w:sz w:val="32"/>
          <w:szCs w:val="32"/>
        </w:rPr>
        <w:t>白细胞减少症</w:t>
      </w:r>
      <w:r w:rsidRPr="003C684F">
        <w:rPr>
          <w:rFonts w:hint="eastAsia" w:ascii="仿宋" w:hAnsi="仿宋" w:eastAsia="仿宋" w:cs="仿宋"/>
          <w:sz w:val="32"/>
          <w:szCs w:val="32"/>
        </w:rPr>
        <w:t>、</w:t>
      </w:r>
      <w:r w:rsidRPr="003C684F" w:rsidR="00520231">
        <w:rPr>
          <w:rFonts w:hint="eastAsia" w:ascii="仿宋" w:hAnsi="仿宋" w:eastAsia="仿宋" w:cs="仿宋"/>
          <w:sz w:val="32"/>
          <w:szCs w:val="32"/>
        </w:rPr>
        <w:t>血小板减少症、</w:t>
      </w:r>
      <w:r w:rsidRPr="003C684F">
        <w:rPr>
          <w:rFonts w:hint="eastAsia" w:ascii="仿宋" w:hAnsi="仿宋" w:eastAsia="仿宋" w:cs="仿宋"/>
          <w:sz w:val="32"/>
          <w:szCs w:val="32"/>
        </w:rPr>
        <w:t>腹泻、乏力、手足综合征；潜在严重的不良反应为肝毒性、左心室功能障碍、QTc</w:t>
      </w:r>
      <w:r w:rsidRPr="003C684F">
        <w:rPr>
          <w:rFonts w:ascii="仿宋" w:hAnsi="仿宋" w:eastAsia="仿宋" w:cs="仿宋"/>
          <w:sz w:val="32"/>
          <w:szCs w:val="32"/>
        </w:rPr>
        <w:t>间期</w:t>
      </w:r>
      <w:r w:rsidRPr="003C684F">
        <w:rPr>
          <w:rFonts w:hint="eastAsia" w:ascii="仿宋" w:hAnsi="仿宋" w:eastAsia="仿宋" w:cs="仿宋"/>
          <w:sz w:val="32"/>
          <w:szCs w:val="32"/>
        </w:rPr>
        <w:t>延长、出血、高血压、甲状腺功能减退。</w:t>
      </w:r>
    </w:p>
    <w:p w:rsidRPr="003C684F" w:rsidR="009730C1" w:rsidRDefault="00A315B9" w14:paraId="1D6D6D0E" w14:textId="0F7A7244">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若出现充血性心力衰竭的临床表现，建议停药；无充血性心力衰竭临床证据但</w:t>
      </w:r>
      <w:r w:rsidR="007B5082">
        <w:rPr>
          <w:rFonts w:hint="eastAsia" w:ascii="仿宋" w:hAnsi="仿宋" w:eastAsia="仿宋" w:cs="仿宋"/>
          <w:sz w:val="32"/>
          <w:szCs w:val="32"/>
        </w:rPr>
        <w:t>LVEF</w:t>
      </w:r>
      <w:r w:rsidRPr="003C684F">
        <w:rPr>
          <w:rFonts w:hint="eastAsia" w:ascii="仿宋" w:hAnsi="仿宋" w:eastAsia="仿宋" w:cs="仿宋"/>
          <w:sz w:val="32"/>
          <w:szCs w:val="32"/>
        </w:rPr>
        <w:t>＜</w:t>
      </w:r>
      <w:r w:rsidRPr="003C684F">
        <w:rPr>
          <w:rFonts w:ascii="仿宋" w:hAnsi="仿宋" w:eastAsia="仿宋" w:cs="仿宋"/>
          <w:sz w:val="32"/>
          <w:szCs w:val="32"/>
        </w:rPr>
        <w:t>50%</w:t>
      </w:r>
      <w:r w:rsidRPr="003C684F">
        <w:rPr>
          <w:rFonts w:hint="eastAsia" w:ascii="仿宋" w:hAnsi="仿宋" w:eastAsia="仿宋" w:cs="仿宋"/>
          <w:sz w:val="32"/>
          <w:szCs w:val="32"/>
        </w:rPr>
        <w:t>以及</w:t>
      </w:r>
      <w:r w:rsidR="007B5082">
        <w:rPr>
          <w:rFonts w:hint="eastAsia" w:ascii="仿宋" w:hAnsi="仿宋" w:eastAsia="仿宋" w:cs="仿宋"/>
          <w:sz w:val="32"/>
          <w:szCs w:val="32"/>
        </w:rPr>
        <w:t>LVEF</w:t>
      </w:r>
      <w:r w:rsidRPr="003C684F">
        <w:rPr>
          <w:rFonts w:hint="eastAsia" w:ascii="仿宋" w:hAnsi="仿宋" w:eastAsia="仿宋" w:cs="仿宋"/>
          <w:sz w:val="32"/>
          <w:szCs w:val="32"/>
        </w:rPr>
        <w:t>低于基线</w:t>
      </w:r>
      <w:r w:rsidRPr="003C684F">
        <w:rPr>
          <w:rFonts w:ascii="仿宋" w:hAnsi="仿宋" w:eastAsia="仿宋" w:cs="仿宋"/>
          <w:sz w:val="32"/>
          <w:szCs w:val="32"/>
        </w:rPr>
        <w:t>20%</w:t>
      </w:r>
      <w:r w:rsidRPr="003C684F">
        <w:rPr>
          <w:rFonts w:hint="eastAsia" w:ascii="仿宋" w:hAnsi="仿宋" w:eastAsia="仿宋" w:cs="仿宋"/>
          <w:sz w:val="32"/>
          <w:szCs w:val="32"/>
        </w:rPr>
        <w:t>的患者也应停药和</w:t>
      </w:r>
      <w:r w:rsidRPr="003C684F">
        <w:rPr>
          <w:rFonts w:ascii="仿宋" w:hAnsi="仿宋" w:eastAsia="仿宋" w:cs="仿宋"/>
          <w:sz w:val="32"/>
          <w:szCs w:val="32"/>
        </w:rPr>
        <w:t>/</w:t>
      </w:r>
      <w:r w:rsidRPr="003C684F">
        <w:rPr>
          <w:rFonts w:hint="eastAsia" w:ascii="仿宋" w:hAnsi="仿宋" w:eastAsia="仿宋" w:cs="仿宋"/>
          <w:sz w:val="32"/>
          <w:szCs w:val="32"/>
        </w:rPr>
        <w:t>或减量。</w:t>
      </w:r>
    </w:p>
    <w:p w:rsidRPr="003C684F" w:rsidR="009730C1" w:rsidRDefault="00A315B9" w14:paraId="09FD867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可延长QTc</w:t>
      </w:r>
      <w:r w:rsidRPr="003C684F">
        <w:rPr>
          <w:rFonts w:ascii="仿宋" w:hAnsi="仿宋" w:eastAsia="仿宋" w:cs="仿宋"/>
          <w:sz w:val="32"/>
          <w:szCs w:val="32"/>
        </w:rPr>
        <w:t>间期</w:t>
      </w:r>
      <w:r w:rsidRPr="003C684F">
        <w:rPr>
          <w:rFonts w:hint="eastAsia" w:ascii="仿宋" w:hAnsi="仿宋" w:eastAsia="仿宋" w:cs="仿宋"/>
          <w:sz w:val="32"/>
          <w:szCs w:val="32"/>
        </w:rPr>
        <w:t>，且呈剂量依赖性。应慎用于已知有QTc</w:t>
      </w:r>
      <w:r w:rsidRPr="003C684F">
        <w:rPr>
          <w:rFonts w:ascii="仿宋" w:hAnsi="仿宋" w:eastAsia="仿宋" w:cs="仿宋"/>
          <w:sz w:val="32"/>
          <w:szCs w:val="32"/>
        </w:rPr>
        <w:t>间期</w:t>
      </w:r>
      <w:r w:rsidRPr="003C684F">
        <w:rPr>
          <w:rFonts w:hint="eastAsia" w:ascii="仿宋" w:hAnsi="仿宋" w:eastAsia="仿宋" w:cs="仿宋"/>
          <w:sz w:val="32"/>
          <w:szCs w:val="32"/>
        </w:rPr>
        <w:t>延长病史的患者、服用抗心律失常药物的患者或有相应基础心脏疾病、心动过缓和电解质紊乱的患者。</w:t>
      </w:r>
    </w:p>
    <w:p w:rsidRPr="003C684F" w:rsidR="009730C1" w:rsidRDefault="00A315B9" w14:paraId="5E1BFE3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使用期间如果发生严重高血压，应暂停使用，直至高血压得到控制。</w:t>
      </w:r>
      <w:r w:rsidRPr="003C684F" w:rsidR="008B7220">
        <w:rPr>
          <w:rFonts w:hint="eastAsia" w:ascii="仿宋" w:hAnsi="仿宋" w:eastAsia="仿宋" w:cs="仿宋"/>
          <w:sz w:val="32"/>
          <w:szCs w:val="32"/>
        </w:rPr>
        <w:t>择期手术前至少停用本品3周，大手术后至少2周不得给药，直至伤口完全愈合。</w:t>
      </w:r>
    </w:p>
    <w:p w:rsidRPr="003C684F" w:rsidR="009730C1" w:rsidRDefault="00A315B9" w14:paraId="72F430EF"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6.本品具有肝毒性，可能导致肝脏衰竭或死亡。已在临床研究中观察到肝脏衰竭的发生（发生率＜1%）。在治疗开始前、每个治疗周期、以及临床需要时应监测肝功能（ALT，</w:t>
      </w:r>
      <w:r w:rsidRPr="003C684F">
        <w:rPr>
          <w:rFonts w:hint="eastAsia" w:ascii="仿宋" w:hAnsi="仿宋" w:eastAsia="仿宋" w:cs="仿宋"/>
          <w:sz w:val="32"/>
          <w:szCs w:val="32"/>
        </w:rPr>
        <w:lastRenderedPageBreak/>
        <w:t>AST，胆红素）。当出现3级或4级药物相关的肝功能不良反应应中断用药，若无法恢复应终止治疗。</w:t>
      </w:r>
    </w:p>
    <w:p w:rsidRPr="003C684F" w:rsidR="009730C1" w:rsidP="0037660B" w:rsidRDefault="00A315B9" w14:paraId="1D06406E"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 xml:space="preserve">十八、阿伐替尼 </w:t>
      </w:r>
      <w:r w:rsidRPr="003C684F">
        <w:rPr>
          <w:rFonts w:ascii="黑体" w:hAnsi="黑体" w:eastAsia="黑体" w:cs="黑体"/>
          <w:sz w:val="32"/>
          <w:szCs w:val="32"/>
        </w:rPr>
        <w:t>Avapritinib</w:t>
      </w:r>
    </w:p>
    <w:p w:rsidRPr="003C684F" w:rsidR="009730C1" w:rsidRDefault="00A315B9" w14:paraId="13E27C5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kern w:val="0"/>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200mg</w:t>
      </w:r>
      <w:r w:rsidRPr="003C684F">
        <w:rPr>
          <w:rFonts w:hint="eastAsia" w:ascii="仿宋" w:hAnsi="仿宋" w:eastAsia="仿宋" w:cs="仿宋"/>
          <w:sz w:val="32"/>
          <w:szCs w:val="32"/>
        </w:rPr>
        <w:t>、</w:t>
      </w:r>
      <w:r w:rsidRPr="003C684F">
        <w:rPr>
          <w:rFonts w:ascii="仿宋" w:hAnsi="仿宋" w:eastAsia="仿宋" w:cs="仿宋"/>
          <w:sz w:val="32"/>
          <w:szCs w:val="32"/>
        </w:rPr>
        <w:t>300mg</w:t>
      </w:r>
    </w:p>
    <w:p w:rsidRPr="003C684F" w:rsidR="009730C1" w:rsidRDefault="00A315B9" w14:paraId="72C8571D"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治疗携带血小板衍生生长因子受体</w:t>
      </w:r>
      <w:r w:rsidRPr="003C684F">
        <w:rPr>
          <w:rFonts w:hint="eastAsia" w:ascii="仿宋" w:hAnsi="仿宋" w:eastAsia="仿宋" w:cs="仿宋"/>
          <w:sz w:val="32"/>
          <w:szCs w:val="32"/>
        </w:rPr>
        <w:sym w:font="Symbol" w:char="F061"/>
      </w:r>
      <w:r w:rsidRPr="003C684F">
        <w:rPr>
          <w:rFonts w:hint="eastAsia" w:ascii="仿宋" w:hAnsi="仿宋" w:eastAsia="仿宋" w:cs="仿宋"/>
          <w:sz w:val="32"/>
          <w:szCs w:val="32"/>
        </w:rPr>
        <w:t>（PDGFRA）外显子1</w:t>
      </w:r>
      <w:r w:rsidRPr="003C684F">
        <w:rPr>
          <w:rFonts w:ascii="仿宋" w:hAnsi="仿宋" w:eastAsia="仿宋" w:cs="仿宋"/>
          <w:sz w:val="32"/>
          <w:szCs w:val="32"/>
        </w:rPr>
        <w:t>8</w:t>
      </w:r>
      <w:r w:rsidRPr="003C684F">
        <w:rPr>
          <w:rFonts w:hint="eastAsia" w:ascii="仿宋" w:hAnsi="仿宋" w:eastAsia="仿宋" w:cs="仿宋"/>
          <w:sz w:val="32"/>
          <w:szCs w:val="32"/>
        </w:rPr>
        <w:t>突变（包括PDGFRA D842V突变）的不可切除或转移性胃肠间质瘤成人患者。</w:t>
      </w:r>
    </w:p>
    <w:p w:rsidRPr="003C684F" w:rsidR="009730C1" w:rsidRDefault="00A315B9" w14:paraId="0AC2E102"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13ECBBC" w14:textId="2927B841">
      <w:pPr>
        <w:spacing w:line="360" w:lineRule="auto"/>
        <w:ind w:firstLine="640" w:firstLineChars="200"/>
        <w:rPr>
          <w:rFonts w:ascii="仿宋" w:hAnsi="仿宋" w:eastAsia="仿宋" w:cs="仿宋"/>
          <w:sz w:val="32"/>
          <w:szCs w:val="32"/>
        </w:rPr>
      </w:pPr>
      <w:r w:rsidRPr="003C684F">
        <w:rPr>
          <w:rFonts w:hint="eastAsia" w:ascii="仿宋" w:hAnsi="仿宋" w:eastAsia="仿宋" w:cs="仿宋"/>
          <w:bCs/>
          <w:sz w:val="32"/>
          <w:szCs w:val="32"/>
        </w:rPr>
        <w:t>1.</w:t>
      </w:r>
      <w:r w:rsidRPr="003C684F">
        <w:rPr>
          <w:rFonts w:hint="eastAsia" w:ascii="仿宋" w:hAnsi="仿宋" w:eastAsia="仿宋" w:cs="仿宋"/>
          <w:sz w:val="32"/>
          <w:szCs w:val="32"/>
        </w:rPr>
        <w:t>推荐剂量为3</w:t>
      </w:r>
      <w:r w:rsidRPr="003C684F">
        <w:rPr>
          <w:rFonts w:ascii="仿宋" w:hAnsi="仿宋" w:eastAsia="仿宋" w:cs="仿宋"/>
          <w:sz w:val="32"/>
          <w:szCs w:val="32"/>
        </w:rPr>
        <w:t>00mg</w:t>
      </w:r>
      <w:r w:rsidRPr="003C684F" w:rsidR="00AC229A">
        <w:rPr>
          <w:rFonts w:hint="eastAsia" w:ascii="仿宋" w:hAnsi="仿宋" w:eastAsia="仿宋" w:cs="仿宋"/>
          <w:sz w:val="32"/>
          <w:szCs w:val="32"/>
        </w:rPr>
        <w:t>/次，每天一次，口服</w:t>
      </w:r>
      <w:r w:rsidRPr="003C684F">
        <w:rPr>
          <w:rFonts w:hint="eastAsia" w:ascii="仿宋" w:hAnsi="仿宋" w:eastAsia="仿宋" w:cs="仿宋"/>
          <w:sz w:val="32"/>
          <w:szCs w:val="32"/>
        </w:rPr>
        <w:t>，至少在餐前1小时和餐后2小时空腹给药；持续治疗，直至</w:t>
      </w:r>
      <w:r w:rsidRPr="003C684F" w:rsidR="00B95507">
        <w:rPr>
          <w:rFonts w:hint="eastAsia" w:ascii="仿宋" w:hAnsi="仿宋" w:eastAsia="仿宋" w:cs="仿宋"/>
          <w:sz w:val="32"/>
          <w:szCs w:val="32"/>
        </w:rPr>
        <w:t>疾病进展或出现不可耐受的毒性。</w:t>
      </w:r>
    </w:p>
    <w:p w:rsidRPr="003C684F" w:rsidR="009730C1" w:rsidRDefault="00A315B9" w14:paraId="111AEC7A" w14:textId="41460A39">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避免与CYP3A</w:t>
      </w:r>
      <w:r w:rsidRPr="003C684F" w:rsidR="00281C19">
        <w:rPr>
          <w:rFonts w:hint="eastAsia" w:ascii="仿宋" w:hAnsi="仿宋" w:eastAsia="仿宋" w:cs="仿宋"/>
          <w:sz w:val="32"/>
          <w:szCs w:val="32"/>
        </w:rPr>
        <w:t>强效或中效</w:t>
      </w:r>
      <w:r w:rsidRPr="003C684F">
        <w:rPr>
          <w:rFonts w:hint="eastAsia" w:ascii="仿宋" w:hAnsi="仿宋" w:eastAsia="仿宋" w:cs="仿宋"/>
          <w:sz w:val="32"/>
          <w:szCs w:val="32"/>
        </w:rPr>
        <w:t>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；如果无法避免与</w:t>
      </w:r>
      <w:r w:rsidRPr="003C684F">
        <w:rPr>
          <w:rFonts w:ascii="仿宋" w:hAnsi="仿宋" w:eastAsia="仿宋" w:cs="仿宋"/>
          <w:sz w:val="32"/>
          <w:szCs w:val="32"/>
        </w:rPr>
        <w:t>CYP3A4</w:t>
      </w:r>
      <w:r w:rsidRPr="003C684F" w:rsidR="00281C19">
        <w:rPr>
          <w:rFonts w:hint="eastAsia" w:ascii="仿宋" w:hAnsi="仿宋" w:eastAsia="仿宋" w:cs="仿宋"/>
          <w:sz w:val="32"/>
          <w:szCs w:val="32"/>
        </w:rPr>
        <w:t>中效</w:t>
      </w:r>
      <w:r w:rsidRPr="003C684F">
        <w:rPr>
          <w:rFonts w:hint="eastAsia" w:ascii="仿宋" w:hAnsi="仿宋" w:eastAsia="仿宋" w:cs="仿宋"/>
          <w:sz w:val="32"/>
          <w:szCs w:val="32"/>
        </w:rPr>
        <w:t>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，起始剂量可降低至</w:t>
      </w:r>
      <w:r w:rsidRPr="003C684F">
        <w:rPr>
          <w:rFonts w:ascii="仿宋" w:hAnsi="仿宋" w:eastAsia="仿宋" w:cs="仿宋"/>
          <w:sz w:val="32"/>
          <w:szCs w:val="32"/>
        </w:rPr>
        <w:t>100mg</w:t>
      </w:r>
      <w:r w:rsidRPr="003C684F" w:rsidR="00AC229A">
        <w:rPr>
          <w:rFonts w:hint="eastAsia" w:ascii="仿宋" w:hAnsi="仿宋" w:eastAsia="仿宋" w:cs="仿宋"/>
          <w:sz w:val="32"/>
          <w:szCs w:val="32"/>
        </w:rPr>
        <w:t>/次，</w:t>
      </w:r>
      <w:r w:rsidRPr="003C684F">
        <w:rPr>
          <w:rFonts w:hint="eastAsia" w:ascii="仿宋" w:hAnsi="仿宋" w:eastAsia="仿宋" w:cs="仿宋"/>
          <w:sz w:val="32"/>
          <w:szCs w:val="32"/>
        </w:rPr>
        <w:t>每天一次。</w:t>
      </w:r>
    </w:p>
    <w:p w:rsidRPr="003C684F" w:rsidR="009730C1" w:rsidRDefault="00A315B9" w14:paraId="50EEBD7D"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该适应证是基于一项包括8</w:t>
      </w:r>
      <w:r w:rsidRPr="003C684F">
        <w:rPr>
          <w:rFonts w:ascii="仿宋" w:hAnsi="仿宋" w:eastAsia="仿宋" w:cs="仿宋"/>
          <w:sz w:val="32"/>
          <w:szCs w:val="32"/>
        </w:rPr>
        <w:t>1</w:t>
      </w:r>
      <w:r w:rsidRPr="003C684F">
        <w:rPr>
          <w:rFonts w:hint="eastAsia" w:ascii="仿宋" w:hAnsi="仿宋" w:eastAsia="仿宋" w:cs="仿宋"/>
          <w:sz w:val="32"/>
          <w:szCs w:val="32"/>
        </w:rPr>
        <w:t>例PDGFRA外显子1</w:t>
      </w:r>
      <w:r w:rsidRPr="003C684F">
        <w:rPr>
          <w:rFonts w:ascii="仿宋" w:hAnsi="仿宋" w:eastAsia="仿宋" w:cs="仿宋"/>
          <w:sz w:val="32"/>
          <w:szCs w:val="32"/>
        </w:rPr>
        <w:t>8</w:t>
      </w:r>
      <w:r w:rsidRPr="003C684F">
        <w:rPr>
          <w:rFonts w:hint="eastAsia" w:ascii="仿宋" w:hAnsi="仿宋" w:eastAsia="仿宋" w:cs="仿宋"/>
          <w:sz w:val="32"/>
          <w:szCs w:val="32"/>
        </w:rPr>
        <w:t>突变的NAVIGATOR临床研究的结果给予的附条件批准。</w:t>
      </w:r>
    </w:p>
    <w:p w:rsidRPr="003C684F" w:rsidR="009730C1" w:rsidRDefault="00A315B9" w14:paraId="71E854F3" w14:textId="3B89A129">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sidR="003B211C">
        <w:rPr>
          <w:rFonts w:hint="eastAsia" w:ascii="仿宋" w:hAnsi="仿宋" w:eastAsia="仿宋" w:cs="仿宋"/>
          <w:sz w:val="32"/>
          <w:szCs w:val="32"/>
        </w:rPr>
        <w:t>老年患者（≥65岁）</w:t>
      </w:r>
      <w:r w:rsidRPr="003C684F" w:rsidR="00C03193">
        <w:rPr>
          <w:rFonts w:hint="eastAsia" w:ascii="仿宋" w:hAnsi="仿宋" w:eastAsia="仿宋" w:cs="仿宋"/>
          <w:sz w:val="32"/>
          <w:szCs w:val="32"/>
        </w:rPr>
        <w:t>无需</w:t>
      </w:r>
      <w:r w:rsidRPr="003C684F">
        <w:rPr>
          <w:rFonts w:hint="eastAsia" w:ascii="仿宋" w:hAnsi="仿宋" w:eastAsia="仿宋" w:cs="仿宋"/>
          <w:sz w:val="32"/>
          <w:szCs w:val="32"/>
        </w:rPr>
        <w:t>调整剂量</w:t>
      </w:r>
      <w:r w:rsidRPr="003C684F" w:rsidR="00D61FBA">
        <w:rPr>
          <w:rFonts w:hint="eastAsia" w:ascii="仿宋" w:hAnsi="仿宋" w:eastAsia="仿宋" w:cs="仿宋"/>
          <w:sz w:val="32"/>
          <w:szCs w:val="32"/>
        </w:rPr>
        <w:t>，</w:t>
      </w:r>
      <w:r w:rsidRPr="003C684F">
        <w:rPr>
          <w:rFonts w:hint="eastAsia" w:ascii="仿宋" w:hAnsi="仿宋" w:eastAsia="仿宋" w:cs="仿宋"/>
          <w:sz w:val="32"/>
          <w:szCs w:val="32"/>
        </w:rPr>
        <w:t>1</w:t>
      </w:r>
      <w:r w:rsidRPr="003C684F">
        <w:rPr>
          <w:rFonts w:ascii="仿宋" w:hAnsi="仿宋" w:eastAsia="仿宋" w:cs="仿宋"/>
          <w:sz w:val="32"/>
          <w:szCs w:val="32"/>
        </w:rPr>
        <w:t>8</w:t>
      </w:r>
      <w:r w:rsidRPr="003C684F">
        <w:rPr>
          <w:rFonts w:hint="eastAsia" w:ascii="仿宋" w:hAnsi="仿宋" w:eastAsia="仿宋" w:cs="仿宋"/>
          <w:sz w:val="32"/>
          <w:szCs w:val="32"/>
        </w:rPr>
        <w:t>岁以下儿童和青少年患者慎用。</w:t>
      </w:r>
    </w:p>
    <w:p w:rsidRPr="003C684F" w:rsidR="009730C1" w:rsidRDefault="00A315B9" w14:paraId="790FE7BC"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对于轻中度肝肾功能损伤患者，不建议调整剂量；重度肝肾功能损伤患者慎用。</w:t>
      </w:r>
    </w:p>
    <w:p w:rsidRPr="003C684F" w:rsidR="009730C1" w:rsidRDefault="00A315B9" w14:paraId="723A0211" w14:textId="2CCAC73A">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用药期间必须注意常见的不良反应，包括恶心、疲乏、贫血、眶周水肿、面部水肿、高胆红素血症、腹泻、呕吐、</w:t>
      </w:r>
      <w:r w:rsidRPr="003C684F">
        <w:rPr>
          <w:rFonts w:hint="eastAsia" w:ascii="仿宋" w:hAnsi="仿宋" w:eastAsia="仿宋" w:cs="仿宋"/>
          <w:sz w:val="32"/>
          <w:szCs w:val="32"/>
        </w:rPr>
        <w:lastRenderedPageBreak/>
        <w:t>外周水肿、流泪增加、食欲下降和记忆受损；最常见的严重不良反应为贫血和胸腔积液</w:t>
      </w:r>
      <w:r w:rsidRPr="003C684F" w:rsidR="00DE347F">
        <w:rPr>
          <w:rFonts w:hint="eastAsia" w:ascii="仿宋" w:hAnsi="仿宋" w:eastAsia="仿宋" w:cs="仿宋"/>
          <w:sz w:val="32"/>
          <w:szCs w:val="32"/>
        </w:rPr>
        <w:t>；特定不良反应包括颅内出血（1.6%）、认知影响（33%）和液体潴留（70.2%）</w:t>
      </w:r>
      <w:r w:rsidRPr="003C684F">
        <w:rPr>
          <w:rFonts w:hint="eastAsia" w:ascii="仿宋" w:hAnsi="仿宋" w:eastAsia="仿宋" w:cs="仿宋"/>
          <w:sz w:val="32"/>
          <w:szCs w:val="32"/>
        </w:rPr>
        <w:t>。</w:t>
      </w:r>
    </w:p>
    <w:p w:rsidRPr="003C684F" w:rsidR="009730C1" w:rsidP="0037660B" w:rsidRDefault="00A315B9" w14:paraId="366E403C"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十九、瑞派替尼 Ripre</w:t>
      </w:r>
      <w:r w:rsidRPr="003C684F">
        <w:rPr>
          <w:rFonts w:ascii="黑体" w:hAnsi="黑体" w:eastAsia="黑体" w:cs="黑体"/>
          <w:sz w:val="32"/>
          <w:szCs w:val="32"/>
        </w:rPr>
        <w:t>tinib</w:t>
      </w:r>
    </w:p>
    <w:p w:rsidRPr="003C684F" w:rsidR="009730C1" w:rsidRDefault="00A315B9" w14:paraId="3EA31397"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kern w:val="0"/>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50mg</w:t>
      </w:r>
    </w:p>
    <w:p w:rsidRPr="003C684F" w:rsidR="009730C1" w:rsidRDefault="00A315B9" w14:paraId="113360E0"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既往接受过三种或以上酪氨酸激酶抑制剂（包括伊马替尼）的晚期胃肠间质瘤成人患者的治疗。</w:t>
      </w:r>
    </w:p>
    <w:p w:rsidRPr="003C684F" w:rsidR="009730C1" w:rsidRDefault="00A315B9" w14:paraId="7B181CC1"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67141ED5" w14:textId="3696B465">
      <w:pPr>
        <w:spacing w:line="360" w:lineRule="auto"/>
        <w:ind w:firstLine="640" w:firstLineChars="200"/>
        <w:rPr>
          <w:rFonts w:ascii="仿宋" w:hAnsi="仿宋" w:eastAsia="仿宋" w:cs="仿宋"/>
          <w:sz w:val="32"/>
          <w:szCs w:val="32"/>
        </w:rPr>
      </w:pPr>
      <w:r w:rsidRPr="003C684F">
        <w:rPr>
          <w:rFonts w:hint="eastAsia" w:ascii="仿宋" w:hAnsi="仿宋" w:eastAsia="仿宋" w:cs="仿宋"/>
          <w:bCs/>
          <w:sz w:val="32"/>
          <w:szCs w:val="32"/>
        </w:rPr>
        <w:t>1.</w:t>
      </w:r>
      <w:r w:rsidRPr="003C684F">
        <w:rPr>
          <w:rFonts w:hint="eastAsia" w:ascii="仿宋" w:hAnsi="仿宋" w:eastAsia="仿宋" w:cs="仿宋"/>
          <w:sz w:val="32"/>
          <w:szCs w:val="32"/>
        </w:rPr>
        <w:t>推荐剂量为</w:t>
      </w:r>
      <w:r w:rsidRPr="003C684F">
        <w:rPr>
          <w:rFonts w:ascii="仿宋" w:hAnsi="仿宋" w:eastAsia="仿宋" w:cs="仿宋"/>
          <w:sz w:val="32"/>
          <w:szCs w:val="32"/>
        </w:rPr>
        <w:t>150mg</w:t>
      </w:r>
      <w:r w:rsidRPr="003C684F" w:rsidR="00EE613D">
        <w:rPr>
          <w:rFonts w:hint="eastAsia" w:ascii="仿宋" w:hAnsi="仿宋" w:eastAsia="仿宋" w:cs="仿宋"/>
          <w:sz w:val="32"/>
          <w:szCs w:val="32"/>
        </w:rPr>
        <w:t>/次，每天一次，口服，</w:t>
      </w:r>
      <w:r w:rsidRPr="003C684F">
        <w:rPr>
          <w:rFonts w:hint="eastAsia" w:ascii="仿宋" w:hAnsi="仿宋" w:eastAsia="仿宋" w:cs="仿宋"/>
          <w:sz w:val="32"/>
          <w:szCs w:val="32"/>
        </w:rPr>
        <w:t>可与食物同服或空腹给药，直至</w:t>
      </w:r>
      <w:r w:rsidRPr="003C684F" w:rsidR="00B95507">
        <w:rPr>
          <w:rFonts w:hint="eastAsia" w:ascii="仿宋" w:hAnsi="仿宋" w:eastAsia="仿宋" w:cs="仿宋"/>
          <w:sz w:val="32"/>
          <w:szCs w:val="32"/>
        </w:rPr>
        <w:t>疾病进展或出现不可耐受的毒性。</w:t>
      </w:r>
    </w:p>
    <w:p w:rsidRPr="003C684F" w:rsidR="009730C1" w:rsidRDefault="00A315B9" w14:paraId="09EFC200" w14:textId="542C1F86">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如因不良反应需降低剂量，推荐的剂量为</w:t>
      </w:r>
      <w:r w:rsidRPr="003C684F">
        <w:rPr>
          <w:rFonts w:ascii="仿宋" w:hAnsi="仿宋" w:eastAsia="仿宋" w:cs="仿宋"/>
          <w:sz w:val="32"/>
          <w:szCs w:val="32"/>
        </w:rPr>
        <w:t>100mg</w:t>
      </w:r>
      <w:r w:rsidRPr="003C684F" w:rsidR="00EE613D">
        <w:rPr>
          <w:rFonts w:hint="eastAsia" w:ascii="仿宋" w:hAnsi="仿宋" w:eastAsia="仿宋" w:cs="仿宋"/>
          <w:sz w:val="32"/>
          <w:szCs w:val="32"/>
        </w:rPr>
        <w:t>/次，</w:t>
      </w:r>
      <w:r w:rsidRPr="003C684F">
        <w:rPr>
          <w:rFonts w:hint="eastAsia" w:ascii="仿宋" w:hAnsi="仿宋" w:eastAsia="仿宋" w:cs="仿宋"/>
          <w:sz w:val="32"/>
          <w:szCs w:val="32"/>
        </w:rPr>
        <w:t>每天一次；如患者无法耐受1</w:t>
      </w:r>
      <w:r w:rsidRPr="003C684F">
        <w:rPr>
          <w:rFonts w:ascii="仿宋" w:hAnsi="仿宋" w:eastAsia="仿宋" w:cs="仿宋"/>
          <w:sz w:val="32"/>
          <w:szCs w:val="32"/>
        </w:rPr>
        <w:t>00</w:t>
      </w:r>
      <w:r w:rsidRPr="003C684F">
        <w:rPr>
          <w:rFonts w:hint="eastAsia" w:ascii="仿宋" w:hAnsi="仿宋" w:eastAsia="仿宋" w:cs="仿宋"/>
          <w:sz w:val="32"/>
          <w:szCs w:val="32"/>
        </w:rPr>
        <w:t>mg</w:t>
      </w:r>
      <w:r w:rsidRPr="003C684F" w:rsidR="00EE613D">
        <w:rPr>
          <w:rFonts w:hint="eastAsia" w:ascii="仿宋" w:hAnsi="仿宋" w:eastAsia="仿宋" w:cs="仿宋"/>
          <w:sz w:val="32"/>
          <w:szCs w:val="32"/>
        </w:rPr>
        <w:t>/次，</w:t>
      </w:r>
      <w:r w:rsidRPr="003C684F">
        <w:rPr>
          <w:rFonts w:hint="eastAsia" w:ascii="仿宋" w:hAnsi="仿宋" w:eastAsia="仿宋" w:cs="仿宋"/>
          <w:sz w:val="32"/>
          <w:szCs w:val="32"/>
        </w:rPr>
        <w:t>每天一次，则应</w:t>
      </w:r>
      <w:r w:rsidRPr="003C684F" w:rsidR="00373DC1">
        <w:rPr>
          <w:rFonts w:hint="eastAsia" w:ascii="仿宋" w:hAnsi="仿宋" w:eastAsia="仿宋" w:cs="仿宋"/>
          <w:sz w:val="32"/>
          <w:szCs w:val="32"/>
        </w:rPr>
        <w:t>永久停用</w:t>
      </w:r>
      <w:r w:rsidRPr="003C684F">
        <w:rPr>
          <w:rFonts w:hint="eastAsia" w:ascii="仿宋" w:hAnsi="仿宋" w:eastAsia="仿宋" w:cs="仿宋"/>
          <w:sz w:val="32"/>
          <w:szCs w:val="32"/>
        </w:rPr>
        <w:t>。</w:t>
      </w:r>
    </w:p>
    <w:p w:rsidRPr="003C684F" w:rsidR="009730C1" w:rsidRDefault="00A315B9" w14:paraId="4DF22DB3"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该适应证是基于4线胃肠间质瘤INVICTUS研究结果给予的附条件批准；该适应证的完全批准将取决于正在进行的ZL-2</w:t>
      </w:r>
      <w:r w:rsidRPr="003C684F">
        <w:rPr>
          <w:rFonts w:ascii="仿宋" w:hAnsi="仿宋" w:eastAsia="仿宋" w:cs="仿宋"/>
          <w:sz w:val="32"/>
          <w:szCs w:val="32"/>
        </w:rPr>
        <w:t>307</w:t>
      </w:r>
      <w:r w:rsidRPr="003C684F">
        <w:rPr>
          <w:rFonts w:hint="eastAsia" w:ascii="仿宋" w:hAnsi="仿宋" w:eastAsia="仿宋" w:cs="仿宋"/>
          <w:sz w:val="32"/>
          <w:szCs w:val="32"/>
        </w:rPr>
        <w:t>-</w:t>
      </w:r>
      <w:r w:rsidRPr="003C684F">
        <w:rPr>
          <w:rFonts w:ascii="仿宋" w:hAnsi="仿宋" w:eastAsia="仿宋" w:cs="仿宋"/>
          <w:sz w:val="32"/>
          <w:szCs w:val="32"/>
        </w:rPr>
        <w:t>002</w:t>
      </w:r>
      <w:r w:rsidRPr="003C684F">
        <w:rPr>
          <w:rFonts w:hint="eastAsia" w:ascii="仿宋" w:hAnsi="仿宋" w:eastAsia="仿宋" w:cs="仿宋"/>
          <w:sz w:val="32"/>
          <w:szCs w:val="32"/>
        </w:rPr>
        <w:t>试验在中国患者的临床获益。</w:t>
      </w:r>
    </w:p>
    <w:p w:rsidRPr="003C684F" w:rsidR="009730C1" w:rsidRDefault="00A315B9" w14:paraId="5ED0129A"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轻度肝功能损伤患者无需进行剂量调整；尚未在中重度肝功能损伤患者中确定推荐剂量。</w:t>
      </w:r>
      <w:r w:rsidRPr="003C684F" w:rsidR="008B7220">
        <w:rPr>
          <w:rFonts w:hint="eastAsia" w:ascii="仿宋" w:hAnsi="仿宋" w:eastAsia="仿宋" w:cs="仿宋"/>
          <w:sz w:val="32"/>
          <w:szCs w:val="32"/>
        </w:rPr>
        <w:t>择期手术前用药暂停至少1周，重大手术后至少2周内不得给药，伤口完全愈合方可给药。</w:t>
      </w:r>
    </w:p>
    <w:p w:rsidRPr="003C684F" w:rsidR="009730C1" w:rsidRDefault="00A315B9" w14:paraId="6F669155" w14:textId="71A7221B">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本品在儿童患者中的安全性和有效性尚不明确；临床研究中纳入</w:t>
      </w:r>
      <w:r w:rsidRPr="003C684F" w:rsidR="003B211C">
        <w:rPr>
          <w:rFonts w:hint="eastAsia" w:ascii="仿宋" w:hAnsi="仿宋" w:eastAsia="仿宋" w:cs="仿宋"/>
          <w:sz w:val="32"/>
          <w:szCs w:val="32"/>
        </w:rPr>
        <w:t>的老年患者（≥65岁）</w:t>
      </w:r>
      <w:r w:rsidRPr="003C684F">
        <w:rPr>
          <w:rFonts w:hint="eastAsia" w:ascii="仿宋" w:hAnsi="仿宋" w:eastAsia="仿宋" w:cs="仿宋"/>
          <w:sz w:val="32"/>
          <w:szCs w:val="32"/>
        </w:rPr>
        <w:t>数</w:t>
      </w:r>
      <w:r w:rsidR="007B5082">
        <w:rPr>
          <w:rFonts w:hint="eastAsia" w:ascii="仿宋" w:hAnsi="仿宋" w:eastAsia="仿宋" w:cs="仿宋"/>
          <w:sz w:val="32"/>
          <w:szCs w:val="32"/>
        </w:rPr>
        <w:t>据</w:t>
      </w:r>
      <w:r w:rsidRPr="003C684F">
        <w:rPr>
          <w:rFonts w:hint="eastAsia" w:ascii="仿宋" w:hAnsi="仿宋" w:eastAsia="仿宋" w:cs="仿宋"/>
          <w:sz w:val="32"/>
          <w:szCs w:val="32"/>
        </w:rPr>
        <w:t>尚不足以充分证明老</w:t>
      </w:r>
      <w:r w:rsidRPr="003C684F">
        <w:rPr>
          <w:rFonts w:hint="eastAsia" w:ascii="仿宋" w:hAnsi="仿宋" w:eastAsia="仿宋" w:cs="仿宋"/>
          <w:sz w:val="32"/>
          <w:szCs w:val="32"/>
        </w:rPr>
        <w:lastRenderedPageBreak/>
        <w:t>年患者与年轻患者之间是否存在药物应答差异。</w:t>
      </w:r>
    </w:p>
    <w:p w:rsidRPr="003C684F" w:rsidR="009730C1" w:rsidRDefault="00A315B9" w14:paraId="4CE25F97" w14:textId="1669FA66">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用药期间必须注意常见的不良反应，包括脱发、疲乏、恶心、腹痛、便秘、肌痛、腹泻、食欲下降、掌跖红肿综合征和呕吐；最常见的严重不良反应为腹痛、贫血、恶心和呕吐。</w:t>
      </w:r>
    </w:p>
    <w:p w:rsidRPr="003C684F" w:rsidR="009730C1" w:rsidRDefault="00A315B9" w14:paraId="237A0B7C" w14:textId="1A8AB121">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7.</w:t>
      </w:r>
      <w:r w:rsidRPr="003C684F">
        <w:rPr>
          <w:rFonts w:hint="eastAsia" w:ascii="仿宋" w:hAnsi="仿宋" w:eastAsia="仿宋" w:cs="仿宋"/>
          <w:sz w:val="32"/>
          <w:szCs w:val="32"/>
        </w:rPr>
        <w:t>避免与</w:t>
      </w:r>
      <w:r w:rsidRPr="003C684F" w:rsidR="000679FC">
        <w:rPr>
          <w:rFonts w:hint="eastAsia" w:ascii="仿宋" w:hAnsi="仿宋" w:eastAsia="仿宋" w:cs="仿宋"/>
          <w:sz w:val="32"/>
          <w:szCs w:val="32"/>
        </w:rPr>
        <w:t>CYP3A强效</w:t>
      </w:r>
      <w:r w:rsidRPr="003C684F">
        <w:rPr>
          <w:rFonts w:hint="eastAsia" w:ascii="仿宋" w:hAnsi="仿宋" w:eastAsia="仿宋" w:cs="仿宋"/>
          <w:sz w:val="32"/>
          <w:szCs w:val="32"/>
        </w:rPr>
        <w:t>诱导剂</w:t>
      </w:r>
      <w:r w:rsidRPr="003C684F" w:rsidR="0027238F">
        <w:rPr>
          <w:rFonts w:hint="eastAsia" w:ascii="仿宋" w:hAnsi="仿宋" w:eastAsia="仿宋" w:cs="仿宋"/>
          <w:sz w:val="32"/>
          <w:szCs w:val="32"/>
        </w:rPr>
        <w:t>和</w:t>
      </w:r>
      <w:r w:rsidRPr="003C684F">
        <w:rPr>
          <w:rFonts w:hint="eastAsia" w:ascii="仿宋" w:hAnsi="仿宋" w:eastAsia="仿宋" w:cs="仿宋"/>
          <w:sz w:val="32"/>
          <w:szCs w:val="32"/>
        </w:rPr>
        <w:t>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1C174F8B"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二十、依维莫司 E</w:t>
      </w:r>
      <w:r w:rsidRPr="003C684F">
        <w:rPr>
          <w:rFonts w:ascii="黑体" w:hAnsi="黑体" w:eastAsia="黑体" w:cs="黑体"/>
          <w:sz w:val="32"/>
          <w:szCs w:val="32"/>
        </w:rPr>
        <w:t>verolimus</w:t>
      </w:r>
    </w:p>
    <w:p w:rsidRPr="003C684F" w:rsidR="009730C1" w:rsidRDefault="00A315B9" w14:paraId="4553438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5mg</w:t>
      </w:r>
      <w:r w:rsidRPr="003C684F">
        <w:rPr>
          <w:rFonts w:hint="eastAsia" w:ascii="仿宋" w:hAnsi="仿宋" w:eastAsia="仿宋" w:cs="仿宋"/>
          <w:sz w:val="32"/>
          <w:szCs w:val="32"/>
        </w:rPr>
        <w:t>、</w:t>
      </w:r>
      <w:r w:rsidRPr="003C684F">
        <w:rPr>
          <w:rFonts w:ascii="仿宋" w:hAnsi="仿宋" w:eastAsia="仿宋" w:cs="仿宋"/>
          <w:sz w:val="32"/>
          <w:szCs w:val="32"/>
        </w:rPr>
        <w:t>10mg</w:t>
      </w:r>
    </w:p>
    <w:p w:rsidRPr="003C684F" w:rsidR="009730C1" w:rsidRDefault="00A315B9" w14:paraId="2651E56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不可切除的、局部晩期或转移性的、分化良好的（中高度分化）进展期胰腺神经内分泌瘤成人患者；无法手术切除的、局部晩期或转移性的、分化良好的、进展期非功能性胃肠道或肺源神经内分泌瘤成人患者。</w:t>
      </w:r>
    </w:p>
    <w:p w:rsidRPr="003C684F" w:rsidR="009730C1" w:rsidRDefault="00A315B9" w14:paraId="2ED9D6EA"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C204A5" w:rsidP="00C204A5" w:rsidRDefault="00C204A5" w14:paraId="3453586C" w14:textId="411CC384">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1.依维莫司的推荐剂量为10mg/次，每天一次，口服，每天在同一时间服用，可与食物同服或不与食物同时服用。</w:t>
      </w:r>
      <w:r w:rsidRPr="003C684F" w:rsidR="008E0F81">
        <w:rPr>
          <w:rFonts w:hint="eastAsia" w:ascii="仿宋" w:hAnsi="仿宋" w:eastAsia="仿宋" w:cs="仿宋"/>
          <w:sz w:val="32"/>
          <w:szCs w:val="32"/>
        </w:rPr>
        <w:t>如需要减少剂量，推荐剂量大约为之前给药剂量的一半。如果剂量减至最低可用片剂规格以下时，应考虑每隔一日一次。</w:t>
      </w:r>
    </w:p>
    <w:p w:rsidRPr="003C684F" w:rsidR="009730C1" w:rsidRDefault="008E0F81" w14:paraId="7616A193" w14:textId="0E0161BF">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sidR="00A315B9">
        <w:rPr>
          <w:rFonts w:hint="eastAsia" w:ascii="仿宋" w:hAnsi="仿宋" w:eastAsia="仿宋" w:cs="仿宋"/>
          <w:sz w:val="32"/>
          <w:szCs w:val="32"/>
        </w:rPr>
        <w:t>.用药期间必须注意常见的不良反应，包括口腔炎、皮疹、疲劳、腹泻、感染、恶心、食欲下降、贫血、味觉障碍、周围水肿、高血糖和头痛。</w:t>
      </w:r>
    </w:p>
    <w:p w:rsidRPr="003C684F" w:rsidR="009730C1" w:rsidRDefault="008E0F81" w14:paraId="5D418B0C" w14:textId="005668B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sidR="00A315B9">
        <w:rPr>
          <w:rFonts w:hint="eastAsia" w:ascii="仿宋" w:hAnsi="仿宋" w:eastAsia="仿宋" w:cs="仿宋"/>
          <w:sz w:val="32"/>
          <w:szCs w:val="32"/>
        </w:rPr>
        <w:t>.非感染性肺炎是雷帕霉素衍生物（包括本品）的类效应。对本品有效成分、其他雷帕霉素衍生物或本品中任何辅</w:t>
      </w:r>
      <w:r w:rsidRPr="003C684F" w:rsidR="00A315B9">
        <w:rPr>
          <w:rFonts w:hint="eastAsia" w:ascii="仿宋" w:hAnsi="仿宋" w:eastAsia="仿宋" w:cs="仿宋"/>
          <w:sz w:val="32"/>
          <w:szCs w:val="32"/>
        </w:rPr>
        <w:lastRenderedPageBreak/>
        <w:t>料过敏者禁用。使用依维莫司和其他雷帕霉素衍生物患者中观察到的过敏反应表现包括但不限于：呼吸困难、潮红、胸痛或血管性水肿（例如：伴或不伴呼吸功能不全的气道或舌肿胀）。</w:t>
      </w:r>
    </w:p>
    <w:p w:rsidRPr="003C684F" w:rsidR="009730C1" w:rsidRDefault="008E0F81" w14:paraId="368034EF" w14:textId="098A4C1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sidR="00A315B9">
        <w:rPr>
          <w:rFonts w:hint="eastAsia" w:ascii="仿宋" w:hAnsi="仿宋" w:eastAsia="仿宋" w:cs="仿宋"/>
          <w:sz w:val="32"/>
          <w:szCs w:val="32"/>
        </w:rPr>
        <w:t>.同时使用血管紧张素转换酶抑制剂的患者，可能发生血管性水肿的风险升高。</w:t>
      </w:r>
    </w:p>
    <w:p w:rsidRPr="003C684F" w:rsidR="009730C1" w:rsidRDefault="008E0F81" w14:paraId="6F7B8C0A" w14:textId="17DEADD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sidR="00A315B9">
        <w:rPr>
          <w:rFonts w:hint="eastAsia" w:ascii="仿宋" w:hAnsi="仿宋" w:eastAsia="仿宋" w:cs="仿宋"/>
          <w:sz w:val="32"/>
          <w:szCs w:val="32"/>
        </w:rPr>
        <w:t>.在本品治疗期间应避免接种活疫苗，例如流感、麻疹、腮腺炎、风疹、口服脊髓灰质炎、卡介苗、黄热病、水痘和TY21a伤寒疫苗等，避免与接种过活疫苗的人密切接触。</w:t>
      </w:r>
    </w:p>
    <w:p w:rsidRPr="003C684F" w:rsidR="009730C1" w:rsidRDefault="008E0F81" w14:paraId="71B845F4" w14:textId="37F35FC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sidR="00A315B9">
        <w:rPr>
          <w:rFonts w:hint="eastAsia" w:ascii="仿宋" w:hAnsi="仿宋" w:eastAsia="仿宋" w:cs="仿宋"/>
          <w:sz w:val="32"/>
          <w:szCs w:val="32"/>
        </w:rPr>
        <w:t>.对所有患者都应进行常规的依维莫司全血谷浓度监测。</w:t>
      </w:r>
      <w:r w:rsidRPr="003C684F" w:rsidR="00A76332">
        <w:rPr>
          <w:rFonts w:hint="eastAsia" w:ascii="仿宋" w:hAnsi="仿宋" w:eastAsia="仿宋" w:cs="仿宋"/>
          <w:sz w:val="32"/>
          <w:szCs w:val="32"/>
        </w:rPr>
        <w:t>老年患者（≥65岁）</w:t>
      </w:r>
      <w:r w:rsidRPr="003C684F" w:rsidR="00A315B9">
        <w:rPr>
          <w:rFonts w:hint="eastAsia" w:ascii="仿宋" w:hAnsi="仿宋" w:eastAsia="仿宋" w:cs="仿宋"/>
          <w:sz w:val="32"/>
          <w:szCs w:val="32"/>
        </w:rPr>
        <w:t>用药的死亡率及发生严重不良反应而终止治疗的发生率明显增高。因此，老年患者使用依维莫司，必须监测不良反应的发生，并及时调整用药剂量。</w:t>
      </w:r>
    </w:p>
    <w:p w:rsidRPr="003C684F" w:rsidR="009730C1" w:rsidRDefault="008E0F81" w14:paraId="45609841" w14:textId="426D68EB">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sidR="00A315B9">
        <w:rPr>
          <w:rFonts w:hint="eastAsia" w:ascii="仿宋" w:hAnsi="仿宋" w:eastAsia="仿宋" w:cs="仿宋"/>
          <w:sz w:val="32"/>
          <w:szCs w:val="32"/>
        </w:rPr>
        <w:t>.应避免</w:t>
      </w:r>
      <w:r w:rsidRPr="003C684F" w:rsidR="00C3674D">
        <w:rPr>
          <w:rFonts w:hint="eastAsia" w:ascii="仿宋" w:hAnsi="仿宋" w:eastAsia="仿宋" w:cs="仿宋"/>
          <w:sz w:val="32"/>
          <w:szCs w:val="32"/>
        </w:rPr>
        <w:t>联合</w:t>
      </w:r>
      <w:r w:rsidRPr="003C684F" w:rsidR="00A315B9">
        <w:rPr>
          <w:rFonts w:hint="eastAsia" w:ascii="仿宋" w:hAnsi="仿宋" w:eastAsia="仿宋" w:cs="仿宋"/>
          <w:sz w:val="32"/>
          <w:szCs w:val="32"/>
        </w:rPr>
        <w:t>使用CYP3A4或P-糖蛋白</w:t>
      </w:r>
      <w:r w:rsidRPr="003C684F" w:rsidR="00A76332">
        <w:rPr>
          <w:rFonts w:hint="eastAsia" w:ascii="仿宋" w:hAnsi="仿宋" w:eastAsia="仿宋" w:cs="仿宋"/>
          <w:sz w:val="32"/>
          <w:szCs w:val="32"/>
        </w:rPr>
        <w:t>强效</w:t>
      </w:r>
      <w:r w:rsidRPr="003C684F" w:rsidR="00A315B9">
        <w:rPr>
          <w:rFonts w:hint="eastAsia" w:ascii="仿宋" w:hAnsi="仿宋" w:eastAsia="仿宋" w:cs="仿宋"/>
          <w:sz w:val="32"/>
          <w:szCs w:val="32"/>
        </w:rPr>
        <w:t>抑制剂、CYP3A4强效诱导剂。</w:t>
      </w:r>
      <w:r w:rsidRPr="003C684F">
        <w:rPr>
          <w:rFonts w:hint="eastAsia" w:ascii="仿宋" w:hAnsi="仿宋" w:eastAsia="仿宋" w:cs="仿宋"/>
          <w:sz w:val="32"/>
          <w:szCs w:val="32"/>
        </w:rPr>
        <w:t>如患者需要合并使用CYP3A4强效诱导剂，应考虑将本品以5mg剂量递增，从10mg每天一次增至20mg每天一次。治疗中应避免食用已知可能抑制CYP450和</w:t>
      </w:r>
      <w:r w:rsidR="007B5082">
        <w:rPr>
          <w:rFonts w:hint="eastAsia" w:ascii="仿宋" w:hAnsi="仿宋" w:eastAsia="仿宋" w:cs="仿宋"/>
          <w:sz w:val="32"/>
          <w:szCs w:val="32"/>
        </w:rPr>
        <w:t>P-糖蛋白</w:t>
      </w:r>
      <w:r w:rsidRPr="003C684F">
        <w:rPr>
          <w:rFonts w:hint="eastAsia" w:ascii="仿宋" w:hAnsi="仿宋" w:eastAsia="仿宋" w:cs="仿宋"/>
          <w:sz w:val="32"/>
          <w:szCs w:val="32"/>
        </w:rPr>
        <w:t>活性的</w:t>
      </w:r>
      <w:r w:rsidR="007B5082">
        <w:rPr>
          <w:rFonts w:hint="eastAsia" w:ascii="仿宋" w:hAnsi="仿宋" w:eastAsia="仿宋" w:cs="仿宋"/>
          <w:sz w:val="32"/>
          <w:szCs w:val="32"/>
        </w:rPr>
        <w:t>葡萄柚</w:t>
      </w:r>
      <w:r w:rsidRPr="003C684F">
        <w:rPr>
          <w:rFonts w:hint="eastAsia" w:ascii="仿宋" w:hAnsi="仿宋" w:eastAsia="仿宋" w:cs="仿宋"/>
          <w:sz w:val="32"/>
          <w:szCs w:val="32"/>
        </w:rPr>
        <w:t>、</w:t>
      </w:r>
      <w:r w:rsidR="007B5082">
        <w:rPr>
          <w:rFonts w:hint="eastAsia" w:ascii="仿宋" w:hAnsi="仿宋" w:eastAsia="仿宋" w:cs="仿宋"/>
          <w:sz w:val="32"/>
          <w:szCs w:val="32"/>
        </w:rPr>
        <w:t>葡萄柚</w:t>
      </w:r>
      <w:r w:rsidRPr="003C684F">
        <w:rPr>
          <w:rFonts w:hint="eastAsia" w:ascii="仿宋" w:hAnsi="仿宋" w:eastAsia="仿宋" w:cs="仿宋"/>
          <w:sz w:val="32"/>
          <w:szCs w:val="32"/>
        </w:rPr>
        <w:t>汁等食物。</w:t>
      </w:r>
    </w:p>
    <w:p w:rsidRPr="003C684F" w:rsidR="009730C1" w:rsidP="0037660B" w:rsidRDefault="00A315B9" w14:paraId="25BDBDC5"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 xml:space="preserve">二十一、索凡替尼 </w:t>
      </w:r>
      <w:r w:rsidRPr="003C684F">
        <w:rPr>
          <w:rFonts w:ascii="黑体" w:hAnsi="黑体" w:eastAsia="黑体" w:cs="黑体"/>
          <w:sz w:val="32"/>
          <w:szCs w:val="32"/>
        </w:rPr>
        <w:t>Surufatinib</w:t>
      </w:r>
    </w:p>
    <w:p w:rsidRPr="003C684F" w:rsidR="009730C1" w:rsidRDefault="00A315B9" w14:paraId="7B260555" w14:textId="67A338D6">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bCs/>
          <w:sz w:val="32"/>
          <w:szCs w:val="32"/>
        </w:rPr>
        <w:t>胶囊</w:t>
      </w:r>
      <w:r w:rsidRPr="003C684F">
        <w:rPr>
          <w:rFonts w:hint="eastAsia" w:ascii="仿宋" w:hAnsi="仿宋" w:eastAsia="仿宋" w:cs="仿宋"/>
          <w:sz w:val="32"/>
          <w:szCs w:val="32"/>
        </w:rPr>
        <w:t>：</w:t>
      </w:r>
      <w:r w:rsidRPr="003C684F" w:rsidR="002B2DC1">
        <w:rPr>
          <w:rFonts w:hint="eastAsia" w:ascii="仿宋" w:hAnsi="仿宋" w:eastAsia="仿宋" w:cs="仿宋"/>
          <w:sz w:val="32"/>
          <w:szCs w:val="32"/>
        </w:rPr>
        <w:t>50mg、100mg</w:t>
      </w:r>
    </w:p>
    <w:p w:rsidRPr="003C684F" w:rsidR="009730C1" w:rsidRDefault="00A315B9" w14:paraId="7CA774C1" w14:textId="5FA2ACF0">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无法手术切除的局部晩期或转移性、进展期非功能性、分化良好（Gl、G2）的</w:t>
      </w:r>
      <w:r w:rsidRPr="003C684F" w:rsidR="006706A6">
        <w:rPr>
          <w:rFonts w:hint="eastAsia" w:ascii="仿宋" w:hAnsi="仿宋" w:eastAsia="仿宋" w:cs="仿宋"/>
          <w:sz w:val="32"/>
          <w:szCs w:val="32"/>
        </w:rPr>
        <w:t>胰腺及非胰腺来源的神经内</w:t>
      </w:r>
      <w:r w:rsidRPr="003C684F" w:rsidR="006706A6">
        <w:rPr>
          <w:rFonts w:hint="eastAsia" w:ascii="仿宋" w:hAnsi="仿宋" w:eastAsia="仿宋" w:cs="仿宋"/>
          <w:sz w:val="32"/>
          <w:szCs w:val="32"/>
        </w:rPr>
        <w:lastRenderedPageBreak/>
        <w:t>分泌瘤</w:t>
      </w:r>
      <w:r w:rsidRPr="003C684F">
        <w:rPr>
          <w:rFonts w:hint="eastAsia" w:ascii="仿宋" w:hAnsi="仿宋" w:eastAsia="仿宋" w:cs="仿宋"/>
          <w:sz w:val="32"/>
          <w:szCs w:val="32"/>
        </w:rPr>
        <w:t>。</w:t>
      </w:r>
    </w:p>
    <w:p w:rsidRPr="003C684F" w:rsidR="009730C1" w:rsidRDefault="00A315B9" w14:paraId="3F36F917"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AFEAD44" w14:textId="58070F6D">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1.基于SANET-ep研究，推荐剂量为3</w:t>
      </w:r>
      <w:r w:rsidRPr="003C684F">
        <w:rPr>
          <w:rFonts w:ascii="仿宋" w:hAnsi="仿宋" w:eastAsia="仿宋" w:cs="仿宋"/>
          <w:sz w:val="32"/>
          <w:szCs w:val="32"/>
        </w:rPr>
        <w:t>00</w:t>
      </w:r>
      <w:r w:rsidRPr="003C684F">
        <w:rPr>
          <w:rFonts w:hint="eastAsia" w:ascii="仿宋" w:hAnsi="仿宋" w:eastAsia="仿宋" w:cs="仿宋"/>
          <w:sz w:val="32"/>
          <w:szCs w:val="32"/>
        </w:rPr>
        <w:t>mg</w:t>
      </w:r>
      <w:r w:rsidRPr="003C684F">
        <w:rPr>
          <w:rFonts w:hint="eastAsia" w:ascii="仿宋" w:hAnsi="仿宋" w:eastAsia="仿宋"/>
          <w:color w:val="000000"/>
          <w:sz w:val="32"/>
          <w:szCs w:val="32"/>
        </w:rPr>
        <w:t>/次</w:t>
      </w:r>
      <w:r w:rsidRPr="003C684F">
        <w:rPr>
          <w:rFonts w:hint="eastAsia" w:ascii="仿宋" w:hAnsi="仿宋" w:eastAsia="仿宋" w:cs="仿宋"/>
          <w:sz w:val="32"/>
          <w:szCs w:val="32"/>
        </w:rPr>
        <w:t>，每天一次，</w:t>
      </w:r>
      <w:r w:rsidRPr="003C684F" w:rsidR="009F1A53">
        <w:rPr>
          <w:rFonts w:hint="eastAsia" w:ascii="仿宋" w:hAnsi="仿宋" w:eastAsia="仿宋" w:cs="仿宋"/>
          <w:sz w:val="32"/>
          <w:szCs w:val="32"/>
        </w:rPr>
        <w:t>口服，</w:t>
      </w:r>
      <w:r w:rsidRPr="003C684F">
        <w:rPr>
          <w:rFonts w:hint="eastAsia" w:ascii="仿宋" w:hAnsi="仿宋" w:eastAsia="仿宋" w:cs="仿宋"/>
          <w:sz w:val="32"/>
          <w:szCs w:val="32"/>
        </w:rPr>
        <w:t>连续服药（每4周为一个治疗周期）。可随低脂餐（</w:t>
      </w:r>
      <w:r w:rsidRPr="003C684F">
        <w:rPr>
          <w:rFonts w:ascii="仿宋" w:hAnsi="仿宋" w:eastAsia="仿宋" w:cs="仿宋"/>
          <w:sz w:val="32"/>
          <w:szCs w:val="32"/>
        </w:rPr>
        <w:t>500</w:t>
      </w:r>
      <w:r w:rsidRPr="003C684F">
        <w:rPr>
          <w:rFonts w:hint="eastAsia" w:ascii="仿宋" w:hAnsi="仿宋" w:eastAsia="仿宋" w:cs="仿宋"/>
          <w:sz w:val="32"/>
          <w:szCs w:val="32"/>
        </w:rPr>
        <w:t>千卡，约</w:t>
      </w:r>
      <w:r w:rsidRPr="003C684F">
        <w:rPr>
          <w:rFonts w:ascii="仿宋" w:hAnsi="仿宋" w:eastAsia="仿宋" w:cs="仿宋"/>
          <w:sz w:val="32"/>
          <w:szCs w:val="32"/>
        </w:rPr>
        <w:t>20</w:t>
      </w:r>
      <w:r w:rsidRPr="003C684F">
        <w:rPr>
          <w:rFonts w:eastAsia="仿宋"/>
          <w:sz w:val="32"/>
          <w:szCs w:val="32"/>
        </w:rPr>
        <w:t>%</w:t>
      </w:r>
      <w:r w:rsidRPr="003C684F">
        <w:rPr>
          <w:rFonts w:hint="eastAsia" w:eastAsia="仿宋"/>
          <w:sz w:val="32"/>
          <w:szCs w:val="32"/>
        </w:rPr>
        <w:t>脂肪）</w:t>
      </w:r>
      <w:r w:rsidRPr="003C684F">
        <w:rPr>
          <w:rFonts w:hint="eastAsia" w:ascii="仿宋" w:hAnsi="仿宋" w:eastAsia="仿宋" w:cs="仿宋"/>
          <w:sz w:val="32"/>
          <w:szCs w:val="32"/>
        </w:rPr>
        <w:t>同服或空腹口服，需整粒吞服。</w:t>
      </w:r>
      <w:r w:rsidRPr="003C684F" w:rsidR="00216BA0">
        <w:rPr>
          <w:rFonts w:hint="eastAsia" w:ascii="仿宋" w:hAnsi="仿宋" w:eastAsia="仿宋" w:cs="仿宋"/>
          <w:sz w:val="32"/>
          <w:szCs w:val="32"/>
        </w:rPr>
        <w:t>建议每天同一时段服药,如果服药后患者呕吐,无需补服;漏服剂量，不应在次日加服，应按常规服用下一次处方剂量。</w:t>
      </w:r>
    </w:p>
    <w:p w:rsidRPr="003C684F" w:rsidR="009730C1" w:rsidRDefault="00A315B9" w14:paraId="5749CF3C" w14:textId="3C06BFB2">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在用药过程中根据患者个体的安全性和耐受性调整用药，包括暂停用药、降低剂量或永久停用。</w:t>
      </w:r>
    </w:p>
    <w:p w:rsidRPr="003C684F" w:rsidR="009730C1" w:rsidRDefault="00A315B9" w14:paraId="45A02037" w14:textId="25963A1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暂停用药后，如4周内不良反应恢复至≤</w:t>
      </w:r>
      <w:r w:rsidRPr="003C684F">
        <w:rPr>
          <w:rFonts w:ascii="仿宋" w:hAnsi="仿宋" w:eastAsia="仿宋" w:cs="仿宋"/>
          <w:sz w:val="32"/>
          <w:szCs w:val="32"/>
        </w:rPr>
        <w:t>1</w:t>
      </w:r>
      <w:r w:rsidRPr="003C684F">
        <w:rPr>
          <w:rFonts w:hint="eastAsia" w:ascii="仿宋" w:hAnsi="仿宋" w:eastAsia="仿宋" w:cs="仿宋"/>
          <w:sz w:val="32"/>
          <w:szCs w:val="32"/>
        </w:rPr>
        <w:t>级，建议在医生指导下调整剂量：第1次剂量调整至2</w:t>
      </w:r>
      <w:r w:rsidRPr="003C684F">
        <w:rPr>
          <w:rFonts w:ascii="仿宋" w:hAnsi="仿宋" w:eastAsia="仿宋" w:cs="仿宋"/>
          <w:sz w:val="32"/>
          <w:szCs w:val="32"/>
        </w:rPr>
        <w:t>50</w:t>
      </w:r>
      <w:r w:rsidRPr="003C684F">
        <w:rPr>
          <w:rFonts w:hint="eastAsia" w:ascii="仿宋" w:hAnsi="仿宋" w:eastAsia="仿宋" w:cs="仿宋"/>
          <w:sz w:val="32"/>
          <w:szCs w:val="32"/>
        </w:rPr>
        <w:t>mg</w:t>
      </w:r>
      <w:r w:rsidRPr="003C684F" w:rsidR="009F1A53">
        <w:rPr>
          <w:rFonts w:hint="eastAsia" w:ascii="仿宋" w:hAnsi="仿宋" w:eastAsia="仿宋" w:cs="仿宋"/>
          <w:sz w:val="32"/>
          <w:szCs w:val="32"/>
        </w:rPr>
        <w:t>/次，每天一次</w:t>
      </w:r>
      <w:r w:rsidRPr="003C684F">
        <w:rPr>
          <w:rFonts w:hint="eastAsia" w:ascii="仿宋" w:hAnsi="仿宋" w:eastAsia="仿宋" w:cs="仿宋"/>
          <w:sz w:val="32"/>
          <w:szCs w:val="32"/>
        </w:rPr>
        <w:t>；第2次剂量调整至每天2</w:t>
      </w:r>
      <w:r w:rsidRPr="003C684F">
        <w:rPr>
          <w:rFonts w:ascii="仿宋" w:hAnsi="仿宋" w:eastAsia="仿宋" w:cs="仿宋"/>
          <w:sz w:val="32"/>
          <w:szCs w:val="32"/>
        </w:rPr>
        <w:t>00</w:t>
      </w:r>
      <w:r w:rsidRPr="003C684F">
        <w:rPr>
          <w:rFonts w:hint="eastAsia" w:ascii="仿宋" w:hAnsi="仿宋" w:eastAsia="仿宋" w:cs="仿宋"/>
          <w:sz w:val="32"/>
          <w:szCs w:val="32"/>
        </w:rPr>
        <w:t>mg</w:t>
      </w:r>
      <w:r w:rsidRPr="003C684F" w:rsidR="009F1A53">
        <w:rPr>
          <w:rFonts w:hint="eastAsia" w:ascii="仿宋" w:hAnsi="仿宋" w:eastAsia="仿宋" w:cs="仿宋"/>
          <w:sz w:val="32"/>
          <w:szCs w:val="32"/>
        </w:rPr>
        <w:t>/次，每天一次</w:t>
      </w:r>
      <w:r w:rsidRPr="003C684F">
        <w:rPr>
          <w:rFonts w:hint="eastAsia" w:ascii="仿宋" w:hAnsi="仿宋" w:eastAsia="仿宋" w:cs="仿宋"/>
          <w:sz w:val="32"/>
          <w:szCs w:val="32"/>
        </w:rPr>
        <w:t>；若仍不耐受，则可考虑2</w:t>
      </w:r>
      <w:r w:rsidRPr="003C684F">
        <w:rPr>
          <w:rFonts w:ascii="仿宋" w:hAnsi="仿宋" w:eastAsia="仿宋" w:cs="仿宋"/>
          <w:sz w:val="32"/>
          <w:szCs w:val="32"/>
        </w:rPr>
        <w:t>00</w:t>
      </w:r>
      <w:r w:rsidRPr="003C684F">
        <w:rPr>
          <w:rFonts w:hint="eastAsia" w:ascii="仿宋" w:hAnsi="仿宋" w:eastAsia="仿宋" w:cs="仿宋"/>
          <w:sz w:val="32"/>
          <w:szCs w:val="32"/>
        </w:rPr>
        <w:t>mg</w:t>
      </w:r>
      <w:r w:rsidRPr="003C684F" w:rsidR="009F1A53">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9F1A53">
        <w:rPr>
          <w:rFonts w:hint="eastAsia" w:ascii="仿宋" w:hAnsi="仿宋" w:eastAsia="仿宋" w:cs="仿宋"/>
          <w:sz w:val="32"/>
          <w:szCs w:val="32"/>
        </w:rPr>
        <w:t>，</w:t>
      </w:r>
      <w:r w:rsidRPr="003C684F">
        <w:rPr>
          <w:rFonts w:hint="eastAsia" w:ascii="仿宋" w:hAnsi="仿宋" w:eastAsia="仿宋" w:cs="仿宋"/>
          <w:sz w:val="32"/>
          <w:szCs w:val="32"/>
        </w:rPr>
        <w:t>服药</w:t>
      </w:r>
      <w:r w:rsidRPr="003C684F">
        <w:rPr>
          <w:rFonts w:ascii="仿宋" w:hAnsi="仿宋" w:eastAsia="仿宋" w:cs="仿宋"/>
          <w:sz w:val="32"/>
          <w:szCs w:val="32"/>
        </w:rPr>
        <w:t>3</w:t>
      </w:r>
      <w:r w:rsidRPr="003C684F">
        <w:rPr>
          <w:rFonts w:hint="eastAsia" w:ascii="仿宋" w:hAnsi="仿宋" w:eastAsia="仿宋" w:cs="仿宋"/>
          <w:sz w:val="32"/>
          <w:szCs w:val="32"/>
        </w:rPr>
        <w:t>周停药1周或</w:t>
      </w:r>
      <w:r w:rsidRPr="003C684F" w:rsidR="00373DC1">
        <w:rPr>
          <w:rFonts w:hint="eastAsia" w:ascii="仿宋" w:hAnsi="仿宋" w:eastAsia="仿宋" w:cs="仿宋"/>
          <w:sz w:val="32"/>
          <w:szCs w:val="32"/>
        </w:rPr>
        <w:t>永久停用</w:t>
      </w:r>
      <w:r w:rsidRPr="003C684F">
        <w:rPr>
          <w:rFonts w:hint="eastAsia" w:ascii="仿宋" w:hAnsi="仿宋" w:eastAsia="仿宋" w:cs="仿宋"/>
          <w:sz w:val="32"/>
          <w:szCs w:val="32"/>
        </w:rPr>
        <w:t>。</w:t>
      </w:r>
    </w:p>
    <w:p w:rsidRPr="003C684F" w:rsidR="009730C1" w:rsidRDefault="00A315B9" w14:paraId="2B00BBA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目前尚无对肝肾功能损伤患者影响的相关数据，轻度肾功能损伤患者无需调整起始剂量，中重度肾功能损伤患者须在医生指导下慎用本品，轻中度肝功能损伤患者须在医生指导下慎用本品并严密监测肝功能，重度肝功能损伤患者禁用。</w:t>
      </w:r>
    </w:p>
    <w:p w:rsidRPr="003C684F" w:rsidR="009730C1" w:rsidRDefault="00A315B9" w14:paraId="562B5E5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严重活动性出血、活动性消化道溃疡、未愈合的胃肠穿孔或消化道瘘患者禁用。妊娠、哺乳期妇女禁用。</w:t>
      </w:r>
    </w:p>
    <w:p w:rsidRPr="003C684F" w:rsidR="009730C1" w:rsidRDefault="00A315B9" w14:paraId="58D0032E"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目前尚无本品用于1</w:t>
      </w:r>
      <w:r w:rsidRPr="003C684F">
        <w:rPr>
          <w:rFonts w:ascii="仿宋" w:hAnsi="仿宋" w:eastAsia="仿宋" w:cs="仿宋"/>
          <w:sz w:val="32"/>
          <w:szCs w:val="32"/>
        </w:rPr>
        <w:t>8</w:t>
      </w:r>
      <w:r w:rsidRPr="003C684F">
        <w:rPr>
          <w:rFonts w:hint="eastAsia" w:ascii="仿宋" w:hAnsi="仿宋" w:eastAsia="仿宋" w:cs="仿宋"/>
          <w:sz w:val="32"/>
          <w:szCs w:val="32"/>
        </w:rPr>
        <w:t>岁以下儿童或青少年患者的临</w:t>
      </w:r>
      <w:r w:rsidRPr="003C684F">
        <w:rPr>
          <w:rFonts w:hint="eastAsia" w:ascii="仿宋" w:hAnsi="仿宋" w:eastAsia="仿宋" w:cs="仿宋"/>
          <w:sz w:val="32"/>
          <w:szCs w:val="32"/>
        </w:rPr>
        <w:lastRenderedPageBreak/>
        <w:t>床数据，不建议服用本品。建议老年患者（</w:t>
      </w:r>
      <w:r w:rsidRPr="003C684F">
        <w:rPr>
          <w:rFonts w:ascii="仿宋" w:hAnsi="仿宋" w:eastAsia="仿宋" w:cs="仿宋"/>
          <w:sz w:val="32"/>
          <w:szCs w:val="32"/>
        </w:rPr>
        <w:t>≥</w:t>
      </w:r>
      <w:r w:rsidRPr="003C684F">
        <w:rPr>
          <w:rFonts w:hint="eastAsia" w:ascii="仿宋" w:hAnsi="仿宋" w:eastAsia="仿宋" w:cs="仿宋"/>
          <w:sz w:val="32"/>
          <w:szCs w:val="32"/>
        </w:rPr>
        <w:t>6</w:t>
      </w:r>
      <w:r w:rsidRPr="003C684F">
        <w:rPr>
          <w:rFonts w:ascii="仿宋" w:hAnsi="仿宋" w:eastAsia="仿宋" w:cs="仿宋"/>
          <w:sz w:val="32"/>
          <w:szCs w:val="32"/>
        </w:rPr>
        <w:t>5</w:t>
      </w:r>
      <w:r w:rsidRPr="003C684F">
        <w:rPr>
          <w:rFonts w:hint="eastAsia" w:ascii="仿宋" w:hAnsi="仿宋" w:eastAsia="仿宋" w:cs="仿宋"/>
          <w:sz w:val="32"/>
          <w:szCs w:val="32"/>
        </w:rPr>
        <w:t>岁）应在医生指导下慎用本品，无需调整起始剂量。</w:t>
      </w:r>
    </w:p>
    <w:p w:rsidRPr="003C684F" w:rsidR="009730C1" w:rsidRDefault="00A315B9" w14:paraId="3F16DD0B"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7.</w:t>
      </w:r>
      <w:r w:rsidRPr="003C684F">
        <w:rPr>
          <w:rFonts w:hint="eastAsia" w:ascii="仿宋" w:hAnsi="仿宋" w:eastAsia="仿宋" w:cs="仿宋"/>
          <w:sz w:val="32"/>
          <w:szCs w:val="32"/>
        </w:rPr>
        <w:t>用药期间必须注意常见的不良反应，包括蛋白尿、高血压、血胆红素升高、腹泻、血白蛋白降低、血甘油三酯升高、AST/ALT升高、血促甲状腺激素升高、腹痛、疲乏/乏力、血尿酸升高、出血和骨骼肌肉疼痛。</w:t>
      </w:r>
    </w:p>
    <w:p w:rsidRPr="003C684F" w:rsidR="009730C1" w:rsidRDefault="00A315B9" w14:paraId="6B2AC6F6" w14:textId="384A0106">
      <w:pPr>
        <w:spacing w:line="360" w:lineRule="auto"/>
        <w:ind w:firstLine="640" w:firstLineChars="200"/>
        <w:rPr>
          <w:rFonts w:ascii="仿宋" w:hAnsi="仿宋" w:eastAsia="仿宋" w:cs="仿宋"/>
          <w:color w:val="FF0000"/>
          <w:sz w:val="32"/>
          <w:szCs w:val="32"/>
        </w:rPr>
      </w:pPr>
      <w:r w:rsidRPr="003C684F">
        <w:rPr>
          <w:rFonts w:ascii="仿宋" w:hAnsi="仿宋" w:eastAsia="仿宋" w:cs="仿宋"/>
          <w:sz w:val="32"/>
          <w:szCs w:val="32"/>
        </w:rPr>
        <w:t>8.</w:t>
      </w:r>
      <w:r w:rsidRPr="003C684F">
        <w:rPr>
          <w:rFonts w:hint="eastAsia" w:ascii="仿宋" w:hAnsi="仿宋" w:eastAsia="仿宋" w:cs="仿宋"/>
          <w:sz w:val="32"/>
          <w:szCs w:val="32"/>
        </w:rPr>
        <w:t>应避免或慎重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使用CYP3A4/5抑制剂、诱导剂或底物。</w:t>
      </w:r>
    </w:p>
    <w:p w:rsidRPr="003C684F" w:rsidR="009730C1" w:rsidP="0037660B" w:rsidRDefault="00A315B9" w14:paraId="631FAEA5"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s="黑体"/>
          <w:sz w:val="32"/>
          <w:szCs w:val="32"/>
        </w:rPr>
        <w:t>二十二、贝伐珠单抗 B</w:t>
      </w:r>
      <w:r w:rsidRPr="003C684F">
        <w:rPr>
          <w:rFonts w:ascii="黑体" w:hAnsi="黑体" w:eastAsia="黑体" w:cs="黑体"/>
          <w:sz w:val="32"/>
          <w:szCs w:val="32"/>
        </w:rPr>
        <w:t>evacizumab</w:t>
      </w:r>
    </w:p>
    <w:p w:rsidRPr="003C684F" w:rsidR="009730C1" w:rsidRDefault="00A315B9" w14:paraId="517BE3B4" w14:textId="58A630AB">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w:t>
      </w:r>
      <w:r w:rsidRPr="003C684F" w:rsidR="00775896">
        <w:rPr>
          <w:rFonts w:hint="eastAsia" w:ascii="仿宋" w:hAnsi="仿宋" w:eastAsia="仿宋" w:cs="仿宋"/>
          <w:sz w:val="32"/>
          <w:szCs w:val="32"/>
        </w:rPr>
        <w:t>剂</w:t>
      </w:r>
      <w:r w:rsidRPr="003C684F">
        <w:rPr>
          <w:rFonts w:hint="eastAsia" w:ascii="仿宋" w:hAnsi="仿宋" w:eastAsia="仿宋" w:cs="仿宋"/>
          <w:sz w:val="32"/>
          <w:szCs w:val="32"/>
        </w:rPr>
        <w:t>：</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4ml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r w:rsidRPr="003C684F" w:rsidR="008F61D2">
        <w:rPr>
          <w:rFonts w:hint="eastAsia" w:ascii="仿宋" w:hAnsi="仿宋" w:eastAsia="仿宋" w:cs="仿宋"/>
          <w:sz w:val="32"/>
          <w:szCs w:val="32"/>
        </w:rPr>
        <w:t>、400mg（16ml）/瓶</w:t>
      </w:r>
    </w:p>
    <w:p w:rsidRPr="003C684F" w:rsidR="009730C1" w:rsidRDefault="00A315B9" w14:paraId="18DB6296" w14:textId="77777777">
      <w:pPr>
        <w:spacing w:line="360" w:lineRule="auto"/>
        <w:ind w:firstLine="643" w:firstLineChars="200"/>
        <w:rPr>
          <w:rFonts w:ascii="仿宋" w:hAnsi="仿宋" w:eastAsia="仿宋"/>
          <w:b/>
          <w:bCs/>
          <w:sz w:val="32"/>
          <w:szCs w:val="32"/>
        </w:rPr>
      </w:pPr>
      <w:r w:rsidRPr="003C684F">
        <w:rPr>
          <w:rFonts w:hint="eastAsia" w:ascii="仿宋" w:hAnsi="仿宋" w:eastAsia="仿宋" w:cs="仿宋"/>
          <w:b/>
          <w:bCs/>
          <w:sz w:val="32"/>
          <w:szCs w:val="32"/>
        </w:rPr>
        <w:t>适应证：</w:t>
      </w:r>
    </w:p>
    <w:p w:rsidRPr="003C684F" w:rsidR="009730C1" w:rsidRDefault="00A315B9" w14:paraId="3361C113"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贝伐珠单抗联合</w:t>
      </w:r>
      <w:r w:rsidRPr="003C684F">
        <w:rPr>
          <w:rFonts w:ascii="仿宋" w:hAnsi="仿宋" w:eastAsia="仿宋" w:cs="仿宋"/>
          <w:sz w:val="32"/>
          <w:szCs w:val="32"/>
        </w:rPr>
        <w:t>以氟</w:t>
      </w:r>
      <w:r w:rsidRPr="003C684F">
        <w:rPr>
          <w:rFonts w:hint="eastAsia" w:ascii="仿宋" w:hAnsi="仿宋" w:eastAsia="仿宋" w:cs="仿宋"/>
          <w:sz w:val="32"/>
          <w:szCs w:val="32"/>
        </w:rPr>
        <w:t>尿</w:t>
      </w:r>
      <w:r w:rsidRPr="003C684F">
        <w:rPr>
          <w:rFonts w:ascii="仿宋" w:hAnsi="仿宋" w:eastAsia="仿宋" w:cs="仿宋"/>
          <w:sz w:val="32"/>
          <w:szCs w:val="32"/>
        </w:rPr>
        <w:t>嘧啶为基础的化疗适用于转移性结直肠癌患者的治疗。</w:t>
      </w:r>
    </w:p>
    <w:p w:rsidRPr="003C684F" w:rsidR="009730C1" w:rsidRDefault="00A315B9" w14:paraId="4838D2AA"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sidR="000B7689">
        <w:rPr>
          <w:rFonts w:hint="eastAsia" w:ascii="仿宋" w:hAnsi="仿宋" w:eastAsia="仿宋" w:cs="仿宋"/>
          <w:sz w:val="32"/>
          <w:szCs w:val="32"/>
        </w:rPr>
        <w:t>贝伐珠单抗（不同厂家此项适应证有差异）联合阿替利珠单抗或信迪利单抗治疗既往未接受过全身系统性治疗的不可切除肝细胞癌患者</w:t>
      </w:r>
      <w:r w:rsidRPr="003C684F">
        <w:rPr>
          <w:rFonts w:hint="eastAsia" w:ascii="仿宋" w:hAnsi="仿宋" w:eastAsia="仿宋" w:cs="仿宋"/>
          <w:sz w:val="32"/>
          <w:szCs w:val="32"/>
        </w:rPr>
        <w:t>。</w:t>
      </w:r>
    </w:p>
    <w:p w:rsidRPr="003C684F" w:rsidR="009730C1" w:rsidRDefault="00A315B9" w14:paraId="46F698A7" w14:textId="77777777">
      <w:pPr>
        <w:spacing w:line="360" w:lineRule="auto"/>
        <w:ind w:firstLine="643" w:firstLineChars="200"/>
        <w:rPr>
          <w:rFonts w:ascii="仿宋" w:hAnsi="仿宋" w:eastAsia="仿宋"/>
          <w:b/>
          <w:bCs/>
          <w:sz w:val="32"/>
          <w:szCs w:val="32"/>
        </w:rPr>
      </w:pPr>
      <w:r w:rsidRPr="003C684F">
        <w:rPr>
          <w:rFonts w:hint="eastAsia" w:ascii="仿宋" w:hAnsi="仿宋" w:eastAsia="仿宋" w:cs="仿宋"/>
          <w:b/>
          <w:bCs/>
          <w:sz w:val="32"/>
          <w:szCs w:val="32"/>
        </w:rPr>
        <w:t>合理用药要点：</w:t>
      </w:r>
    </w:p>
    <w:p w:rsidRPr="003C684F" w:rsidR="009730C1" w:rsidRDefault="00A315B9" w14:paraId="7D4B10C9" w14:textId="77777777">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1.转移性结直肠癌患者的一、二线治疗，可选择贝伐珠单抗+化疗。</w:t>
      </w:r>
    </w:p>
    <w:p w:rsidRPr="003C684F" w:rsidR="009730C1" w:rsidRDefault="00A315B9" w14:paraId="43CFF238" w14:textId="77777777">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t>2.一线接受含贝伐珠单抗方案治疗疾病控制后，随后给予贝伐珠单抗+氟尿嘧啶类药物维持直至疾病进展。</w:t>
      </w:r>
    </w:p>
    <w:p w:rsidRPr="003C684F" w:rsidR="009730C1" w:rsidRDefault="00A315B9" w14:paraId="1B8C2A49" w14:textId="12C8B899">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color w:val="000000"/>
          <w:sz w:val="32"/>
          <w:szCs w:val="32"/>
        </w:rPr>
        <w:lastRenderedPageBreak/>
        <w:t>3.一线使用贝伐珠单抗治疗疾病进展的患者，二线转换化疗方案后可继续</w:t>
      </w:r>
      <w:r w:rsidRPr="003C684F" w:rsidR="00DE313C">
        <w:rPr>
          <w:rFonts w:hint="eastAsia" w:ascii="仿宋" w:hAnsi="仿宋" w:eastAsia="仿宋" w:cs="仿宋"/>
          <w:color w:val="000000"/>
          <w:sz w:val="32"/>
          <w:szCs w:val="32"/>
        </w:rPr>
        <w:t>联合使用</w:t>
      </w:r>
      <w:r w:rsidRPr="003C684F">
        <w:rPr>
          <w:rFonts w:hint="eastAsia" w:ascii="仿宋" w:hAnsi="仿宋" w:eastAsia="仿宋" w:cs="仿宋"/>
          <w:color w:val="000000"/>
          <w:sz w:val="32"/>
          <w:szCs w:val="32"/>
        </w:rPr>
        <w:t>贝伐珠单抗治疗直至疾病再次进展。</w:t>
      </w:r>
    </w:p>
    <w:p w:rsidRPr="003C684F" w:rsidR="009730C1" w:rsidRDefault="00A315B9" w14:paraId="6B3EE11F" w14:textId="5AF48394">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转移性结直肠癌</w:t>
      </w:r>
      <w:r w:rsidRPr="003C684F">
        <w:rPr>
          <w:rFonts w:ascii="仿宋" w:hAnsi="仿宋" w:eastAsia="仿宋" w:cs="仿宋"/>
          <w:sz w:val="32"/>
          <w:szCs w:val="32"/>
        </w:rPr>
        <w:t>贝伐珠单抗的推荐剂量为：联合化疗方案时，5mg/kg，每</w:t>
      </w:r>
      <w:r w:rsidRPr="003C684F" w:rsidR="009B5B90">
        <w:rPr>
          <w:rFonts w:ascii="仿宋" w:hAnsi="仿宋" w:eastAsia="仿宋" w:cs="仿宋"/>
          <w:sz w:val="32"/>
          <w:szCs w:val="32"/>
        </w:rPr>
        <w:t>2周</w:t>
      </w:r>
      <w:r w:rsidRPr="003C684F" w:rsidR="00945632">
        <w:rPr>
          <w:rFonts w:ascii="仿宋" w:hAnsi="仿宋" w:eastAsia="仿宋" w:cs="仿宋"/>
          <w:sz w:val="32"/>
          <w:szCs w:val="32"/>
        </w:rPr>
        <w:t>一次</w:t>
      </w:r>
      <w:r w:rsidRPr="003C684F">
        <w:rPr>
          <w:rFonts w:ascii="仿宋" w:hAnsi="仿宋" w:eastAsia="仿宋" w:cs="仿宋"/>
          <w:sz w:val="32"/>
          <w:szCs w:val="32"/>
        </w:rPr>
        <w:t>，或7.5mg/kg，</w:t>
      </w:r>
      <w:r w:rsidRPr="003C684F" w:rsidR="0071399F">
        <w:rPr>
          <w:rFonts w:ascii="仿宋" w:hAnsi="仿宋" w:eastAsia="仿宋" w:cs="仿宋"/>
          <w:sz w:val="32"/>
          <w:szCs w:val="32"/>
        </w:rPr>
        <w:t>每3周一次</w:t>
      </w:r>
      <w:r w:rsidRPr="003C684F" w:rsidR="00C17FDD">
        <w:rPr>
          <w:rFonts w:hint="eastAsia" w:ascii="仿宋" w:hAnsi="仿宋" w:eastAsia="仿宋" w:cs="仿宋"/>
          <w:sz w:val="32"/>
          <w:szCs w:val="32"/>
        </w:rPr>
        <w:t>，静脉输注。</w:t>
      </w:r>
      <w:r w:rsidRPr="003C684F">
        <w:rPr>
          <w:rFonts w:hint="eastAsia" w:ascii="仿宋" w:hAnsi="仿宋" w:eastAsia="仿宋" w:cs="仿宋"/>
          <w:sz w:val="32"/>
          <w:szCs w:val="32"/>
        </w:rPr>
        <w:t>不推荐降低贝伐珠单抗的使用剂量。</w:t>
      </w:r>
    </w:p>
    <w:p w:rsidRPr="003C684F" w:rsidR="009730C1" w:rsidRDefault="00A315B9" w14:paraId="664F61B6" w14:textId="3B315D4E">
      <w:pPr>
        <w:spacing w:line="360" w:lineRule="auto"/>
        <w:ind w:firstLine="640" w:firstLineChars="200"/>
        <w:rPr>
          <w:rFonts w:ascii="仿宋" w:hAnsi="仿宋" w:eastAsia="仿宋"/>
          <w:sz w:val="32"/>
          <w:szCs w:val="32"/>
        </w:rPr>
      </w:pPr>
      <w:r w:rsidRPr="003C684F">
        <w:rPr>
          <w:rFonts w:ascii="仿宋" w:hAnsi="仿宋" w:eastAsia="仿宋"/>
          <w:sz w:val="32"/>
          <w:szCs w:val="32"/>
        </w:rPr>
        <w:t>5.</w:t>
      </w:r>
      <w:r w:rsidRPr="003C684F">
        <w:rPr>
          <w:rFonts w:hint="eastAsia" w:ascii="仿宋" w:hAnsi="仿宋" w:eastAsia="仿宋"/>
          <w:sz w:val="32"/>
          <w:szCs w:val="32"/>
        </w:rPr>
        <w:t>本品</w:t>
      </w:r>
      <w:r w:rsidRPr="003C684F" w:rsidR="004B4C01">
        <w:rPr>
          <w:rFonts w:hint="eastAsia" w:ascii="仿宋" w:hAnsi="仿宋" w:eastAsia="仿宋"/>
          <w:sz w:val="32"/>
          <w:szCs w:val="32"/>
        </w:rPr>
        <w:t>与阿替利珠单抗或信迪利单抗</w:t>
      </w:r>
      <w:r w:rsidRPr="003C684F" w:rsidR="00F92328">
        <w:rPr>
          <w:rFonts w:hint="eastAsia" w:ascii="仿宋" w:hAnsi="仿宋" w:eastAsia="仿宋"/>
          <w:sz w:val="32"/>
          <w:szCs w:val="32"/>
        </w:rPr>
        <w:t>联合使用</w:t>
      </w:r>
      <w:r w:rsidRPr="003C684F" w:rsidR="004B4C01">
        <w:rPr>
          <w:rFonts w:hint="eastAsia" w:ascii="仿宋" w:hAnsi="仿宋" w:eastAsia="仿宋"/>
          <w:sz w:val="32"/>
          <w:szCs w:val="32"/>
        </w:rPr>
        <w:t>治疗肝细胞癌时，推荐剂量为15mg/kg静脉输注，每3周一次，在同一天阿替利珠单抗或信迪利单抗给药后进行。</w:t>
      </w:r>
    </w:p>
    <w:p w:rsidRPr="003C684F" w:rsidR="009730C1" w:rsidRDefault="00A315B9" w14:paraId="0E648246" w14:textId="28D86B27">
      <w:pPr>
        <w:spacing w:line="360" w:lineRule="auto"/>
        <w:ind w:firstLine="640" w:firstLineChars="200"/>
        <w:rPr>
          <w:rFonts w:ascii="仿宋" w:hAnsi="仿宋" w:eastAsia="仿宋"/>
          <w:color w:val="000000"/>
          <w:sz w:val="32"/>
          <w:szCs w:val="32"/>
        </w:rPr>
      </w:pPr>
      <w:r w:rsidRPr="003C684F">
        <w:rPr>
          <w:rFonts w:ascii="仿宋" w:hAnsi="仿宋" w:eastAsia="仿宋" w:cs="仿宋"/>
          <w:color w:val="000000"/>
          <w:sz w:val="32"/>
          <w:szCs w:val="32"/>
        </w:rPr>
        <w:t>6.</w:t>
      </w:r>
      <w:r w:rsidRPr="003C684F">
        <w:rPr>
          <w:rFonts w:hint="eastAsia" w:ascii="仿宋" w:hAnsi="仿宋" w:eastAsia="仿宋" w:cs="仿宋"/>
          <w:color w:val="000000"/>
          <w:sz w:val="32"/>
          <w:szCs w:val="32"/>
        </w:rPr>
        <w:t>贝伐珠单抗稀释后首次静脉输注时间需持续</w:t>
      </w:r>
      <w:r w:rsidRPr="003C684F">
        <w:rPr>
          <w:rFonts w:ascii="仿宋" w:hAnsi="仿宋" w:eastAsia="仿宋" w:cs="仿宋"/>
          <w:color w:val="000000"/>
          <w:sz w:val="32"/>
          <w:szCs w:val="32"/>
        </w:rPr>
        <w:t>90</w:t>
      </w:r>
      <w:r w:rsidRPr="003C684F">
        <w:rPr>
          <w:rFonts w:hint="eastAsia" w:ascii="仿宋" w:hAnsi="仿宋" w:eastAsia="仿宋" w:cs="仿宋"/>
          <w:color w:val="000000"/>
          <w:sz w:val="32"/>
          <w:szCs w:val="32"/>
        </w:rPr>
        <w:t>分钟。如果第1次输注耐受性良好，则第2次输注的时间可以缩短到</w:t>
      </w:r>
      <w:r w:rsidRPr="003C684F">
        <w:rPr>
          <w:rFonts w:ascii="仿宋" w:hAnsi="仿宋" w:eastAsia="仿宋" w:cs="仿宋"/>
          <w:color w:val="000000"/>
          <w:sz w:val="32"/>
          <w:szCs w:val="32"/>
        </w:rPr>
        <w:t>60</w:t>
      </w:r>
      <w:r w:rsidRPr="003C684F">
        <w:rPr>
          <w:rFonts w:hint="eastAsia" w:ascii="仿宋" w:hAnsi="仿宋" w:eastAsia="仿宋" w:cs="仿宋"/>
          <w:color w:val="000000"/>
          <w:sz w:val="32"/>
          <w:szCs w:val="32"/>
        </w:rPr>
        <w:t>分钟。如果患者对</w:t>
      </w:r>
      <w:r w:rsidRPr="003C684F">
        <w:rPr>
          <w:rFonts w:ascii="仿宋" w:hAnsi="仿宋" w:eastAsia="仿宋" w:cs="仿宋"/>
          <w:color w:val="000000"/>
          <w:sz w:val="32"/>
          <w:szCs w:val="32"/>
        </w:rPr>
        <w:t>60</w:t>
      </w:r>
      <w:r w:rsidRPr="003C684F">
        <w:rPr>
          <w:rFonts w:hint="eastAsia" w:ascii="仿宋" w:hAnsi="仿宋" w:eastAsia="仿宋" w:cs="仿宋"/>
          <w:color w:val="000000"/>
          <w:sz w:val="32"/>
          <w:szCs w:val="32"/>
        </w:rPr>
        <w:t>分钟的输注也具有良好的耐受性，那么随后进行的所有输注都可以用</w:t>
      </w:r>
      <w:r w:rsidRPr="003C684F">
        <w:rPr>
          <w:rFonts w:ascii="仿宋" w:hAnsi="仿宋" w:eastAsia="仿宋" w:cs="仿宋"/>
          <w:color w:val="000000"/>
          <w:sz w:val="32"/>
          <w:szCs w:val="32"/>
        </w:rPr>
        <w:t>30</w:t>
      </w:r>
      <w:r w:rsidRPr="003C684F">
        <w:rPr>
          <w:rFonts w:hint="eastAsia" w:ascii="仿宋" w:hAnsi="仿宋" w:eastAsia="仿宋" w:cs="仿宋"/>
          <w:color w:val="000000"/>
          <w:sz w:val="32"/>
          <w:szCs w:val="32"/>
        </w:rPr>
        <w:t>分钟的时间完成。贝伐珠单抗不能采用静脉内推注或快速注射。</w:t>
      </w:r>
    </w:p>
    <w:p w:rsidRPr="003C684F" w:rsidR="009730C1" w:rsidRDefault="00A315B9" w14:paraId="40E67446" w14:textId="3067CF2E">
      <w:pPr>
        <w:spacing w:line="360" w:lineRule="auto"/>
        <w:ind w:firstLine="640" w:firstLineChars="200"/>
        <w:rPr>
          <w:rFonts w:ascii="仿宋" w:hAnsi="仿宋" w:eastAsia="仿宋"/>
          <w:color w:val="000000"/>
          <w:sz w:val="32"/>
          <w:szCs w:val="32"/>
        </w:rPr>
      </w:pPr>
      <w:r w:rsidRPr="003C684F">
        <w:rPr>
          <w:rFonts w:ascii="仿宋" w:hAnsi="仿宋" w:eastAsia="仿宋" w:cs="仿宋"/>
          <w:color w:val="000000"/>
          <w:sz w:val="32"/>
          <w:szCs w:val="32"/>
        </w:rPr>
        <w:t>7.</w:t>
      </w:r>
      <w:r w:rsidRPr="003C684F">
        <w:rPr>
          <w:rFonts w:hint="eastAsia" w:ascii="仿宋" w:hAnsi="仿宋" w:eastAsia="仿宋" w:cs="仿宋"/>
          <w:color w:val="000000"/>
          <w:sz w:val="32"/>
          <w:szCs w:val="32"/>
        </w:rPr>
        <w:t>在老年患者中应用时</w:t>
      </w:r>
      <w:r w:rsidRPr="003C684F" w:rsidR="00BD154E">
        <w:rPr>
          <w:rFonts w:hint="eastAsia" w:ascii="仿宋" w:hAnsi="仿宋" w:eastAsia="仿宋" w:cs="仿宋"/>
          <w:color w:val="000000"/>
          <w:sz w:val="32"/>
          <w:szCs w:val="32"/>
        </w:rPr>
        <w:t>无需</w:t>
      </w:r>
      <w:r w:rsidRPr="003C684F">
        <w:rPr>
          <w:rFonts w:hint="eastAsia" w:ascii="仿宋" w:hAnsi="仿宋" w:eastAsia="仿宋" w:cs="仿宋"/>
          <w:color w:val="000000"/>
          <w:sz w:val="32"/>
          <w:szCs w:val="32"/>
        </w:rPr>
        <w:t>进行剂量调整。</w:t>
      </w:r>
    </w:p>
    <w:p w:rsidRPr="003C684F" w:rsidR="009730C1" w:rsidRDefault="00A315B9" w14:paraId="640767C9" w14:textId="77777777">
      <w:pPr>
        <w:spacing w:line="360" w:lineRule="auto"/>
        <w:ind w:firstLine="640" w:firstLineChars="200"/>
        <w:rPr>
          <w:rFonts w:ascii="仿宋" w:hAnsi="仿宋" w:eastAsia="仿宋"/>
          <w:color w:val="000000"/>
          <w:sz w:val="32"/>
          <w:szCs w:val="32"/>
        </w:rPr>
      </w:pPr>
      <w:r w:rsidRPr="003C684F">
        <w:rPr>
          <w:rFonts w:ascii="仿宋" w:hAnsi="仿宋" w:eastAsia="仿宋" w:cs="仿宋"/>
          <w:color w:val="000000"/>
          <w:sz w:val="32"/>
          <w:szCs w:val="32"/>
        </w:rPr>
        <w:t>8.</w:t>
      </w:r>
      <w:r w:rsidRPr="003C684F">
        <w:rPr>
          <w:rFonts w:hint="eastAsia" w:ascii="仿宋" w:hAnsi="仿宋" w:eastAsia="仿宋" w:cs="仿宋"/>
          <w:color w:val="000000"/>
          <w:sz w:val="32"/>
          <w:szCs w:val="32"/>
        </w:rPr>
        <w:t>出现以下情况，停止使用贝伐珠单抗：胃肠道严重不良反应（胃肠道穿孔、胃肠道瘘形成、腹腔脓肿），涉及到内脏瘘形成；严重出血（例如需要干预治疗）；严重动脉血栓事件；高血压危象或高血压脑病；可逆性后部白质脑病综合征；肾病综合征；危及生命（4级）的静脉血栓栓塞事件。</w:t>
      </w:r>
    </w:p>
    <w:p w:rsidRPr="003C684F" w:rsidR="009730C1" w:rsidRDefault="00A315B9" w14:paraId="0B25795E" w14:textId="636651E5">
      <w:pPr>
        <w:spacing w:line="360" w:lineRule="auto"/>
        <w:ind w:firstLine="640" w:firstLineChars="200"/>
        <w:rPr>
          <w:rFonts w:ascii="仿宋" w:hAnsi="仿宋" w:eastAsia="仿宋" w:cs="仿宋"/>
          <w:color w:val="000000"/>
          <w:sz w:val="32"/>
          <w:szCs w:val="32"/>
        </w:rPr>
      </w:pPr>
      <w:r w:rsidRPr="003C684F">
        <w:rPr>
          <w:rFonts w:ascii="仿宋" w:hAnsi="仿宋" w:eastAsia="仿宋" w:cs="仿宋"/>
          <w:color w:val="000000"/>
          <w:sz w:val="32"/>
          <w:szCs w:val="32"/>
        </w:rPr>
        <w:t>9.</w:t>
      </w:r>
      <w:r w:rsidRPr="003C684F">
        <w:rPr>
          <w:rFonts w:hint="eastAsia" w:ascii="仿宋" w:hAnsi="仿宋" w:eastAsia="仿宋" w:cs="仿宋"/>
          <w:color w:val="000000"/>
          <w:sz w:val="32"/>
          <w:szCs w:val="32"/>
        </w:rPr>
        <w:t>如果出现以下状况，需暂停使用贝伐珠单抗：择期手术前</w:t>
      </w:r>
      <w:r w:rsidRPr="003C684F" w:rsidR="00CF17AA">
        <w:rPr>
          <w:rFonts w:hint="eastAsia" w:ascii="仿宋" w:hAnsi="仿宋" w:eastAsia="仿宋" w:cs="仿宋"/>
          <w:color w:val="000000"/>
          <w:sz w:val="32"/>
          <w:szCs w:val="32"/>
        </w:rPr>
        <w:t>4～6周</w:t>
      </w:r>
      <w:r w:rsidRPr="003C684F">
        <w:rPr>
          <w:rFonts w:hint="eastAsia" w:ascii="仿宋" w:hAnsi="仿宋" w:eastAsia="仿宋" w:cs="仿宋"/>
          <w:color w:val="000000"/>
          <w:sz w:val="32"/>
          <w:szCs w:val="32"/>
        </w:rPr>
        <w:t>；药物控制不良的严重高血压；中度到重度的</w:t>
      </w:r>
      <w:r w:rsidRPr="003C684F">
        <w:rPr>
          <w:rFonts w:hint="eastAsia" w:ascii="仿宋" w:hAnsi="仿宋" w:eastAsia="仿宋" w:cs="仿宋"/>
          <w:color w:val="000000"/>
          <w:sz w:val="32"/>
          <w:szCs w:val="32"/>
        </w:rPr>
        <w:lastRenderedPageBreak/>
        <w:t>蛋白尿需要进一步评估；严重输液反应；需要干预治疗的伤口裂开以及伤口愈合并发症（暂停用药至伤口完全愈合）。</w:t>
      </w:r>
    </w:p>
    <w:p w:rsidRPr="003C684F" w:rsidR="009C42EB" w:rsidP="009C42EB" w:rsidRDefault="009C42EB" w14:paraId="1F04A073" w14:textId="15045C0B">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最严重的药物不良反应是胃肠道穿孔和出血。临床安全性数据的分析结果提示接受贝伐珠单抗治疗时高血压和蛋白尿的发生可能具有剂量依赖性。在各临床试验中接受贝伐珠单抗治疗的患者，发生频率最高的药物不良反应包括高血压、疲劳或乏力、腹泻和腹痛。</w:t>
      </w:r>
    </w:p>
    <w:p w:rsidRPr="003C684F" w:rsidR="009730C1" w:rsidRDefault="00A315B9" w14:paraId="37ADBB7A" w14:textId="6EC94EC5">
      <w:pPr>
        <w:spacing w:line="360" w:lineRule="auto"/>
        <w:ind w:firstLine="640" w:firstLineChars="200"/>
        <w:rPr>
          <w:rFonts w:ascii="仿宋" w:hAnsi="仿宋" w:eastAsia="仿宋"/>
          <w:color w:val="000000"/>
          <w:sz w:val="32"/>
          <w:szCs w:val="32"/>
        </w:rPr>
      </w:pPr>
      <w:r w:rsidRPr="003C684F">
        <w:rPr>
          <w:rFonts w:ascii="仿宋" w:hAnsi="仿宋" w:eastAsia="仿宋" w:cs="仿宋"/>
          <w:color w:val="000000"/>
          <w:sz w:val="32"/>
          <w:szCs w:val="32"/>
        </w:rPr>
        <w:t>1</w:t>
      </w:r>
      <w:r w:rsidRPr="003C684F" w:rsidR="009C42EB">
        <w:rPr>
          <w:rFonts w:hint="eastAsia" w:ascii="仿宋" w:hAnsi="仿宋" w:eastAsia="仿宋" w:cs="仿宋"/>
          <w:color w:val="000000"/>
          <w:sz w:val="32"/>
          <w:szCs w:val="32"/>
        </w:rPr>
        <w:t>1</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不能将贝伐珠单抗输注液与右旋糖或葡萄糖溶液同时或混合给药。</w:t>
      </w:r>
    </w:p>
    <w:p w:rsidRPr="003C684F" w:rsidR="009730C1" w:rsidRDefault="00A315B9" w14:paraId="1EFE173B" w14:textId="150A913C">
      <w:pPr>
        <w:spacing w:line="360" w:lineRule="auto"/>
        <w:ind w:firstLine="640" w:firstLineChars="200"/>
        <w:rPr>
          <w:rFonts w:ascii="仿宋" w:hAnsi="仿宋" w:eastAsia="仿宋" w:cs="仿宋"/>
          <w:color w:val="000000"/>
          <w:sz w:val="32"/>
          <w:szCs w:val="32"/>
        </w:rPr>
      </w:pPr>
      <w:r w:rsidRPr="003C684F">
        <w:rPr>
          <w:rFonts w:ascii="仿宋" w:hAnsi="仿宋" w:eastAsia="仿宋" w:cs="仿宋"/>
          <w:color w:val="000000"/>
          <w:sz w:val="32"/>
          <w:szCs w:val="32"/>
        </w:rPr>
        <w:t>1</w:t>
      </w:r>
      <w:r w:rsidRPr="003C684F" w:rsidR="009C42EB">
        <w:rPr>
          <w:rFonts w:hint="eastAsia" w:ascii="仿宋" w:hAnsi="仿宋" w:eastAsia="仿宋" w:cs="仿宋"/>
          <w:color w:val="000000"/>
          <w:sz w:val="32"/>
          <w:szCs w:val="32"/>
        </w:rPr>
        <w:t>2</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贝伐珠单抗配制，用</w:t>
      </w:r>
      <w:r w:rsidRPr="003C684F">
        <w:rPr>
          <w:rFonts w:ascii="仿宋" w:hAnsi="仿宋" w:eastAsia="仿宋" w:cs="仿宋"/>
          <w:color w:val="000000"/>
          <w:sz w:val="32"/>
          <w:szCs w:val="32"/>
        </w:rPr>
        <w:t>0.9%</w:t>
      </w:r>
      <w:r w:rsidRPr="003C684F">
        <w:rPr>
          <w:rFonts w:hint="eastAsia" w:ascii="仿宋" w:hAnsi="仿宋" w:eastAsia="仿宋" w:cs="仿宋"/>
          <w:color w:val="000000"/>
          <w:sz w:val="32"/>
          <w:szCs w:val="32"/>
        </w:rPr>
        <w:t>氯化钠溶液稀释到需要的给药容积。贝伐珠单抗溶液的终浓度应该保持在</w:t>
      </w:r>
      <w:r w:rsidRPr="003C684F">
        <w:rPr>
          <w:rFonts w:ascii="仿宋" w:hAnsi="仿宋" w:eastAsia="仿宋" w:cs="仿宋"/>
          <w:color w:val="000000"/>
          <w:sz w:val="32"/>
          <w:szCs w:val="32"/>
        </w:rPr>
        <w:t>1.4</w:t>
      </w:r>
      <w:r w:rsidRPr="003C684F">
        <w:rPr>
          <w:rFonts w:hint="eastAsia" w:ascii="仿宋" w:hAnsi="仿宋" w:eastAsia="仿宋" w:cs="仿宋"/>
          <w:color w:val="000000"/>
          <w:sz w:val="32"/>
          <w:szCs w:val="32"/>
        </w:rPr>
        <w:t>～</w:t>
      </w:r>
      <w:r w:rsidRPr="003C684F">
        <w:rPr>
          <w:rFonts w:ascii="仿宋" w:hAnsi="仿宋" w:eastAsia="仿宋" w:cs="仿宋"/>
          <w:color w:val="000000"/>
          <w:sz w:val="32"/>
          <w:szCs w:val="32"/>
        </w:rPr>
        <w:t>16.5mg/ml</w:t>
      </w:r>
      <w:r w:rsidRPr="003C684F">
        <w:rPr>
          <w:rFonts w:hint="eastAsia" w:ascii="仿宋" w:hAnsi="仿宋" w:eastAsia="仿宋" w:cs="仿宋"/>
          <w:color w:val="000000"/>
          <w:sz w:val="32"/>
          <w:szCs w:val="32"/>
        </w:rPr>
        <w:t>之间。</w:t>
      </w:r>
    </w:p>
    <w:p w:rsidRPr="003C684F" w:rsidR="009730C1" w:rsidRDefault="00A315B9" w14:paraId="0A7BF9D4"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二十三、西妥昔单抗 C</w:t>
      </w:r>
      <w:r w:rsidRPr="003C684F">
        <w:rPr>
          <w:rFonts w:ascii="黑体" w:hAnsi="黑体" w:eastAsia="黑体" w:cs="黑体"/>
          <w:sz w:val="32"/>
          <w:szCs w:val="32"/>
        </w:rPr>
        <w:t>etuximab</w:t>
      </w:r>
    </w:p>
    <w:p w:rsidRPr="003C684F" w:rsidR="009730C1" w:rsidRDefault="00A315B9" w14:paraId="512BF50F"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w:t>
      </w:r>
      <w:r w:rsidRPr="003C684F" w:rsidR="00831366">
        <w:rPr>
          <w:rFonts w:hint="eastAsia" w:ascii="仿宋" w:hAnsi="仿宋" w:eastAsia="仿宋" w:cs="仿宋"/>
          <w:sz w:val="32"/>
          <w:szCs w:val="32"/>
        </w:rPr>
        <w:t>剂</w:t>
      </w:r>
      <w:r w:rsidRPr="003C684F">
        <w:rPr>
          <w:rFonts w:hint="eastAsia" w:ascii="仿宋" w:hAnsi="仿宋" w:eastAsia="仿宋" w:cs="仿宋"/>
          <w:sz w:val="32"/>
          <w:szCs w:val="32"/>
        </w:rPr>
        <w:t>：</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20ml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9730C1" w:rsidRDefault="00A315B9" w14:paraId="1E651F63" w14:textId="1AEEC045">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用于治疗RAS、BRAF基因野生型的转移性结直肠癌：与FOLFOX或FOLFIRI方案</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于一线治疗；与伊立替康</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于经含伊立替康治疗失败后的患者。</w:t>
      </w:r>
    </w:p>
    <w:p w:rsidRPr="003C684F" w:rsidR="009730C1" w:rsidRDefault="00A315B9" w14:paraId="2871D1C3"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188F38B"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用药前必须使用经过验证的方法检测</w:t>
      </w:r>
      <w:r w:rsidRPr="003C684F">
        <w:rPr>
          <w:rFonts w:ascii="仿宋" w:hAnsi="仿宋" w:eastAsia="仿宋" w:cs="仿宋"/>
          <w:sz w:val="32"/>
          <w:szCs w:val="32"/>
        </w:rPr>
        <w:t>RAS</w:t>
      </w:r>
      <w:r w:rsidRPr="003C684F">
        <w:rPr>
          <w:rFonts w:hint="eastAsia" w:ascii="仿宋" w:hAnsi="仿宋" w:eastAsia="仿宋" w:cs="仿宋"/>
          <w:sz w:val="32"/>
          <w:szCs w:val="32"/>
        </w:rPr>
        <w:t>基因状态，</w:t>
      </w:r>
      <w:r w:rsidRPr="003C684F">
        <w:rPr>
          <w:rFonts w:ascii="仿宋" w:hAnsi="仿宋" w:eastAsia="仿宋" w:cs="仿宋"/>
          <w:sz w:val="32"/>
          <w:szCs w:val="32"/>
        </w:rPr>
        <w:t>RAS</w:t>
      </w:r>
      <w:r w:rsidRPr="003C684F">
        <w:rPr>
          <w:rFonts w:hint="eastAsia" w:ascii="仿宋" w:hAnsi="仿宋" w:eastAsia="仿宋" w:cs="仿宋"/>
          <w:sz w:val="32"/>
          <w:szCs w:val="32"/>
        </w:rPr>
        <w:t>基因野生型是接受西妥昔单抗治疗的先决条件，本品不用于治疗</w:t>
      </w:r>
      <w:r w:rsidRPr="003C684F">
        <w:rPr>
          <w:rFonts w:ascii="仿宋" w:hAnsi="仿宋" w:eastAsia="仿宋" w:cs="仿宋"/>
          <w:sz w:val="32"/>
          <w:szCs w:val="32"/>
        </w:rPr>
        <w:t>RAS</w:t>
      </w:r>
      <w:r w:rsidRPr="003C684F">
        <w:rPr>
          <w:rFonts w:hint="eastAsia" w:ascii="仿宋" w:hAnsi="仿宋" w:eastAsia="仿宋" w:cs="仿宋"/>
          <w:sz w:val="32"/>
          <w:szCs w:val="32"/>
        </w:rPr>
        <w:t>基因突变型或</w:t>
      </w:r>
      <w:r w:rsidRPr="003C684F">
        <w:rPr>
          <w:rFonts w:ascii="仿宋" w:hAnsi="仿宋" w:eastAsia="仿宋" w:cs="仿宋"/>
          <w:sz w:val="32"/>
          <w:szCs w:val="32"/>
        </w:rPr>
        <w:t>RAS</w:t>
      </w:r>
      <w:r w:rsidRPr="003C684F">
        <w:rPr>
          <w:rFonts w:hint="eastAsia" w:ascii="仿宋" w:hAnsi="仿宋" w:eastAsia="仿宋" w:cs="仿宋"/>
          <w:sz w:val="32"/>
          <w:szCs w:val="32"/>
        </w:rPr>
        <w:t>状态不明的患者。</w:t>
      </w:r>
    </w:p>
    <w:p w:rsidRPr="003C684F" w:rsidR="009730C1" w:rsidRDefault="00A315B9" w14:paraId="6DF3DCD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转化性治疗：潜在可切除转移性结直肠癌患者，可选</w:t>
      </w:r>
      <w:r w:rsidRPr="003C684F">
        <w:rPr>
          <w:rFonts w:hint="eastAsia" w:ascii="仿宋" w:hAnsi="仿宋" w:eastAsia="仿宋" w:cs="仿宋"/>
          <w:sz w:val="32"/>
          <w:szCs w:val="32"/>
        </w:rPr>
        <w:lastRenderedPageBreak/>
        <w:t>择西妥昔单抗联合化疗（</w:t>
      </w:r>
      <w:r w:rsidRPr="003C684F">
        <w:rPr>
          <w:rFonts w:ascii="仿宋" w:hAnsi="仿宋" w:eastAsia="仿宋" w:cs="仿宋"/>
          <w:sz w:val="32"/>
          <w:szCs w:val="32"/>
        </w:rPr>
        <w:t>RAS</w:t>
      </w:r>
      <w:r w:rsidRPr="003C684F">
        <w:rPr>
          <w:rFonts w:hint="eastAsia" w:ascii="仿宋" w:hAnsi="仿宋" w:eastAsia="仿宋" w:cs="仿宋"/>
          <w:sz w:val="32"/>
          <w:szCs w:val="32"/>
        </w:rPr>
        <w:t>野生型）。</w:t>
      </w:r>
    </w:p>
    <w:p w:rsidRPr="003C684F" w:rsidR="009730C1" w:rsidRDefault="00A315B9" w14:paraId="3F6BC034"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姑息治疗：转移性结直肠癌患者（</w:t>
      </w:r>
      <w:r w:rsidRPr="003C684F">
        <w:rPr>
          <w:rFonts w:ascii="仿宋" w:hAnsi="仿宋" w:eastAsia="仿宋" w:cs="仿宋"/>
          <w:sz w:val="32"/>
          <w:szCs w:val="32"/>
        </w:rPr>
        <w:t>RAS</w:t>
      </w:r>
      <w:r w:rsidRPr="003C684F">
        <w:rPr>
          <w:rFonts w:hint="eastAsia" w:ascii="仿宋" w:hAnsi="仿宋" w:eastAsia="仿宋" w:cs="仿宋"/>
          <w:sz w:val="32"/>
          <w:szCs w:val="32"/>
        </w:rPr>
        <w:t>野生型）一、二线治疗，尤其是左半肠癌患者，可选择西妥昔单抗</w:t>
      </w:r>
      <w:r w:rsidRPr="003C684F">
        <w:rPr>
          <w:rFonts w:ascii="仿宋" w:hAnsi="仿宋" w:eastAsia="仿宋" w:cs="仿宋"/>
          <w:sz w:val="32"/>
          <w:szCs w:val="32"/>
        </w:rPr>
        <w:t>+</w:t>
      </w:r>
      <w:r w:rsidRPr="003C684F">
        <w:rPr>
          <w:rFonts w:hint="eastAsia" w:ascii="仿宋" w:hAnsi="仿宋" w:eastAsia="仿宋" w:cs="仿宋"/>
          <w:sz w:val="32"/>
          <w:szCs w:val="32"/>
        </w:rPr>
        <w:t>化疗。对一、二线治疗中没有使用西妥昔单抗的患者（</w:t>
      </w:r>
      <w:r w:rsidRPr="003C684F">
        <w:rPr>
          <w:rFonts w:ascii="仿宋" w:hAnsi="仿宋" w:eastAsia="仿宋" w:cs="仿宋"/>
          <w:sz w:val="32"/>
          <w:szCs w:val="32"/>
        </w:rPr>
        <w:t>RAS</w:t>
      </w:r>
      <w:r w:rsidRPr="003C684F">
        <w:rPr>
          <w:rFonts w:hint="eastAsia" w:ascii="仿宋" w:hAnsi="仿宋" w:eastAsia="仿宋" w:cs="仿宋"/>
          <w:sz w:val="32"/>
          <w:szCs w:val="32"/>
        </w:rPr>
        <w:t>野生型），可选择西妥昔单抗±伊立替康治疗。</w:t>
      </w:r>
    </w:p>
    <w:p w:rsidRPr="003C684F" w:rsidR="009730C1" w:rsidRDefault="00A315B9" w14:paraId="23B9693A" w14:textId="1B94C994">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如果初始使用西妥昔单抗治疗有效（CR/PR/SD），进展后接受不含西妥昔单抗的二线或后线治疗并再次发生进展时，</w:t>
      </w:r>
      <w:r w:rsidRPr="003C684F" w:rsidR="00B76094">
        <w:rPr>
          <w:rFonts w:hint="eastAsia" w:ascii="仿宋" w:hAnsi="仿宋" w:eastAsia="仿宋" w:cs="仿宋"/>
          <w:sz w:val="32"/>
          <w:szCs w:val="32"/>
        </w:rPr>
        <w:t>再次行基因检测，</w:t>
      </w:r>
      <w:r w:rsidRPr="003C684F">
        <w:rPr>
          <w:rFonts w:hint="eastAsia" w:ascii="仿宋" w:hAnsi="仿宋" w:eastAsia="仿宋" w:cs="仿宋"/>
          <w:sz w:val="32"/>
          <w:szCs w:val="32"/>
        </w:rPr>
        <w:t>如RAS基因仍为野生型，可考虑西妥昔单抗±伊立替康进行再挑战治疗。</w:t>
      </w:r>
    </w:p>
    <w:p w:rsidRPr="003C684F" w:rsidR="009730C1" w:rsidRDefault="00A315B9" w14:paraId="1B06A3D9" w14:textId="191E2571">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本品常可引起不同程度的皮肤毒性反应，主要表现为痤疮样皮疹，所有用药患者均需进行保湿和防晒的基本护肤。轻中度皮肤毒性反应无需调整剂量，发生重度皮肤毒性反应者，若是首次发生且中断治疗后反应缓解到2级或以下，无需调整剂量，后续再次发生重度皮肤反应，酌情减量或</w:t>
      </w:r>
      <w:r w:rsidRPr="003C684F" w:rsidR="00A24989">
        <w:rPr>
          <w:rFonts w:hint="eastAsia" w:ascii="仿宋" w:hAnsi="仿宋" w:eastAsia="仿宋" w:cs="仿宋"/>
          <w:sz w:val="32"/>
          <w:szCs w:val="32"/>
        </w:rPr>
        <w:t>永久停用</w:t>
      </w:r>
      <w:r w:rsidRPr="003C684F">
        <w:rPr>
          <w:rFonts w:hint="eastAsia" w:ascii="仿宋" w:hAnsi="仿宋" w:eastAsia="仿宋" w:cs="仿宋"/>
          <w:sz w:val="32"/>
          <w:szCs w:val="32"/>
        </w:rPr>
        <w:t>。</w:t>
      </w:r>
    </w:p>
    <w:p w:rsidRPr="003C684F" w:rsidR="009730C1" w:rsidRDefault="00A315B9" w14:paraId="68C88423" w14:textId="637D0095">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严重的输液反应发生率为1%以上，致死率低于</w:t>
      </w:r>
      <w:r w:rsidRPr="003C684F">
        <w:rPr>
          <w:rFonts w:ascii="仿宋" w:hAnsi="仿宋" w:eastAsia="仿宋" w:cs="仿宋"/>
          <w:sz w:val="32"/>
          <w:szCs w:val="32"/>
        </w:rPr>
        <w:t>0</w:t>
      </w:r>
      <w:r w:rsidRPr="003C684F">
        <w:rPr>
          <w:rFonts w:hint="eastAsia" w:ascii="仿宋" w:hAnsi="仿宋" w:eastAsia="仿宋" w:cs="仿宋"/>
          <w:sz w:val="32"/>
          <w:szCs w:val="32"/>
        </w:rPr>
        <w:t>.</w:t>
      </w:r>
      <w:r w:rsidRPr="003C684F">
        <w:rPr>
          <w:rFonts w:ascii="仿宋" w:hAnsi="仿宋" w:eastAsia="仿宋" w:cs="仿宋"/>
          <w:sz w:val="32"/>
          <w:szCs w:val="32"/>
        </w:rPr>
        <w:t>1%</w:t>
      </w:r>
      <w:r w:rsidRPr="003C684F">
        <w:rPr>
          <w:rFonts w:hint="eastAsia" w:ascii="仿宋" w:hAnsi="仿宋" w:eastAsia="仿宋" w:cs="仿宋"/>
          <w:sz w:val="32"/>
          <w:szCs w:val="32"/>
        </w:rPr>
        <w:t>。其中</w:t>
      </w:r>
      <w:r w:rsidRPr="003C684F">
        <w:rPr>
          <w:rFonts w:ascii="仿宋" w:hAnsi="仿宋" w:eastAsia="仿宋" w:cs="仿宋"/>
          <w:sz w:val="32"/>
          <w:szCs w:val="32"/>
        </w:rPr>
        <w:t>90%</w:t>
      </w:r>
      <w:r w:rsidRPr="003C684F">
        <w:rPr>
          <w:rFonts w:hint="eastAsia" w:ascii="仿宋" w:hAnsi="仿宋" w:eastAsia="仿宋" w:cs="仿宋"/>
          <w:sz w:val="32"/>
          <w:szCs w:val="32"/>
        </w:rPr>
        <w:t>发生于第1次使用时，以突发性气道梗阻、荨麻疹和低血压为特征。首次滴注本品之前，患者必须接受</w:t>
      </w:r>
      <w:r w:rsidR="00033474">
        <w:rPr>
          <w:rFonts w:hint="eastAsia" w:ascii="仿宋" w:hAnsi="仿宋" w:eastAsia="仿宋" w:cs="仿宋"/>
          <w:sz w:val="32"/>
          <w:szCs w:val="32"/>
        </w:rPr>
        <w:t>H</w:t>
      </w:r>
      <w:r w:rsidRPr="00033474" w:rsidR="00033474">
        <w:rPr>
          <w:rFonts w:hint="eastAsia" w:ascii="仿宋" w:hAnsi="仿宋" w:eastAsia="仿宋" w:cs="仿宋"/>
          <w:sz w:val="32"/>
          <w:szCs w:val="32"/>
          <w:vertAlign w:val="subscript"/>
        </w:rPr>
        <w:t>1</w:t>
      </w:r>
      <w:r w:rsidR="00033474">
        <w:rPr>
          <w:rFonts w:hint="eastAsia" w:ascii="仿宋" w:hAnsi="仿宋" w:eastAsia="仿宋" w:cs="仿宋"/>
          <w:sz w:val="32"/>
          <w:szCs w:val="32"/>
        </w:rPr>
        <w:t>受体阻滞剂</w:t>
      </w:r>
      <w:r w:rsidRPr="003C684F">
        <w:rPr>
          <w:rFonts w:hint="eastAsia" w:ascii="仿宋" w:hAnsi="仿宋" w:eastAsia="仿宋" w:cs="仿宋"/>
          <w:sz w:val="32"/>
          <w:szCs w:val="32"/>
        </w:rPr>
        <w:t>和糖皮质激素类药物的治疗，建议在随后每次使用本品之前都对患者进行这种治疗。</w:t>
      </w:r>
    </w:p>
    <w:p w:rsidRPr="003C684F" w:rsidR="009730C1" w:rsidRDefault="00A315B9" w14:paraId="6F82176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7.</w:t>
      </w:r>
      <w:r w:rsidRPr="003C684F">
        <w:rPr>
          <w:rFonts w:hint="eastAsia" w:ascii="仿宋" w:hAnsi="仿宋" w:eastAsia="仿宋" w:cs="仿宋"/>
          <w:sz w:val="32"/>
          <w:szCs w:val="32"/>
        </w:rPr>
        <w:t>仅对肝肾功能正常的患者（血清肌酐≤</w:t>
      </w:r>
      <w:r w:rsidRPr="003C684F">
        <w:rPr>
          <w:rFonts w:ascii="仿宋" w:hAnsi="仿宋" w:eastAsia="仿宋" w:cs="仿宋"/>
          <w:sz w:val="32"/>
          <w:szCs w:val="32"/>
        </w:rPr>
        <w:t>1.5</w:t>
      </w:r>
      <w:r w:rsidRPr="003C684F">
        <w:rPr>
          <w:rFonts w:hint="eastAsia" w:ascii="仿宋" w:hAnsi="仿宋" w:eastAsia="仿宋" w:cs="仿宋"/>
          <w:sz w:val="32"/>
          <w:szCs w:val="32"/>
        </w:rPr>
        <w:t>倍</w:t>
      </w:r>
      <w:r w:rsidRPr="003C684F">
        <w:rPr>
          <w:rFonts w:ascii="仿宋" w:hAnsi="仿宋" w:eastAsia="仿宋" w:cs="仿宋"/>
          <w:sz w:val="32"/>
          <w:szCs w:val="32"/>
        </w:rPr>
        <w:t>ULN</w:t>
      </w:r>
      <w:r w:rsidRPr="003C684F">
        <w:rPr>
          <w:rFonts w:hint="eastAsia" w:ascii="仿宋" w:hAnsi="仿宋" w:eastAsia="仿宋" w:cs="仿宋"/>
          <w:sz w:val="32"/>
          <w:szCs w:val="32"/>
        </w:rPr>
        <w:t>，转氨酶≤</w:t>
      </w:r>
      <w:r w:rsidRPr="003C684F">
        <w:rPr>
          <w:rFonts w:ascii="仿宋" w:hAnsi="仿宋" w:eastAsia="仿宋" w:cs="仿宋"/>
          <w:sz w:val="32"/>
          <w:szCs w:val="32"/>
        </w:rPr>
        <w:t>5</w:t>
      </w:r>
      <w:r w:rsidRPr="003C684F">
        <w:rPr>
          <w:rFonts w:hint="eastAsia" w:ascii="仿宋" w:hAnsi="仿宋" w:eastAsia="仿宋" w:cs="仿宋"/>
          <w:sz w:val="32"/>
          <w:szCs w:val="32"/>
        </w:rPr>
        <w:t>倍</w:t>
      </w:r>
      <w:r w:rsidRPr="003C684F">
        <w:rPr>
          <w:rFonts w:ascii="仿宋" w:hAnsi="仿宋" w:eastAsia="仿宋" w:cs="仿宋"/>
          <w:sz w:val="32"/>
          <w:szCs w:val="32"/>
        </w:rPr>
        <w:t>ULN</w:t>
      </w:r>
      <w:r w:rsidRPr="003C684F">
        <w:rPr>
          <w:rFonts w:hint="eastAsia" w:ascii="仿宋" w:hAnsi="仿宋" w:eastAsia="仿宋" w:cs="仿宋"/>
          <w:sz w:val="32"/>
          <w:szCs w:val="32"/>
        </w:rPr>
        <w:t>，胆红素≤</w:t>
      </w:r>
      <w:r w:rsidRPr="003C684F">
        <w:rPr>
          <w:rFonts w:ascii="仿宋" w:hAnsi="仿宋" w:eastAsia="仿宋" w:cs="仿宋"/>
          <w:sz w:val="32"/>
          <w:szCs w:val="32"/>
        </w:rPr>
        <w:t>1.5</w:t>
      </w:r>
      <w:r w:rsidRPr="003C684F">
        <w:rPr>
          <w:rFonts w:hint="eastAsia" w:ascii="仿宋" w:hAnsi="仿宋" w:eastAsia="仿宋" w:cs="仿宋"/>
          <w:sz w:val="32"/>
          <w:szCs w:val="32"/>
        </w:rPr>
        <w:t>倍</w:t>
      </w:r>
      <w:r w:rsidRPr="003C684F">
        <w:rPr>
          <w:rFonts w:ascii="仿宋" w:hAnsi="仿宋" w:eastAsia="仿宋" w:cs="仿宋"/>
          <w:sz w:val="32"/>
          <w:szCs w:val="32"/>
        </w:rPr>
        <w:t>ULN</w:t>
      </w:r>
      <w:r w:rsidRPr="003C684F">
        <w:rPr>
          <w:rFonts w:hint="eastAsia" w:ascii="仿宋" w:hAnsi="仿宋" w:eastAsia="仿宋" w:cs="仿宋"/>
          <w:sz w:val="32"/>
          <w:szCs w:val="32"/>
        </w:rPr>
        <w:t>）进行过本品的相关</w:t>
      </w:r>
      <w:r w:rsidRPr="003C684F">
        <w:rPr>
          <w:rFonts w:hint="eastAsia" w:ascii="仿宋" w:hAnsi="仿宋" w:eastAsia="仿宋" w:cs="仿宋"/>
          <w:sz w:val="32"/>
          <w:szCs w:val="32"/>
        </w:rPr>
        <w:lastRenderedPageBreak/>
        <w:t>研究。</w:t>
      </w:r>
    </w:p>
    <w:p w:rsidRPr="003C684F" w:rsidR="009730C1" w:rsidRDefault="00B76094" w14:paraId="6CC94281" w14:textId="60545FF5">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8.对西妥昔单抗有严重超敏反应（3级或4级）的患者禁用本品；在开始联合治疗前应考虑伊立替康的禁忌；使用本品期间如发生间质性肺炎，应禁止继续使用。有角膜炎、溃疡性角膜炎和严重干眼病史的应谨慎使用。</w:t>
      </w:r>
    </w:p>
    <w:p w:rsidRPr="003C684F" w:rsidR="009730C1" w:rsidP="0037660B" w:rsidRDefault="00A315B9" w14:paraId="00093897"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二十四、呋喹替尼 F</w:t>
      </w:r>
      <w:r w:rsidRPr="003C684F">
        <w:rPr>
          <w:rFonts w:ascii="黑体" w:hAnsi="黑体" w:eastAsia="黑体"/>
          <w:color w:val="000000"/>
          <w:sz w:val="32"/>
          <w:szCs w:val="32"/>
        </w:rPr>
        <w:t>ruquintinib</w:t>
      </w:r>
    </w:p>
    <w:p w:rsidRPr="003C684F" w:rsidR="009730C1" w:rsidRDefault="00A315B9" w14:paraId="7CCCB7B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硬胶囊剂：1mg、5mg</w:t>
      </w:r>
    </w:p>
    <w:p w:rsidRPr="003C684F" w:rsidR="009730C1" w:rsidRDefault="00A315B9" w14:paraId="54B0F6E5"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：本品单药适用于既往接受过氟尿嘧啶类、奥沙利铂和伊立替康为基础的化疗，以及既往接受过或不适合接受VEGF治疗、EGFR治疗（RAS野生型）的转移性结直肠癌（mCRC）患者。</w:t>
      </w:r>
    </w:p>
    <w:p w:rsidRPr="003C684F" w:rsidR="009730C1" w:rsidRDefault="00A315B9" w14:paraId="23FC89C8"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A3E884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1.用药前无需进行基因检测。</w:t>
      </w:r>
    </w:p>
    <w:p w:rsidRPr="003C684F" w:rsidR="009730C1" w:rsidRDefault="00A315B9" w14:paraId="3BFF2F10" w14:textId="5603B06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2.推荐剂量为5mg/次，每天一次</w:t>
      </w:r>
      <w:r w:rsidRPr="003C684F" w:rsidR="00706C91">
        <w:rPr>
          <w:rFonts w:hint="eastAsia" w:ascii="仿宋" w:hAnsi="仿宋" w:eastAsia="仿宋"/>
          <w:color w:val="000000"/>
          <w:sz w:val="32"/>
          <w:szCs w:val="32"/>
        </w:rPr>
        <w:t>，口服，</w:t>
      </w:r>
      <w:r w:rsidRPr="003C684F">
        <w:rPr>
          <w:rFonts w:hint="eastAsia" w:ascii="仿宋" w:hAnsi="仿宋" w:eastAsia="仿宋"/>
          <w:color w:val="000000"/>
          <w:sz w:val="32"/>
          <w:szCs w:val="32"/>
        </w:rPr>
        <w:t>连续服药3周，随后停药1周（每4周为一个治疗周期）。持续按治疗周期服药，直至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呋喹替尼可与食物同服或空腹口服，需整粒吞服。建议每天</w:t>
      </w:r>
      <w:r w:rsidRPr="003C684F" w:rsidR="00D36563">
        <w:rPr>
          <w:rFonts w:hint="eastAsia" w:ascii="仿宋" w:hAnsi="仿宋" w:eastAsia="仿宋"/>
          <w:color w:val="000000"/>
          <w:sz w:val="32"/>
          <w:szCs w:val="32"/>
        </w:rPr>
        <w:t>同一时间</w:t>
      </w:r>
      <w:r w:rsidRPr="003C684F">
        <w:rPr>
          <w:rFonts w:hint="eastAsia" w:ascii="仿宋" w:hAnsi="仿宋" w:eastAsia="仿宋"/>
          <w:color w:val="000000"/>
          <w:sz w:val="32"/>
          <w:szCs w:val="32"/>
        </w:rPr>
        <w:t>服药，如果服药后患者呕吐，无需补服；漏服剂量，不应在次日加服，应按常规服用下一次处方剂量。</w:t>
      </w:r>
    </w:p>
    <w:p w:rsidRPr="003C684F" w:rsidR="009730C1" w:rsidRDefault="00A315B9" w14:paraId="47BD4AC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3.中国人群常见的不良反应（发生率≥20%）为高血压、蛋白尿、手足皮肤反应、发声困难、出血、转氨酶升高、甲状腺功能检查异常、腹痛/腹部不适、口腔黏膜炎、疲乏/乏</w:t>
      </w:r>
      <w:r w:rsidRPr="003C684F">
        <w:rPr>
          <w:rFonts w:hint="eastAsia" w:ascii="仿宋" w:hAnsi="仿宋" w:eastAsia="仿宋"/>
          <w:color w:val="000000"/>
          <w:sz w:val="32"/>
          <w:szCs w:val="32"/>
        </w:rPr>
        <w:lastRenderedPageBreak/>
        <w:t>力、腹泻、感染、血胆红素升高以及食欲下降。目前尚未有药物性肝功能损伤的报告。</w:t>
      </w:r>
    </w:p>
    <w:p w:rsidRPr="003C684F" w:rsidR="009730C1" w:rsidRDefault="00A315B9" w14:paraId="43EACFE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4.严重活动性出血、活动性消化性溃疡、未愈合的胃肠穿孔、消化道瘘患者禁用。重度肝肾功能损伤患者禁用。妊娠、哺乳期妇女禁用。</w:t>
      </w:r>
    </w:p>
    <w:p w:rsidRPr="003C684F" w:rsidR="009730C1" w:rsidRDefault="00A315B9" w14:paraId="22374E7A"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5.对本品任何成分过敏者禁用。</w:t>
      </w:r>
    </w:p>
    <w:p w:rsidRPr="003C684F" w:rsidR="009730C1" w:rsidRDefault="00A315B9" w14:paraId="3ECA6B92"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6.目前尚无本品药物相互作用的临床资料。</w:t>
      </w:r>
    </w:p>
    <w:p w:rsidRPr="003C684F" w:rsidR="009730C1" w:rsidP="0037660B" w:rsidRDefault="00A315B9" w14:paraId="768DA44A"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二十五、恩沃利单抗 E</w:t>
      </w:r>
      <w:r w:rsidRPr="003C684F">
        <w:rPr>
          <w:rFonts w:ascii="黑体" w:hAnsi="黑体" w:eastAsia="黑体"/>
          <w:color w:val="000000"/>
          <w:sz w:val="32"/>
          <w:szCs w:val="32"/>
        </w:rPr>
        <w:t>nvafolimab</w:t>
      </w:r>
    </w:p>
    <w:p w:rsidRPr="003C684F" w:rsidR="009730C1" w:rsidRDefault="00A315B9" w14:paraId="32E4AC6F"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235C81">
        <w:rPr>
          <w:rFonts w:hint="eastAsia" w:ascii="仿宋" w:hAnsi="仿宋" w:eastAsia="仿宋"/>
          <w:color w:val="000000"/>
          <w:sz w:val="32"/>
          <w:szCs w:val="32"/>
        </w:rPr>
        <w:t>剂</w:t>
      </w:r>
      <w:r w:rsidRPr="003C684F">
        <w:rPr>
          <w:rFonts w:hint="eastAsia" w:ascii="仿宋" w:hAnsi="仿宋" w:eastAsia="仿宋"/>
          <w:color w:val="000000"/>
          <w:sz w:val="32"/>
          <w:szCs w:val="32"/>
        </w:rPr>
        <w:t>：</w:t>
      </w:r>
      <w:r w:rsidRPr="003C684F">
        <w:rPr>
          <w:rFonts w:ascii="仿宋" w:hAnsi="仿宋" w:eastAsia="仿宋"/>
          <w:color w:val="000000"/>
          <w:sz w:val="32"/>
          <w:szCs w:val="32"/>
        </w:rPr>
        <w:t>2</w:t>
      </w:r>
      <w:r w:rsidRPr="003C684F">
        <w:rPr>
          <w:rFonts w:hint="eastAsia" w:ascii="仿宋" w:hAnsi="仿宋" w:eastAsia="仿宋"/>
          <w:color w:val="000000"/>
          <w:sz w:val="32"/>
          <w:szCs w:val="32"/>
        </w:rPr>
        <w:t>00mg（</w:t>
      </w:r>
      <w:r w:rsidRPr="003C684F">
        <w:rPr>
          <w:rFonts w:ascii="仿宋" w:hAnsi="仿宋" w:eastAsia="仿宋"/>
          <w:color w:val="000000"/>
          <w:sz w:val="32"/>
          <w:szCs w:val="32"/>
        </w:rPr>
        <w:t>1</w:t>
      </w:r>
      <w:r w:rsidRPr="003C684F">
        <w:rPr>
          <w:rFonts w:hint="eastAsia" w:ascii="仿宋" w:hAnsi="仿宋" w:eastAsia="仿宋"/>
          <w:color w:val="000000"/>
          <w:sz w:val="32"/>
          <w:szCs w:val="32"/>
        </w:rPr>
        <w:t>ml）/瓶</w:t>
      </w:r>
    </w:p>
    <w:p w:rsidRPr="003C684F" w:rsidR="009730C1" w:rsidRDefault="00A315B9" w14:paraId="09B7FA6A" w14:textId="77777777">
      <w:pPr>
        <w:spacing w:line="360" w:lineRule="auto"/>
        <w:ind w:firstLine="643" w:firstLineChars="200"/>
        <w:rPr>
          <w:rFonts w:ascii="仿宋" w:hAnsi="仿宋" w:eastAsia="仿宋"/>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sz w:val="32"/>
          <w:szCs w:val="32"/>
        </w:rPr>
        <w:t>适用于不可切除或转移性高度微卫星不稳定型或错配修复基因缺陷型的成人晚期实体瘤患者：既往经过氟尿嘧啶类、奥沙利铂和伊立替康治疗后出现疾病进展的晚期结直肠癌患者；既往治疗后出现疾病进展且无满意替代治疗方案的其他晚期实体瘤患者。</w:t>
      </w:r>
    </w:p>
    <w:p w:rsidRPr="003C684F" w:rsidR="009730C1" w:rsidRDefault="00A315B9" w14:paraId="720E710C"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F13D092" w14:textId="64620802">
      <w:pPr>
        <w:spacing w:line="360" w:lineRule="auto"/>
        <w:ind w:firstLine="640" w:firstLineChars="200"/>
        <w:rPr>
          <w:rFonts w:ascii="仿宋" w:hAnsi="仿宋" w:eastAsia="仿宋"/>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w:t>
      </w:r>
      <w:r w:rsidRPr="003C684F" w:rsidR="00D36714">
        <w:rPr>
          <w:rFonts w:hint="eastAsia" w:ascii="仿宋" w:hAnsi="仿宋" w:eastAsia="仿宋"/>
          <w:color w:val="000000"/>
          <w:sz w:val="32"/>
          <w:szCs w:val="32"/>
        </w:rPr>
        <w:t>恩沃利单抗</w:t>
      </w:r>
      <w:r w:rsidRPr="003C684F">
        <w:rPr>
          <w:rFonts w:hint="eastAsia" w:ascii="仿宋" w:hAnsi="仿宋" w:eastAsia="仿宋" w:cs="仿宋"/>
          <w:sz w:val="32"/>
          <w:szCs w:val="32"/>
        </w:rPr>
        <w:t>获批的剂量</w:t>
      </w:r>
      <w:r w:rsidRPr="003C684F">
        <w:rPr>
          <w:rFonts w:hint="eastAsia" w:ascii="仿宋" w:hAnsi="仿宋" w:eastAsia="仿宋"/>
          <w:color w:val="000000"/>
          <w:sz w:val="32"/>
          <w:szCs w:val="32"/>
        </w:rPr>
        <w:t>是</w:t>
      </w:r>
      <w:r w:rsidRPr="003C684F">
        <w:rPr>
          <w:rFonts w:ascii="仿宋" w:hAnsi="仿宋" w:eastAsia="仿宋"/>
          <w:color w:val="000000"/>
          <w:sz w:val="32"/>
          <w:szCs w:val="32"/>
        </w:rPr>
        <w:t>15</w:t>
      </w:r>
      <w:r w:rsidRPr="003C684F">
        <w:rPr>
          <w:rFonts w:hint="eastAsia" w:ascii="仿宋" w:hAnsi="仿宋" w:eastAsia="仿宋"/>
          <w:color w:val="000000"/>
          <w:sz w:val="32"/>
          <w:szCs w:val="32"/>
        </w:rPr>
        <w:t>0mg</w:t>
      </w:r>
      <w:r w:rsidRPr="003C684F" w:rsidR="00D36714">
        <w:rPr>
          <w:rFonts w:hint="eastAsia" w:ascii="仿宋" w:hAnsi="仿宋" w:eastAsia="仿宋"/>
          <w:color w:val="000000"/>
          <w:sz w:val="32"/>
          <w:szCs w:val="32"/>
        </w:rPr>
        <w:t>/次</w:t>
      </w:r>
      <w:r w:rsidRPr="003C684F">
        <w:rPr>
          <w:rFonts w:hint="eastAsia" w:ascii="仿宋" w:hAnsi="仿宋" w:eastAsia="仿宋"/>
          <w:color w:val="000000"/>
          <w:sz w:val="32"/>
          <w:szCs w:val="32"/>
        </w:rPr>
        <w:t>，每周一次</w:t>
      </w:r>
      <w:r w:rsidRPr="003C684F" w:rsidR="00D36714">
        <w:rPr>
          <w:rFonts w:hint="eastAsia" w:ascii="仿宋" w:hAnsi="仿宋" w:eastAsia="仿宋"/>
          <w:color w:val="000000"/>
          <w:sz w:val="32"/>
          <w:szCs w:val="32"/>
        </w:rPr>
        <w:t>，</w:t>
      </w:r>
      <w:r w:rsidRPr="003C684F" w:rsidR="00D36714">
        <w:rPr>
          <w:rFonts w:hint="eastAsia" w:ascii="仿宋" w:hAnsi="仿宋" w:eastAsia="仿宋"/>
          <w:sz w:val="32"/>
          <w:szCs w:val="32"/>
        </w:rPr>
        <w:t>皮下注射</w:t>
      </w:r>
      <w:r w:rsidRPr="003C684F" w:rsidR="00B2101B">
        <w:rPr>
          <w:rFonts w:hint="eastAsia" w:ascii="仿宋" w:hAnsi="仿宋" w:eastAsia="仿宋"/>
          <w:sz w:val="32"/>
          <w:szCs w:val="32"/>
        </w:rPr>
        <w:t>，或300mg/次，每2周一次</w:t>
      </w:r>
      <w:r w:rsidRPr="003C684F" w:rsidR="00897D23">
        <w:rPr>
          <w:rFonts w:hint="eastAsia" w:ascii="仿宋" w:hAnsi="仿宋" w:eastAsia="仿宋"/>
          <w:sz w:val="32"/>
          <w:szCs w:val="32"/>
        </w:rPr>
        <w:t>，皮下注射</w:t>
      </w:r>
      <w:r w:rsidRPr="003C684F" w:rsidR="00B2101B">
        <w:rPr>
          <w:rFonts w:hint="eastAsia" w:ascii="仿宋" w:hAnsi="仿宋" w:eastAsia="仿宋"/>
          <w:sz w:val="32"/>
          <w:szCs w:val="32"/>
        </w:rPr>
        <w:t>。</w:t>
      </w:r>
    </w:p>
    <w:p w:rsidRPr="003C684F" w:rsidR="009730C1" w:rsidRDefault="00A315B9" w14:paraId="26354A95" w14:textId="23A69349">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.该适应证是基于2项共计390例接受过至少一次恩沃利单抗单药治疗患者的临床试验结果的替代终点获得附条件批准上市，暂未获得临床终点数据，</w:t>
      </w:r>
      <w:r w:rsidRPr="003C684F" w:rsidR="007F3658">
        <w:rPr>
          <w:rFonts w:hint="eastAsia" w:ascii="仿宋" w:hAnsi="仿宋" w:eastAsia="仿宋"/>
          <w:color w:val="000000"/>
          <w:sz w:val="32"/>
          <w:szCs w:val="32"/>
        </w:rPr>
        <w:t>安全性和有效性</w:t>
      </w:r>
      <w:r w:rsidRPr="003C684F">
        <w:rPr>
          <w:rFonts w:hint="eastAsia" w:ascii="仿宋" w:hAnsi="仿宋" w:eastAsia="仿宋"/>
          <w:color w:val="000000"/>
          <w:sz w:val="32"/>
          <w:szCs w:val="32"/>
        </w:rPr>
        <w:t>尚待上市后进一步确证。</w:t>
      </w:r>
    </w:p>
    <w:p w:rsidRPr="003C684F" w:rsidR="009730C1" w:rsidRDefault="00A315B9" w14:paraId="657AEBED"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只要观察到临床获益，应继续</w:t>
      </w:r>
      <w:r w:rsidRPr="003C684F">
        <w:rPr>
          <w:rFonts w:hint="eastAsia" w:ascii="仿宋" w:hAnsi="仿宋" w:eastAsia="仿宋"/>
          <w:color w:val="000000"/>
          <w:sz w:val="32"/>
          <w:szCs w:val="32"/>
        </w:rPr>
        <w:t>恩沃利单抗</w:t>
      </w:r>
      <w:r w:rsidRPr="003C684F">
        <w:rPr>
          <w:rFonts w:hint="eastAsia" w:ascii="仿宋" w:hAnsi="仿宋" w:eastAsia="仿宋" w:cs="仿宋"/>
          <w:sz w:val="32"/>
          <w:szCs w:val="32"/>
        </w:rPr>
        <w:t>治疗，直至</w:t>
      </w:r>
      <w:r w:rsidRPr="003C684F">
        <w:rPr>
          <w:rFonts w:hint="eastAsia" w:ascii="仿宋" w:hAnsi="仿宋" w:eastAsia="仿宋" w:cs="仿宋"/>
          <w:sz w:val="32"/>
          <w:szCs w:val="32"/>
        </w:rPr>
        <w:lastRenderedPageBreak/>
        <w:t>患者不能耐受，</w:t>
      </w:r>
      <w:r w:rsidRPr="003C684F">
        <w:rPr>
          <w:rFonts w:hint="eastAsia" w:ascii="仿宋" w:hAnsi="仿宋" w:eastAsia="仿宋"/>
          <w:color w:val="000000"/>
          <w:sz w:val="32"/>
          <w:szCs w:val="32"/>
        </w:rPr>
        <w:t>有可能观察到非典型反应。如果患者临床症状稳定或持续减轻，即使有影像学疾病进展的初步证据，基于总体临床获益的判断，可考虑继续应用本品治疗，直至证实疾病进展。</w:t>
      </w:r>
    </w:p>
    <w:p w:rsidRPr="003C684F" w:rsidR="009730C1" w:rsidRDefault="00A315B9" w14:paraId="37B9CCF9" w14:textId="25CCD8CE">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4</w:t>
      </w:r>
      <w:r w:rsidRPr="003C684F">
        <w:rPr>
          <w:rFonts w:hint="eastAsia" w:ascii="仿宋" w:hAnsi="仿宋" w:eastAsia="仿宋"/>
          <w:color w:val="000000"/>
          <w:sz w:val="32"/>
          <w:szCs w:val="32"/>
        </w:rPr>
        <w:t>.根据个体患者的安全性和耐受性，可能需要暂停给药或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6DF9392E" w14:textId="21DC653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.发生4级或复发性3级不良反应，虽然进行治疗调整但仍持续存在2级或3级不良反应，应永久停用恩沃利单抗。如果出现任何重度、复发的免疫相关性不良反应以及任何危及生命的免疫相关性不良反应，必须永久停</w:t>
      </w:r>
      <w:r w:rsidRPr="003C684F" w:rsidR="00DA6519">
        <w:rPr>
          <w:rFonts w:hint="eastAsia" w:ascii="仿宋" w:hAnsi="仿宋" w:eastAsia="仿宋"/>
          <w:color w:val="000000"/>
          <w:sz w:val="32"/>
          <w:szCs w:val="32"/>
        </w:rPr>
        <w:t>用</w:t>
      </w:r>
      <w:r w:rsidRPr="003C684F">
        <w:rPr>
          <w:rFonts w:hint="eastAsia" w:ascii="仿宋" w:hAnsi="仿宋" w:eastAsia="仿宋"/>
          <w:color w:val="000000"/>
          <w:sz w:val="32"/>
          <w:szCs w:val="32"/>
        </w:rPr>
        <w:t>恩沃利单抗。</w:t>
      </w:r>
    </w:p>
    <w:p w:rsidRPr="003C684F" w:rsidR="009730C1" w:rsidRDefault="00A315B9" w14:paraId="0D1399EB"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.老年患者（≥</w:t>
      </w:r>
      <w:r w:rsidRPr="003C684F">
        <w:rPr>
          <w:rFonts w:ascii="仿宋" w:hAnsi="仿宋" w:eastAsia="仿宋"/>
          <w:color w:val="000000"/>
          <w:sz w:val="32"/>
          <w:szCs w:val="32"/>
        </w:rPr>
        <w:t>65岁）建议在医生的指导下慎用，如需使用，无需调整剂量。</w:t>
      </w:r>
      <w:r w:rsidRPr="003C684F">
        <w:rPr>
          <w:rFonts w:hint="eastAsia" w:ascii="仿宋" w:hAnsi="仿宋" w:eastAsia="仿宋"/>
          <w:color w:val="000000"/>
          <w:sz w:val="32"/>
          <w:szCs w:val="32"/>
        </w:rPr>
        <w:t>轻度肾功能损伤患者应在医生指导下慎用本品，如需使用，无需调整剂量，中重度肾功能损伤患者不推荐使用。轻度肝功能损伤患者应在医生指导下慎用本品，如需使用，无需调整剂量，中重度肝功能损伤患者不推荐使用。</w:t>
      </w:r>
    </w:p>
    <w:p w:rsidRPr="003C684F" w:rsidR="009730C1" w:rsidRDefault="00A315B9" w14:paraId="440477C1" w14:textId="500FCC5C">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7</w:t>
      </w:r>
      <w:r w:rsidRPr="003C684F">
        <w:rPr>
          <w:rFonts w:hint="eastAsia" w:ascii="仿宋" w:hAnsi="仿宋" w:eastAsia="仿宋"/>
          <w:color w:val="000000"/>
          <w:sz w:val="32"/>
          <w:szCs w:val="32"/>
        </w:rPr>
        <w:t>.本品</w:t>
      </w:r>
      <w:r w:rsidRPr="003C684F" w:rsidR="008C6481">
        <w:rPr>
          <w:rFonts w:hint="eastAsia" w:ascii="仿宋" w:hAnsi="仿宋" w:eastAsia="仿宋"/>
          <w:color w:val="000000"/>
          <w:sz w:val="32"/>
          <w:szCs w:val="32"/>
        </w:rPr>
        <w:t>被</w:t>
      </w:r>
      <w:r w:rsidRPr="003C684F">
        <w:rPr>
          <w:rFonts w:hint="eastAsia" w:ascii="仿宋" w:hAnsi="仿宋" w:eastAsia="仿宋"/>
          <w:color w:val="000000"/>
          <w:sz w:val="32"/>
          <w:szCs w:val="32"/>
        </w:rPr>
        <w:t>注射的部位必须没有活动性皮肤病，包括晒伤、皮疹、发炎、感染、牛皮癣活跃区、纹身和疤痕等。注射速度建议不应快于0.06ml/s[按推荐剂量150mg（0.75ml）计算，注射时间不应少于13秒]。</w:t>
      </w:r>
    </w:p>
    <w:p w:rsidRPr="003C684F" w:rsidR="009730C1" w:rsidRDefault="00A315B9" w14:paraId="7A730778" w14:textId="1A66DFBF">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8</w:t>
      </w:r>
      <w:r w:rsidRPr="003C684F">
        <w:rPr>
          <w:rFonts w:hint="eastAsia" w:ascii="仿宋" w:hAnsi="仿宋" w:eastAsia="仿宋"/>
          <w:color w:val="000000"/>
          <w:sz w:val="32"/>
          <w:szCs w:val="32"/>
        </w:rPr>
        <w:t>.对于1～2级注射部位反应，通常</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停药。根据临床需要予以对症治疗，并密切观察。对于3～4级注射部位</w:t>
      </w:r>
      <w:r w:rsidRPr="003C684F">
        <w:rPr>
          <w:rFonts w:hint="eastAsia" w:ascii="仿宋" w:hAnsi="仿宋" w:eastAsia="仿宋"/>
          <w:color w:val="000000"/>
          <w:sz w:val="32"/>
          <w:szCs w:val="32"/>
        </w:rPr>
        <w:lastRenderedPageBreak/>
        <w:t>反应，应</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，给予适当的药物治疗，并密切监测患者临床症状及体征直至缓解。对于1级超敏反应，通常</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停药，予以密切观察和监测。对于2级超敏反应，应立即停止本品给药。予以苯海拉明50mg伴或不伴地塞米松10mg静脉输注，并监测患者直至症状消失。根据观察到的反应强烈程度，应该在下一周期的治疗中提前给予</w:t>
      </w:r>
      <w:r w:rsidR="00033474">
        <w:rPr>
          <w:rFonts w:hint="eastAsia" w:ascii="仿宋" w:hAnsi="仿宋" w:eastAsia="仿宋"/>
          <w:color w:val="000000"/>
          <w:sz w:val="32"/>
          <w:szCs w:val="32"/>
        </w:rPr>
        <w:t>H</w:t>
      </w:r>
      <w:r w:rsidRPr="00033474" w:rsidR="00033474">
        <w:rPr>
          <w:rFonts w:hint="eastAsia" w:ascii="仿宋" w:hAnsi="仿宋" w:eastAsia="仿宋"/>
          <w:color w:val="000000"/>
          <w:sz w:val="32"/>
          <w:szCs w:val="32"/>
          <w:vertAlign w:val="subscript"/>
        </w:rPr>
        <w:t>1</w:t>
      </w:r>
      <w:r w:rsidR="00033474">
        <w:rPr>
          <w:rFonts w:hint="eastAsia" w:ascii="仿宋" w:hAnsi="仿宋" w:eastAsia="仿宋"/>
          <w:color w:val="000000"/>
          <w:sz w:val="32"/>
          <w:szCs w:val="32"/>
        </w:rPr>
        <w:t>受体阻滞剂</w:t>
      </w:r>
      <w:r w:rsidRPr="003C684F">
        <w:rPr>
          <w:rFonts w:hint="eastAsia" w:ascii="仿宋" w:hAnsi="仿宋" w:eastAsia="仿宋"/>
          <w:color w:val="000000"/>
          <w:sz w:val="32"/>
          <w:szCs w:val="32"/>
        </w:rPr>
        <w:t>，并且减慢皮下注射本品的速度。对于3～4级超敏反应，应立即停止本品给药，且后续</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。予以苯海拉明50mg伴或不伴地塞米松10mg</w:t>
      </w:r>
      <w:r w:rsidRPr="003C684F" w:rsidR="00FC21CC">
        <w:rPr>
          <w:rFonts w:hint="eastAsia" w:ascii="仿宋" w:hAnsi="仿宋" w:eastAsia="仿宋"/>
          <w:color w:val="000000"/>
          <w:sz w:val="32"/>
          <w:szCs w:val="32"/>
        </w:rPr>
        <w:t>静脉输注</w:t>
      </w:r>
      <w:r w:rsidRPr="003C684F">
        <w:rPr>
          <w:rFonts w:hint="eastAsia" w:ascii="仿宋" w:hAnsi="仿宋" w:eastAsia="仿宋"/>
          <w:color w:val="000000"/>
          <w:sz w:val="32"/>
          <w:szCs w:val="32"/>
        </w:rPr>
        <w:t>，和/或根据需要给予肾上腺素，并监测患者直至症状消失。</w:t>
      </w:r>
    </w:p>
    <w:p w:rsidRPr="003C684F" w:rsidR="009730C1" w:rsidRDefault="00A315B9" w14:paraId="29F27710"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Pr>
          <w:rFonts w:ascii="仿宋" w:hAnsi="仿宋" w:eastAsia="仿宋"/>
          <w:color w:val="000000"/>
          <w:sz w:val="32"/>
          <w:szCs w:val="32"/>
        </w:rPr>
        <w:t>.</w:t>
      </w:r>
      <w:r w:rsidRPr="003C684F">
        <w:rPr>
          <w:rFonts w:hint="eastAsia" w:ascii="仿宋" w:hAnsi="仿宋" w:eastAsia="仿宋"/>
          <w:color w:val="000000"/>
          <w:sz w:val="32"/>
          <w:szCs w:val="32"/>
        </w:rPr>
        <w:t>恩沃利单抗可能引起免疫相关性不良反应，建议治疗前进行包括甲状腺功能、心肌酶等的基线检测，在治疗中定期随访用于早期发现免疫相关性不良反应。因为不良反应可能在恩沃利单抗治疗期间或恩沃利单抗治疗停止后的任何时间发生，应持续进行患者监测（至少至末次给药后5个月）。</w:t>
      </w:r>
    </w:p>
    <w:p w:rsidRPr="003C684F" w:rsidR="009730C1" w:rsidRDefault="00A315B9" w14:paraId="55CE6D03" w14:textId="1888612A">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10</w:t>
      </w:r>
      <w:r w:rsidRPr="003C684F">
        <w:rPr>
          <w:rFonts w:hint="eastAsia" w:ascii="仿宋" w:hAnsi="仿宋" w:eastAsia="仿宋"/>
          <w:color w:val="000000"/>
          <w:sz w:val="32"/>
          <w:szCs w:val="32"/>
        </w:rPr>
        <w:t>.对于疑似免疫相关性不良反应，应进行充分的评估以确认病因或排除其他病因。根据不良反应的严重程度，应暂时停用恩沃利单抗，并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逐步减量至停药。基于有限的临床研究数据，发生糖皮质激素无法控制的免疫相关性不良反应时可以考虑使用其他全身性免疫抑制剂。如果不良反应保持在≤1级，且糖皮质激素剂量已降至每天≤10mg泼尼</w:t>
      </w:r>
      <w:r w:rsidRPr="003C684F">
        <w:rPr>
          <w:rFonts w:hint="eastAsia" w:ascii="仿宋" w:hAnsi="仿宋" w:eastAsia="仿宋"/>
          <w:color w:val="000000"/>
          <w:sz w:val="32"/>
          <w:szCs w:val="32"/>
        </w:rPr>
        <w:lastRenderedPageBreak/>
        <w:t>松或等效剂量，则可在最后一次恩沃利单抗给药后12周内重新开始恩沃利单抗治疗。严重者或诊断存疑者可由消化科、风湿科、皮肤科、呼吸科、肿瘤科等组成的免疫不良反应MDT进行会诊。</w:t>
      </w:r>
    </w:p>
    <w:p w:rsidRPr="003C684F" w:rsidR="009730C1" w:rsidP="0037660B" w:rsidRDefault="00A315B9" w14:paraId="6B3901E0"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s="黑体"/>
          <w:sz w:val="32"/>
          <w:szCs w:val="32"/>
        </w:rPr>
        <w:t>二十六、</w:t>
      </w:r>
      <w:r w:rsidRPr="003C684F">
        <w:rPr>
          <w:rFonts w:hint="eastAsia" w:ascii="黑体" w:hAnsi="黑体" w:eastAsia="黑体"/>
          <w:color w:val="000000"/>
          <w:sz w:val="32"/>
          <w:szCs w:val="32"/>
        </w:rPr>
        <w:t xml:space="preserve">斯鲁利单抗 </w:t>
      </w:r>
      <w:r w:rsidRPr="003C684F">
        <w:rPr>
          <w:rFonts w:ascii="黑体" w:hAnsi="黑体" w:eastAsia="黑体"/>
          <w:color w:val="000000"/>
          <w:sz w:val="32"/>
          <w:szCs w:val="32"/>
        </w:rPr>
        <w:t>Serplulimab</w:t>
      </w:r>
    </w:p>
    <w:p w:rsidRPr="003C684F" w:rsidR="009730C1" w:rsidRDefault="00A315B9" w14:paraId="0509DCE6"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4A115F">
        <w:rPr>
          <w:rFonts w:hint="eastAsia" w:ascii="仿宋" w:hAnsi="仿宋" w:eastAsia="仿宋"/>
          <w:color w:val="000000"/>
          <w:sz w:val="32"/>
          <w:szCs w:val="32"/>
        </w:rPr>
        <w:t>剂</w:t>
      </w:r>
      <w:r w:rsidRPr="003C684F">
        <w:rPr>
          <w:rFonts w:hint="eastAsia" w:ascii="仿宋" w:hAnsi="仿宋" w:eastAsia="仿宋"/>
          <w:color w:val="000000"/>
          <w:sz w:val="32"/>
          <w:szCs w:val="32"/>
        </w:rPr>
        <w:t>：</w:t>
      </w:r>
      <w:r w:rsidRPr="003C684F">
        <w:rPr>
          <w:rFonts w:ascii="仿宋" w:hAnsi="仿宋" w:eastAsia="仿宋"/>
          <w:color w:val="000000"/>
          <w:sz w:val="32"/>
          <w:szCs w:val="32"/>
        </w:rPr>
        <w:t>1</w:t>
      </w:r>
      <w:r w:rsidRPr="003C684F">
        <w:rPr>
          <w:rFonts w:hint="eastAsia" w:ascii="仿宋" w:hAnsi="仿宋" w:eastAsia="仿宋"/>
          <w:color w:val="000000"/>
          <w:sz w:val="32"/>
          <w:szCs w:val="32"/>
        </w:rPr>
        <w:t>00mg（</w:t>
      </w:r>
      <w:r w:rsidRPr="003C684F">
        <w:rPr>
          <w:rFonts w:ascii="仿宋" w:hAnsi="仿宋" w:eastAsia="仿宋"/>
          <w:color w:val="000000"/>
          <w:sz w:val="32"/>
          <w:szCs w:val="32"/>
        </w:rPr>
        <w:t>10</w:t>
      </w:r>
      <w:r w:rsidRPr="003C684F">
        <w:rPr>
          <w:rFonts w:hint="eastAsia" w:ascii="仿宋" w:hAnsi="仿宋" w:eastAsia="仿宋"/>
          <w:color w:val="000000"/>
          <w:sz w:val="32"/>
          <w:szCs w:val="32"/>
        </w:rPr>
        <w:t>ml）/瓶</w:t>
      </w:r>
    </w:p>
    <w:p w:rsidRPr="003C684F" w:rsidR="009730C1" w:rsidRDefault="00A315B9" w14:paraId="666C1408" w14:textId="77777777">
      <w:pPr>
        <w:spacing w:line="360" w:lineRule="auto"/>
        <w:ind w:firstLine="643" w:firstLineChars="200"/>
        <w:rPr>
          <w:rFonts w:ascii="仿宋" w:hAnsi="仿宋" w:eastAsia="仿宋"/>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sz w:val="32"/>
          <w:szCs w:val="32"/>
        </w:rPr>
        <w:t>适用于不可切除或转移性高度微卫星不稳定型的成人晚期实体瘤患者：既往经过氟尿嘧啶类、奥沙利铂和伊立替康治疗后出现疾病进展的晚期结直肠癌患者；既往至少二线治疗后出现疾病进展且无满意替代治疗方案的晚期胃癌患者；既往至少一线治疗后出现疾病进展且无满意替代治疗方案的其他晚期实体瘤患者。</w:t>
      </w:r>
    </w:p>
    <w:p w:rsidRPr="003C684F" w:rsidR="009730C1" w:rsidRDefault="00A315B9" w14:paraId="5B4964C0"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9AAFE88" w14:textId="2113326D">
      <w:pPr>
        <w:spacing w:line="360" w:lineRule="auto"/>
        <w:ind w:firstLine="640" w:firstLineChars="200"/>
        <w:rPr>
          <w:rFonts w:ascii="仿宋" w:hAnsi="仿宋" w:eastAsia="仿宋"/>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.推荐剂量为</w:t>
      </w:r>
      <w:r w:rsidRPr="003C684F">
        <w:rPr>
          <w:rFonts w:ascii="仿宋" w:hAnsi="仿宋" w:eastAsia="仿宋"/>
          <w:color w:val="000000"/>
          <w:sz w:val="32"/>
          <w:szCs w:val="32"/>
        </w:rPr>
        <w:t>3</w:t>
      </w:r>
      <w:r w:rsidRPr="003C684F">
        <w:rPr>
          <w:rFonts w:hint="eastAsia" w:ascii="仿宋" w:hAnsi="仿宋" w:eastAsia="仿宋"/>
          <w:color w:val="000000"/>
          <w:sz w:val="32"/>
          <w:szCs w:val="32"/>
        </w:rPr>
        <w:t>mg</w:t>
      </w:r>
      <w:r w:rsidRPr="003C684F">
        <w:rPr>
          <w:rFonts w:ascii="仿宋" w:hAnsi="仿宋" w:eastAsia="仿宋"/>
          <w:color w:val="000000"/>
          <w:sz w:val="32"/>
          <w:szCs w:val="32"/>
        </w:rPr>
        <w:t>/</w:t>
      </w:r>
      <w:r w:rsidRPr="003C684F">
        <w:rPr>
          <w:rFonts w:hint="eastAsia" w:ascii="仿宋" w:hAnsi="仿宋" w:eastAsia="仿宋"/>
          <w:color w:val="000000"/>
          <w:sz w:val="32"/>
          <w:szCs w:val="32"/>
        </w:rPr>
        <w:t>kg，每</w:t>
      </w:r>
      <w:r w:rsidRPr="003C684F">
        <w:rPr>
          <w:rFonts w:ascii="仿宋" w:hAnsi="仿宋" w:eastAsia="仿宋"/>
          <w:color w:val="000000"/>
          <w:sz w:val="32"/>
          <w:szCs w:val="32"/>
        </w:rPr>
        <w:t>2</w:t>
      </w:r>
      <w:r w:rsidRPr="003C684F">
        <w:rPr>
          <w:rFonts w:hint="eastAsia" w:ascii="仿宋" w:hAnsi="仿宋" w:eastAsia="仿宋"/>
          <w:color w:val="000000"/>
          <w:sz w:val="32"/>
          <w:szCs w:val="32"/>
        </w:rPr>
        <w:t>周</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w:t>
      </w:r>
      <w:r w:rsidRPr="003C684F" w:rsidR="006A0C04">
        <w:rPr>
          <w:rFonts w:hint="eastAsia" w:ascii="仿宋" w:hAnsi="仿宋" w:eastAsia="仿宋"/>
          <w:color w:val="000000"/>
          <w:sz w:val="32"/>
          <w:szCs w:val="32"/>
        </w:rPr>
        <w:t>静脉输注，</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1FF366A6" w14:textId="1D006B25">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.该适应证为基于替代终点获得附条件批准上市，暂未获得临床终点数据，</w:t>
      </w:r>
      <w:r w:rsidRPr="003C684F" w:rsidR="007F3658">
        <w:rPr>
          <w:rFonts w:hint="eastAsia" w:ascii="仿宋" w:hAnsi="仿宋" w:eastAsia="仿宋"/>
          <w:color w:val="000000"/>
          <w:sz w:val="32"/>
          <w:szCs w:val="32"/>
        </w:rPr>
        <w:t>安全性和有效性</w:t>
      </w:r>
      <w:r w:rsidRPr="003C684F">
        <w:rPr>
          <w:rFonts w:hint="eastAsia" w:ascii="仿宋" w:hAnsi="仿宋" w:eastAsia="仿宋"/>
          <w:color w:val="000000"/>
          <w:sz w:val="32"/>
          <w:szCs w:val="32"/>
        </w:rPr>
        <w:t>尚待上市后进一步确证。</w:t>
      </w:r>
    </w:p>
    <w:p w:rsidRPr="003C684F" w:rsidR="009730C1" w:rsidRDefault="00A315B9" w14:paraId="57B5AD78"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只要观察到临床获益，应继续</w:t>
      </w:r>
      <w:r w:rsidRPr="003C684F">
        <w:rPr>
          <w:rFonts w:hint="eastAsia" w:ascii="仿宋" w:hAnsi="仿宋" w:eastAsia="仿宋"/>
          <w:color w:val="000000"/>
          <w:sz w:val="32"/>
          <w:szCs w:val="32"/>
        </w:rPr>
        <w:t>斯鲁利单抗</w:t>
      </w:r>
      <w:r w:rsidRPr="003C684F">
        <w:rPr>
          <w:rFonts w:hint="eastAsia" w:ascii="仿宋" w:hAnsi="仿宋" w:eastAsia="仿宋" w:cs="仿宋"/>
          <w:sz w:val="32"/>
          <w:szCs w:val="32"/>
        </w:rPr>
        <w:t>治疗，直至患者不能耐受，</w:t>
      </w:r>
      <w:r w:rsidRPr="003C684F">
        <w:rPr>
          <w:rFonts w:hint="eastAsia" w:ascii="仿宋" w:hAnsi="仿宋" w:eastAsia="仿宋"/>
          <w:color w:val="000000"/>
          <w:sz w:val="32"/>
          <w:szCs w:val="32"/>
        </w:rPr>
        <w:t>有可能观察到非典型反应。如果患者临床症状稳定或持续减轻，即使有影像学疾病进展的初步证据，基于总体临床获益的判断，可考虑继续应用本品治疗，直至证实疾病进展。</w:t>
      </w:r>
    </w:p>
    <w:p w:rsidRPr="003C684F" w:rsidR="009730C1" w:rsidRDefault="00A315B9" w14:paraId="6FCCB327" w14:textId="7E291806">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lastRenderedPageBreak/>
        <w:t>4</w:t>
      </w:r>
      <w:r w:rsidRPr="003C684F">
        <w:rPr>
          <w:rFonts w:hint="eastAsia" w:ascii="仿宋" w:hAnsi="仿宋" w:eastAsia="仿宋"/>
          <w:color w:val="000000"/>
          <w:sz w:val="32"/>
          <w:szCs w:val="32"/>
        </w:rPr>
        <w:t>.根据个体患者的安全性和耐受性，可能需要暂停给药或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1B01C1DA" w14:textId="5CB282ED">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.发生4级或复发性3级不良反应，虽然进行治疗调整但仍持续存在2级或3级不良反应，应永久停用斯鲁利单抗。如果出现任何重度、复发的免疫相关性不良反应以及任何危及生命的免疫相关性不良反应，必须永久停</w:t>
      </w:r>
      <w:r w:rsidRPr="003C684F" w:rsidR="00DA6519">
        <w:rPr>
          <w:rFonts w:hint="eastAsia" w:ascii="仿宋" w:hAnsi="仿宋" w:eastAsia="仿宋"/>
          <w:color w:val="000000"/>
          <w:sz w:val="32"/>
          <w:szCs w:val="32"/>
        </w:rPr>
        <w:t>用</w:t>
      </w:r>
      <w:r w:rsidRPr="003C684F">
        <w:rPr>
          <w:rFonts w:hint="eastAsia" w:ascii="仿宋" w:hAnsi="仿宋" w:eastAsia="仿宋"/>
          <w:color w:val="000000"/>
          <w:sz w:val="32"/>
          <w:szCs w:val="32"/>
        </w:rPr>
        <w:t>斯鲁利单抗。</w:t>
      </w:r>
    </w:p>
    <w:p w:rsidRPr="003C684F" w:rsidR="009730C1" w:rsidRDefault="00A315B9" w14:paraId="2D768437"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.老年患者（≥</w:t>
      </w:r>
      <w:r w:rsidRPr="003C684F">
        <w:rPr>
          <w:rFonts w:ascii="仿宋" w:hAnsi="仿宋" w:eastAsia="仿宋"/>
          <w:color w:val="000000"/>
          <w:sz w:val="32"/>
          <w:szCs w:val="32"/>
        </w:rPr>
        <w:t>65岁）建议在医生的指导下慎用</w:t>
      </w:r>
      <w:r w:rsidRPr="003C684F">
        <w:rPr>
          <w:rFonts w:hint="eastAsia" w:ascii="仿宋" w:hAnsi="仿宋" w:eastAsia="仿宋"/>
          <w:color w:val="000000"/>
          <w:sz w:val="32"/>
          <w:szCs w:val="32"/>
        </w:rPr>
        <w:t>，如需使用，无需调整剂量。轻度肾功能损伤患者应在医生指导下慎用本品，如需使用，无需调整剂量，中重度肾功能损伤患者不推荐使用。轻度肝功能损伤患者应在医生指导下慎用本品，如需使用，无需调整剂量，中重度肝功能损伤患者不推荐使用。</w:t>
      </w:r>
    </w:p>
    <w:p w:rsidRPr="003C684F" w:rsidR="009730C1" w:rsidRDefault="00A315B9" w14:paraId="36BAF86A" w14:textId="77777777">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7</w:t>
      </w:r>
      <w:r w:rsidRPr="003C684F">
        <w:rPr>
          <w:rFonts w:hint="eastAsia" w:ascii="仿宋" w:hAnsi="仿宋" w:eastAsia="仿宋"/>
          <w:color w:val="000000"/>
          <w:sz w:val="32"/>
          <w:szCs w:val="32"/>
        </w:rPr>
        <w:t>.斯鲁利单抗可能引起免疫相关性不良反应，建议治疗前进行包括甲状腺功能、心肌酶等的基线检测，在治疗中定期随访用于早期发现免疫相关性不良反应。因为不良反应可能在斯鲁利单抗治疗期间或斯鲁利单抗治疗停止后的任何时间发生，应持续进行患者监测（至少至末次给药后5个月）。</w:t>
      </w:r>
    </w:p>
    <w:p w:rsidRPr="003C684F" w:rsidR="009730C1" w:rsidRDefault="00A315B9" w14:paraId="3DD8CA75" w14:textId="18907DA3">
      <w:pPr>
        <w:widowControl/>
        <w:spacing w:line="360" w:lineRule="auto"/>
        <w:ind w:firstLine="640" w:firstLineChars="200"/>
        <w:jc w:val="left"/>
        <w:rPr>
          <w:rFonts w:ascii="仿宋" w:hAnsi="仿宋" w:eastAsia="仿宋"/>
          <w:color w:val="000000"/>
          <w:sz w:val="32"/>
          <w:szCs w:val="32"/>
        </w:rPr>
      </w:pPr>
      <w:r w:rsidRPr="003C684F">
        <w:rPr>
          <w:rFonts w:ascii="仿宋" w:hAnsi="仿宋" w:eastAsia="仿宋"/>
          <w:color w:val="000000"/>
          <w:sz w:val="32"/>
          <w:szCs w:val="32"/>
        </w:rPr>
        <w:t>8</w:t>
      </w:r>
      <w:r w:rsidRPr="003C684F">
        <w:rPr>
          <w:rFonts w:hint="eastAsia" w:ascii="仿宋" w:hAnsi="仿宋" w:eastAsia="仿宋"/>
          <w:color w:val="000000"/>
          <w:sz w:val="32"/>
          <w:szCs w:val="32"/>
        </w:rPr>
        <w:t>.对于疑似免疫相关性不良反应，应进行充分的评估以确认病因或排除其他病因。根据不良反应的严重程度，应暂时停用斯鲁利单抗，并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用糖皮质激素治疗。当免疫相关性不良反应改善至≤1级时，需逐步减量至停药。基于有限的临床研究数据，发生糖皮质激素无法控制的免疫相关性不良</w:t>
      </w:r>
      <w:r w:rsidRPr="003C684F">
        <w:rPr>
          <w:rFonts w:hint="eastAsia" w:ascii="仿宋" w:hAnsi="仿宋" w:eastAsia="仿宋"/>
          <w:color w:val="000000"/>
          <w:sz w:val="32"/>
          <w:szCs w:val="32"/>
        </w:rPr>
        <w:lastRenderedPageBreak/>
        <w:t>反应时可以考虑使用其他全身性免疫抑制剂。如果不良反应保持在≤1级，且糖皮质激素剂量已降至每天≤10mg泼尼松或等效剂量，则可在最后一次斯鲁利单抗给药后12周内重新开始斯鲁利单抗治疗。严重者或诊断存疑者可由消化科、风湿科、皮肤科、呼吸科、肿瘤科等组成的免疫不良反应MDT进行会诊。</w:t>
      </w:r>
    </w:p>
    <w:p w:rsidRPr="003C684F" w:rsidR="009730C1" w:rsidP="0037660B" w:rsidRDefault="00A315B9" w14:paraId="40DBBD13" w14:textId="77777777">
      <w:pPr>
        <w:widowControl/>
        <w:spacing w:line="360" w:lineRule="auto"/>
        <w:ind w:firstLine="640" w:firstLineChars="200"/>
        <w:jc w:val="left"/>
        <w:outlineLvl w:val="0"/>
        <w:rPr>
          <w:rFonts w:ascii="黑体" w:hAnsi="黑体" w:eastAsia="黑体" w:cs="Times New Roman"/>
          <w:sz w:val="32"/>
          <w:szCs w:val="32"/>
        </w:rPr>
      </w:pPr>
      <w:r w:rsidRPr="003C684F">
        <w:rPr>
          <w:rFonts w:hint="eastAsia" w:ascii="黑体" w:hAnsi="黑体" w:eastAsia="黑体" w:cs="黑体"/>
          <w:sz w:val="32"/>
          <w:szCs w:val="32"/>
        </w:rPr>
        <w:t xml:space="preserve">二十七、拉罗替尼 </w:t>
      </w:r>
      <w:r w:rsidRPr="003C684F">
        <w:rPr>
          <w:rFonts w:ascii="黑体" w:hAnsi="黑体" w:eastAsia="黑体" w:cs="黑体"/>
          <w:sz w:val="32"/>
          <w:szCs w:val="32"/>
        </w:rPr>
        <w:t>Larotrectinib</w:t>
      </w:r>
    </w:p>
    <w:p w:rsidRPr="003C684F" w:rsidR="009730C1" w:rsidRDefault="00A315B9" w14:paraId="48F1622F" w14:textId="7959177D">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100</w:t>
      </w:r>
      <w:r w:rsidRPr="003C684F">
        <w:rPr>
          <w:rFonts w:hint="eastAsia" w:ascii="仿宋" w:hAnsi="仿宋" w:eastAsia="仿宋" w:cs="仿宋"/>
          <w:sz w:val="32"/>
          <w:szCs w:val="32"/>
        </w:rPr>
        <w:t>mg</w:t>
      </w:r>
      <w:r w:rsidRPr="003C684F" w:rsidR="00607E22">
        <w:rPr>
          <w:rFonts w:hint="eastAsia" w:ascii="仿宋" w:hAnsi="仿宋" w:eastAsia="仿宋" w:cs="仿宋"/>
          <w:sz w:val="32"/>
          <w:szCs w:val="32"/>
        </w:rPr>
        <w:t>；口服溶液：50ml：1000mg</w:t>
      </w:r>
    </w:p>
    <w:p w:rsidRPr="003C684F" w:rsidR="009730C1" w:rsidRDefault="00A315B9" w14:paraId="6F508E9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适用于符合下列条件的成人和儿童实体瘤患者：经充分验证的检测方法诊断为携带</w:t>
      </w:r>
      <w:r w:rsidRPr="003C684F" w:rsidR="008E5E9F">
        <w:rPr>
          <w:rFonts w:hint="eastAsia" w:ascii="仿宋" w:hAnsi="仿宋" w:eastAsia="仿宋" w:cs="仿宋"/>
          <w:sz w:val="32"/>
          <w:szCs w:val="32"/>
        </w:rPr>
        <w:t>神经营养酪氨酸受体激酶</w:t>
      </w:r>
      <w:r w:rsidRPr="003C684F">
        <w:rPr>
          <w:rFonts w:hint="eastAsia" w:ascii="仿宋" w:hAnsi="仿宋" w:eastAsia="仿宋" w:cs="仿宋"/>
          <w:sz w:val="32"/>
          <w:szCs w:val="32"/>
        </w:rPr>
        <w:t>融合基因且不包括已知获得性耐药突变，患有局部晚期、转移性疾病或手术切除可能导致严重并发症的患者，以及无满意替代治疗或既往治疗失败的患者。</w:t>
      </w:r>
    </w:p>
    <w:p w:rsidRPr="003C684F" w:rsidR="009730C1" w:rsidRDefault="00A315B9" w14:paraId="007A6DA8"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3CD67D2"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在使用拉罗替尼治疗之前，必须确定患者肿瘤样本中携带</w:t>
      </w:r>
      <w:r w:rsidRPr="003C684F" w:rsidR="008E5E9F">
        <w:rPr>
          <w:rFonts w:hint="eastAsia" w:ascii="仿宋" w:hAnsi="仿宋" w:eastAsia="仿宋" w:cs="仿宋"/>
          <w:sz w:val="32"/>
          <w:szCs w:val="32"/>
        </w:rPr>
        <w:t>神经营养酪氨酸受体激酶</w:t>
      </w:r>
      <w:r w:rsidRPr="003C684F">
        <w:rPr>
          <w:rFonts w:hint="eastAsia" w:ascii="仿宋" w:hAnsi="仿宋" w:eastAsia="仿宋" w:cs="仿宋"/>
          <w:sz w:val="32"/>
          <w:szCs w:val="32"/>
        </w:rPr>
        <w:t>融合基因。应采用验证过的检测方法确定患者的</w:t>
      </w:r>
      <w:r w:rsidRPr="003C684F" w:rsidR="008E5E9F">
        <w:rPr>
          <w:rFonts w:hint="eastAsia" w:ascii="仿宋" w:hAnsi="仿宋" w:eastAsia="仿宋" w:cs="仿宋"/>
          <w:sz w:val="32"/>
          <w:szCs w:val="32"/>
        </w:rPr>
        <w:t>神经营养酪氨酸受体激酶</w:t>
      </w:r>
      <w:r w:rsidRPr="003C684F">
        <w:rPr>
          <w:rFonts w:hint="eastAsia" w:ascii="仿宋" w:hAnsi="仿宋" w:eastAsia="仿宋" w:cs="仿宋"/>
          <w:sz w:val="32"/>
          <w:szCs w:val="32"/>
        </w:rPr>
        <w:t>融合基因状态。</w:t>
      </w:r>
    </w:p>
    <w:p w:rsidRPr="003C684F" w:rsidR="009730C1" w:rsidRDefault="00A315B9" w14:paraId="2A14E06C" w14:textId="1437CE9D">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成人患者推荐剂量为</w:t>
      </w:r>
      <w:r w:rsidRPr="003C684F">
        <w:rPr>
          <w:rFonts w:ascii="仿宋" w:hAnsi="仿宋" w:eastAsia="仿宋" w:cs="仿宋"/>
          <w:sz w:val="32"/>
          <w:szCs w:val="32"/>
        </w:rPr>
        <w:t>100</w:t>
      </w:r>
      <w:r w:rsidRPr="003C684F">
        <w:rPr>
          <w:rFonts w:hint="eastAsia" w:ascii="仿宋" w:hAnsi="仿宋" w:eastAsia="仿宋" w:cs="仿宋"/>
          <w:sz w:val="32"/>
          <w:szCs w:val="32"/>
        </w:rPr>
        <w:t>mg</w:t>
      </w:r>
      <w:r w:rsidRPr="003C684F" w:rsidR="00C2467F">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C2467F">
        <w:rPr>
          <w:rFonts w:hint="eastAsia" w:ascii="仿宋" w:hAnsi="仿宋" w:eastAsia="仿宋" w:cs="仿宋"/>
          <w:sz w:val="32"/>
          <w:szCs w:val="32"/>
        </w:rPr>
        <w:t>，</w:t>
      </w:r>
      <w:r w:rsidRPr="003C684F">
        <w:rPr>
          <w:rFonts w:hint="eastAsia" w:ascii="仿宋" w:hAnsi="仿宋" w:eastAsia="仿宋" w:cs="仿宋"/>
          <w:sz w:val="32"/>
          <w:szCs w:val="32"/>
        </w:rPr>
        <w:t>口服，直至</w:t>
      </w:r>
      <w:r w:rsidRPr="003C684F" w:rsidR="00B95507">
        <w:rPr>
          <w:rFonts w:hint="eastAsia" w:ascii="仿宋" w:hAnsi="仿宋" w:eastAsia="仿宋" w:cs="仿宋"/>
          <w:sz w:val="32"/>
          <w:szCs w:val="32"/>
        </w:rPr>
        <w:t>疾病进展或出现不可耐受的毒性。</w:t>
      </w:r>
      <w:r w:rsidRPr="003C684F">
        <w:rPr>
          <w:rFonts w:hint="eastAsia" w:ascii="仿宋" w:hAnsi="仿宋" w:eastAsia="仿宋" w:cs="仿宋"/>
          <w:sz w:val="32"/>
          <w:szCs w:val="32"/>
        </w:rPr>
        <w:t>儿童患者的剂量基于体表面积</w:t>
      </w:r>
      <w:r w:rsidRPr="003C684F" w:rsidR="00C2467F">
        <w:rPr>
          <w:rFonts w:hint="eastAsia" w:ascii="仿宋" w:hAnsi="仿宋" w:eastAsia="仿宋" w:cs="仿宋"/>
          <w:sz w:val="32"/>
          <w:szCs w:val="32"/>
        </w:rPr>
        <w:t>，</w:t>
      </w:r>
      <w:r w:rsidRPr="003C684F">
        <w:rPr>
          <w:rFonts w:hint="eastAsia" w:ascii="仿宋" w:hAnsi="仿宋" w:eastAsia="仿宋" w:cs="仿宋"/>
          <w:sz w:val="32"/>
          <w:szCs w:val="32"/>
        </w:rPr>
        <w:t>儿童患者的推荐剂量为100mg/m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，每天两次，最大剂量为100mg/</w:t>
      </w:r>
      <w:r w:rsidRPr="003C684F" w:rsidR="00C2467F">
        <w:rPr>
          <w:rFonts w:hint="eastAsia" w:ascii="仿宋" w:hAnsi="仿宋" w:eastAsia="仿宋" w:cs="仿宋"/>
          <w:sz w:val="32"/>
          <w:szCs w:val="32"/>
        </w:rPr>
        <w:t>次</w:t>
      </w:r>
      <w:r w:rsidRPr="003C684F">
        <w:rPr>
          <w:rFonts w:hint="eastAsia" w:ascii="仿宋" w:hAnsi="仿宋" w:eastAsia="仿宋" w:cs="仿宋"/>
          <w:sz w:val="32"/>
          <w:szCs w:val="32"/>
        </w:rPr>
        <w:t>，直至</w:t>
      </w:r>
      <w:r w:rsidRPr="003C684F" w:rsidR="00B95507">
        <w:rPr>
          <w:rFonts w:hint="eastAsia" w:ascii="仿宋" w:hAnsi="仿宋" w:eastAsia="仿宋" w:cs="仿宋"/>
          <w:sz w:val="32"/>
          <w:szCs w:val="32"/>
        </w:rPr>
        <w:t>疾病进展或出现不可耐受的毒性。</w:t>
      </w:r>
    </w:p>
    <w:p w:rsidRPr="003C684F" w:rsidR="009730C1" w:rsidRDefault="00A315B9" w14:paraId="7DF25B48" w14:textId="0FEA2B73">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lastRenderedPageBreak/>
        <w:t>3.</w:t>
      </w:r>
      <w:r w:rsidRPr="003C684F">
        <w:rPr>
          <w:rFonts w:hint="eastAsia" w:ascii="仿宋" w:hAnsi="仿宋" w:eastAsia="仿宋" w:cs="仿宋"/>
          <w:sz w:val="32"/>
          <w:szCs w:val="32"/>
        </w:rPr>
        <w:t>本品为基于替代终点获得附条件批准上市，暂未获得临床终点数据，</w:t>
      </w:r>
      <w:r w:rsidRPr="003C684F" w:rsidR="007F3658">
        <w:rPr>
          <w:rFonts w:hint="eastAsia" w:ascii="仿宋" w:hAnsi="仿宋" w:eastAsia="仿宋" w:cs="仿宋"/>
          <w:sz w:val="32"/>
          <w:szCs w:val="32"/>
        </w:rPr>
        <w:t>安全性和有效性</w:t>
      </w:r>
      <w:r w:rsidRPr="003C684F">
        <w:rPr>
          <w:rFonts w:hint="eastAsia" w:ascii="仿宋" w:hAnsi="仿宋" w:eastAsia="仿宋" w:cs="仿宋"/>
          <w:sz w:val="32"/>
          <w:szCs w:val="32"/>
        </w:rPr>
        <w:t>尚待上市后进一步确证。</w:t>
      </w:r>
    </w:p>
    <w:p w:rsidRPr="003C684F" w:rsidR="009730C1" w:rsidRDefault="00A315B9" w14:paraId="55A4E75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拉罗替尼常见的不良反应包括：ALT升高、AST升高、呕吐、便秘、疲乏、恶心、贫血、头晕和肌痛。</w:t>
      </w:r>
    </w:p>
    <w:p w:rsidRPr="003C684F" w:rsidR="009730C1" w:rsidRDefault="00A315B9" w14:paraId="324CF810" w14:textId="4755A1C1">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对于所有2级不良反应，尽管应密切监测以确保毒性不会增加，但建议继续给药。对于3</w:t>
      </w:r>
      <w:r w:rsidRPr="003C684F" w:rsidR="002A6861">
        <w:rPr>
          <w:rFonts w:hint="eastAsia" w:ascii="仿宋" w:hAnsi="仿宋" w:eastAsia="仿宋" w:cs="仿宋"/>
          <w:sz w:val="32"/>
          <w:szCs w:val="32"/>
        </w:rPr>
        <w:t>级</w:t>
      </w:r>
      <w:r w:rsidRPr="003C684F">
        <w:rPr>
          <w:rFonts w:hint="eastAsia" w:ascii="仿宋" w:hAnsi="仿宋" w:eastAsia="仿宋" w:cs="仿宋"/>
          <w:sz w:val="32"/>
          <w:szCs w:val="32"/>
        </w:rPr>
        <w:t>或4级不良反应，应停用本品，直到不良反应缓解或改善至基线或1级水平。如果在4周内得到缓解，则在下一次剂量调整时恢复使用。如果不良反应在4周内未得到缓解，则应永久停用。</w:t>
      </w:r>
    </w:p>
    <w:p w:rsidRPr="003C684F" w:rsidR="009730C1" w:rsidRDefault="00A315B9" w14:paraId="4DD53B67" w14:textId="3B2B32EB">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不良反应的推荐剂量调整：体表面积至少为1.0m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的成人和儿童患者：第1次75mg，每天两次，第2次50mg，每天两次，第3次100mg，每天一次。体表面积小于1.0m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的儿童患者：第1次75mg/m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，每天两次，第2次50mg/m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，每天两次，第3次25mg/m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，每天两次，即使在治疗期间体表面积变得大于1.0m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，也应保持25mg/m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，每天两次。三次剂量调整后无法耐受本品的患者应永久停用。</w:t>
      </w:r>
    </w:p>
    <w:p w:rsidRPr="003C684F" w:rsidR="009730C1" w:rsidRDefault="00A315B9" w14:paraId="0854C419" w14:textId="61AB994F">
      <w:pPr>
        <w:spacing w:line="360" w:lineRule="auto"/>
        <w:ind w:firstLine="640" w:firstLineChars="200"/>
        <w:jc w:val="left"/>
        <w:rPr>
          <w:rFonts w:ascii="仿宋" w:hAnsi="仿宋" w:eastAsia="仿宋" w:cs="仿宋"/>
          <w:sz w:val="32"/>
          <w:szCs w:val="32"/>
        </w:rPr>
      </w:pP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仿宋"/>
          <w:sz w:val="32"/>
          <w:szCs w:val="32"/>
        </w:rPr>
        <w:t>拉罗替尼可导致的神经系统反应包括头晕、步态障碍和</w:t>
      </w:r>
      <w:r w:rsidR="00E26D08">
        <w:rPr>
          <w:rFonts w:hint="eastAsia" w:ascii="仿宋" w:hAnsi="仿宋" w:eastAsia="仿宋" w:cs="仿宋"/>
          <w:sz w:val="32"/>
          <w:szCs w:val="32"/>
        </w:rPr>
        <w:t>感觉异常</w:t>
      </w:r>
      <w:r w:rsidRPr="003C684F">
        <w:rPr>
          <w:rFonts w:hint="eastAsia" w:ascii="仿宋" w:hAnsi="仿宋" w:eastAsia="仿宋" w:cs="仿宋"/>
          <w:sz w:val="32"/>
          <w:szCs w:val="32"/>
        </w:rPr>
        <w:t>。多数神经系统反应发生在治疗的前3个月内。需根据这些症状的严重程度和持续性决定</w:t>
      </w:r>
      <w:r w:rsidRPr="003C684F" w:rsidR="003331F1">
        <w:rPr>
          <w:rFonts w:hint="eastAsia" w:ascii="仿宋" w:hAnsi="仿宋" w:eastAsia="仿宋" w:cs="仿宋"/>
          <w:sz w:val="32"/>
          <w:szCs w:val="32"/>
        </w:rPr>
        <w:t>暂停用药</w:t>
      </w:r>
      <w:r w:rsidRPr="003C684F">
        <w:rPr>
          <w:rFonts w:hint="eastAsia" w:ascii="仿宋" w:hAnsi="仿宋" w:eastAsia="仿宋" w:cs="仿宋"/>
          <w:sz w:val="32"/>
          <w:szCs w:val="32"/>
        </w:rPr>
        <w:t>、降低剂量还是</w:t>
      </w:r>
      <w:r w:rsidRPr="003C684F" w:rsidR="003331F1">
        <w:rPr>
          <w:rFonts w:hint="eastAsia" w:ascii="仿宋" w:hAnsi="仿宋" w:eastAsia="仿宋" w:cs="仿宋"/>
          <w:sz w:val="32"/>
          <w:szCs w:val="32"/>
        </w:rPr>
        <w:t>永久停用</w:t>
      </w:r>
      <w:r w:rsidRPr="003C684F">
        <w:rPr>
          <w:rFonts w:hint="eastAsia" w:ascii="仿宋" w:hAnsi="仿宋" w:eastAsia="仿宋" w:cs="仿宋"/>
          <w:sz w:val="32"/>
          <w:szCs w:val="32"/>
        </w:rPr>
        <w:t>。</w:t>
      </w:r>
    </w:p>
    <w:p w:rsidRPr="003C684F" w:rsidR="009730C1" w:rsidRDefault="00A315B9" w14:paraId="36F3B937" w14:textId="253B8DA2">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8.</w:t>
      </w:r>
      <w:r w:rsidRPr="003C684F">
        <w:rPr>
          <w:rFonts w:hint="eastAsia" w:ascii="仿宋" w:hAnsi="仿宋" w:eastAsia="仿宋" w:cs="仿宋"/>
          <w:sz w:val="32"/>
          <w:szCs w:val="32"/>
        </w:rPr>
        <w:t>拉罗替尼可导致ALT和AST升高主要发生在治疗的前3个月。在首次给药前和治疗前3个月应每月一次监测肝功</w:t>
      </w:r>
      <w:r w:rsidRPr="003C684F">
        <w:rPr>
          <w:rFonts w:hint="eastAsia" w:ascii="仿宋" w:hAnsi="仿宋" w:eastAsia="仿宋" w:cs="仿宋"/>
          <w:sz w:val="32"/>
          <w:szCs w:val="32"/>
        </w:rPr>
        <w:lastRenderedPageBreak/>
        <w:t>能（包括ALT和AST评估），然后在治疗期间定期监测，对转氨酶升高的患者进行更频繁检测。根据其严重程度，应停用或永久停用。如停用，应在恢复后调整给药剂量。</w:t>
      </w:r>
    </w:p>
    <w:p w:rsidRPr="003C684F" w:rsidR="009730C1" w:rsidRDefault="00A315B9" w14:paraId="3F154D6B" w14:textId="4B475EA4">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9.</w:t>
      </w:r>
      <w:r w:rsidRPr="003C684F">
        <w:rPr>
          <w:rFonts w:hint="eastAsia" w:ascii="仿宋" w:hAnsi="仿宋" w:eastAsia="仿宋" w:cs="仿宋"/>
          <w:sz w:val="32"/>
          <w:szCs w:val="32"/>
        </w:rPr>
        <w:t>应避免拉罗替尼与CYP3A4/P-糖蛋白</w:t>
      </w:r>
      <w:r w:rsidRPr="003C684F" w:rsidR="0029486A">
        <w:rPr>
          <w:rFonts w:hint="eastAsia" w:ascii="仿宋" w:hAnsi="仿宋" w:eastAsia="仿宋" w:cs="仿宋"/>
          <w:sz w:val="32"/>
          <w:szCs w:val="32"/>
        </w:rPr>
        <w:t>强效或中效</w:t>
      </w:r>
      <w:r w:rsidRPr="003C684F">
        <w:rPr>
          <w:rFonts w:hint="eastAsia" w:ascii="仿宋" w:hAnsi="仿宋" w:eastAsia="仿宋" w:cs="仿宋"/>
          <w:sz w:val="32"/>
          <w:szCs w:val="32"/>
        </w:rPr>
        <w:t>诱导剂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2F47E4ED" w14:textId="77777777">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10.</w:t>
      </w:r>
      <w:r w:rsidRPr="003C684F">
        <w:rPr>
          <w:rFonts w:hint="eastAsia" w:ascii="仿宋" w:hAnsi="仿宋" w:eastAsia="仿宋" w:cs="仿宋"/>
          <w:sz w:val="32"/>
          <w:szCs w:val="32"/>
        </w:rPr>
        <w:t>与肝功能正常受试者相比，在轻度、中度和重度肝功能损伤受试者中观察到拉罗替尼的AUC</w:t>
      </w:r>
      <w:r w:rsidRPr="003C684F">
        <w:rPr>
          <w:rFonts w:ascii="仿宋" w:hAnsi="仿宋" w:eastAsia="仿宋" w:cs="仿宋"/>
          <w:sz w:val="32"/>
          <w:szCs w:val="32"/>
          <w:vertAlign w:val="subscript"/>
        </w:rPr>
        <w:t>0-inf</w:t>
      </w:r>
      <w:r w:rsidRPr="003C684F">
        <w:rPr>
          <w:rFonts w:hint="eastAsia" w:ascii="仿宋" w:hAnsi="仿宋" w:eastAsia="仿宋" w:cs="仿宋"/>
          <w:sz w:val="32"/>
          <w:szCs w:val="32"/>
        </w:rPr>
        <w:t>分别增至1.3倍、2倍和3.2倍。观察到C</w:t>
      </w:r>
      <w:r w:rsidRPr="003C684F">
        <w:rPr>
          <w:rFonts w:ascii="仿宋" w:hAnsi="仿宋" w:eastAsia="仿宋" w:cs="仿宋"/>
          <w:sz w:val="32"/>
          <w:szCs w:val="32"/>
          <w:vertAlign w:val="subscript"/>
        </w:rPr>
        <w:t>max</w:t>
      </w:r>
      <w:r w:rsidRPr="003C684F">
        <w:rPr>
          <w:rFonts w:hint="eastAsia" w:ascii="仿宋" w:hAnsi="仿宋" w:eastAsia="仿宋" w:cs="仿宋"/>
          <w:sz w:val="32"/>
          <w:szCs w:val="32"/>
        </w:rPr>
        <w:t>略微增加，分别增至1.1倍、1.1倍和1.5倍。与肾功能正常受试者相比，在肾功能损伤受试者中观察到拉罗替尼的C</w:t>
      </w:r>
      <w:r w:rsidRPr="003C684F">
        <w:rPr>
          <w:rFonts w:ascii="仿宋" w:hAnsi="仿宋" w:eastAsia="仿宋" w:cs="仿宋"/>
          <w:sz w:val="32"/>
          <w:szCs w:val="32"/>
          <w:vertAlign w:val="subscript"/>
        </w:rPr>
        <w:t>max</w:t>
      </w:r>
      <w:r w:rsidRPr="003C684F">
        <w:rPr>
          <w:rFonts w:hint="eastAsia" w:ascii="仿宋" w:hAnsi="仿宋" w:eastAsia="仿宋" w:cs="仿宋"/>
          <w:sz w:val="32"/>
          <w:szCs w:val="32"/>
        </w:rPr>
        <w:t>和AUC</w:t>
      </w:r>
      <w:r w:rsidRPr="003C684F">
        <w:rPr>
          <w:rFonts w:ascii="仿宋" w:hAnsi="仿宋" w:eastAsia="仿宋" w:cs="仿宋"/>
          <w:sz w:val="32"/>
          <w:szCs w:val="32"/>
          <w:vertAlign w:val="subscript"/>
        </w:rPr>
        <w:t>0-inf</w:t>
      </w:r>
      <w:r w:rsidRPr="003C684F">
        <w:rPr>
          <w:rFonts w:hint="eastAsia" w:ascii="仿宋" w:hAnsi="仿宋" w:eastAsia="仿宋" w:cs="仿宋"/>
          <w:sz w:val="32"/>
          <w:szCs w:val="32"/>
        </w:rPr>
        <w:t>分别增至1.25倍和1.46倍。老年患者和幼儿（1个月至＜6岁）暴露的数据有限。</w:t>
      </w:r>
    </w:p>
    <w:p w:rsidRPr="003C684F" w:rsidR="009730C1" w:rsidP="0037660B" w:rsidRDefault="00A315B9" w14:paraId="742636E1" w14:textId="77777777">
      <w:pPr>
        <w:widowControl/>
        <w:spacing w:line="360" w:lineRule="auto"/>
        <w:ind w:firstLine="640" w:firstLineChars="200"/>
        <w:jc w:val="left"/>
        <w:outlineLvl w:val="0"/>
        <w:rPr>
          <w:rFonts w:ascii="黑体" w:hAnsi="黑体" w:eastAsia="黑体" w:cs="Times New Roman"/>
          <w:sz w:val="32"/>
          <w:szCs w:val="32"/>
        </w:rPr>
      </w:pPr>
      <w:r w:rsidRPr="003C684F">
        <w:rPr>
          <w:rFonts w:hint="eastAsia" w:ascii="黑体" w:hAnsi="黑体" w:eastAsia="黑体" w:cs="黑体"/>
          <w:sz w:val="32"/>
          <w:szCs w:val="32"/>
        </w:rPr>
        <w:t>二十八、佩米替尼 Pemigati</w:t>
      </w:r>
      <w:r w:rsidRPr="003C684F">
        <w:rPr>
          <w:rFonts w:ascii="黑体" w:hAnsi="黑体" w:eastAsia="黑体" w:cs="黑体"/>
          <w:sz w:val="32"/>
          <w:szCs w:val="32"/>
        </w:rPr>
        <w:t>nib</w:t>
      </w:r>
    </w:p>
    <w:p w:rsidRPr="003C684F" w:rsidR="009730C1" w:rsidRDefault="00A315B9" w14:paraId="79144D5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4.5mg</w:t>
      </w:r>
      <w:r w:rsidRPr="003C684F">
        <w:rPr>
          <w:rFonts w:hint="eastAsia" w:ascii="仿宋" w:hAnsi="仿宋" w:eastAsia="仿宋" w:cs="仿宋"/>
          <w:sz w:val="32"/>
          <w:szCs w:val="32"/>
        </w:rPr>
        <w:t>、</w:t>
      </w:r>
      <w:r w:rsidRPr="003C684F">
        <w:rPr>
          <w:rFonts w:ascii="仿宋" w:hAnsi="仿宋" w:eastAsia="仿宋" w:cs="仿宋"/>
          <w:sz w:val="32"/>
          <w:szCs w:val="32"/>
        </w:rPr>
        <w:t>9</w:t>
      </w:r>
      <w:r w:rsidRPr="003C684F">
        <w:rPr>
          <w:rFonts w:hint="eastAsia" w:ascii="仿宋" w:hAnsi="仿宋" w:eastAsia="仿宋" w:cs="仿宋"/>
          <w:sz w:val="32"/>
          <w:szCs w:val="32"/>
        </w:rPr>
        <w:t>mg</w:t>
      </w:r>
    </w:p>
    <w:p w:rsidRPr="003C684F" w:rsidR="009730C1" w:rsidRDefault="00A315B9" w14:paraId="1AE73F19"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既往至少接受过一种系统性治疗，且经检测确认存在有成纤维细胞生长因子受体2（FGFR2）融合或重排的晚期、转移性或不可手术切除的胆管癌成人患者的治疗。</w:t>
      </w:r>
    </w:p>
    <w:p w:rsidRPr="003C684F" w:rsidR="009730C1" w:rsidRDefault="00A315B9" w14:paraId="346C62BF"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D1509DC"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在使用佩米替尼片治疗局部晚期或转移性胆管癌患者前，应采用验证过的检测方法确定患者存在FGFR2融合或重排。</w:t>
      </w:r>
    </w:p>
    <w:p w:rsidRPr="003C684F" w:rsidR="009730C1" w:rsidRDefault="00A315B9" w14:paraId="6B2819E8" w14:textId="00C9E5C0">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推荐剂量为13.5mg</w:t>
      </w:r>
      <w:r w:rsidRPr="003C684F" w:rsidR="00A611BC">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A611BC">
        <w:rPr>
          <w:rFonts w:hint="eastAsia" w:ascii="仿宋" w:hAnsi="仿宋" w:eastAsia="仿宋" w:cs="仿宋"/>
          <w:sz w:val="32"/>
          <w:szCs w:val="32"/>
        </w:rPr>
        <w:t>，</w:t>
      </w:r>
      <w:r w:rsidRPr="003C684F">
        <w:rPr>
          <w:rFonts w:hint="eastAsia" w:ascii="仿宋" w:hAnsi="仿宋" w:eastAsia="仿宋" w:cs="仿宋"/>
          <w:sz w:val="32"/>
          <w:szCs w:val="32"/>
        </w:rPr>
        <w:t>口服，连续服用14天，随后停药7天，每21天为一个治疗周期，持续治疗</w:t>
      </w:r>
      <w:r w:rsidRPr="003C684F" w:rsidR="00703498">
        <w:rPr>
          <w:rFonts w:hint="eastAsia" w:ascii="仿宋" w:hAnsi="仿宋" w:eastAsia="仿宋" w:cs="仿宋"/>
          <w:sz w:val="32"/>
          <w:szCs w:val="32"/>
        </w:rPr>
        <w:lastRenderedPageBreak/>
        <w:t>直至</w:t>
      </w:r>
      <w:r w:rsidRPr="003C684F" w:rsidR="00B95507">
        <w:rPr>
          <w:rFonts w:hint="eastAsia" w:ascii="仿宋" w:hAnsi="仿宋" w:eastAsia="仿宋" w:cs="仿宋"/>
          <w:sz w:val="32"/>
          <w:szCs w:val="32"/>
        </w:rPr>
        <w:t>疾病进展或出现不可耐受的毒性。</w:t>
      </w:r>
      <w:r w:rsidRPr="003C684F" w:rsidR="00D5231D">
        <w:rPr>
          <w:rFonts w:hint="eastAsia" w:ascii="仿宋" w:hAnsi="仿宋" w:eastAsia="仿宋" w:cs="仿宋"/>
          <w:sz w:val="32"/>
          <w:szCs w:val="32"/>
        </w:rPr>
        <w:t>漏服少于4小时，需尽快服用漏服的剂量，然后在预定时间服用下一次剂量。但是，如果错过了4小时或更</w:t>
      </w:r>
      <w:r w:rsidR="00E26D08">
        <w:rPr>
          <w:rFonts w:hint="eastAsia" w:ascii="仿宋" w:hAnsi="仿宋" w:eastAsia="仿宋" w:cs="仿宋"/>
          <w:sz w:val="32"/>
          <w:szCs w:val="32"/>
        </w:rPr>
        <w:t>长时间</w:t>
      </w:r>
      <w:r w:rsidRPr="003C684F" w:rsidR="00D5231D">
        <w:rPr>
          <w:rFonts w:hint="eastAsia" w:ascii="仿宋" w:hAnsi="仿宋" w:eastAsia="仿宋" w:cs="仿宋"/>
          <w:sz w:val="32"/>
          <w:szCs w:val="32"/>
        </w:rPr>
        <w:t>，请跳过错过的剂量，继续常规用药计划，不要为了弥补漏服的剂量而服用双倍的剂量。</w:t>
      </w:r>
    </w:p>
    <w:p w:rsidRPr="003C684F" w:rsidR="009730C1" w:rsidRDefault="00A315B9" w14:paraId="7C76C314" w14:textId="5EF96388">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本品为基于替代终点获得附条件批准上市，暂未获得临床终点数据，</w:t>
      </w:r>
      <w:r w:rsidRPr="003C684F" w:rsidR="007F3658">
        <w:rPr>
          <w:rFonts w:hint="eastAsia" w:ascii="仿宋" w:hAnsi="仿宋" w:eastAsia="仿宋" w:cs="仿宋"/>
          <w:sz w:val="32"/>
          <w:szCs w:val="32"/>
        </w:rPr>
        <w:t>安全性和有效性</w:t>
      </w:r>
      <w:r w:rsidRPr="003C684F">
        <w:rPr>
          <w:rFonts w:hint="eastAsia" w:ascii="仿宋" w:hAnsi="仿宋" w:eastAsia="仿宋" w:cs="仿宋"/>
          <w:sz w:val="32"/>
          <w:szCs w:val="32"/>
        </w:rPr>
        <w:t>尚待上市后进一步确证。</w:t>
      </w:r>
    </w:p>
    <w:p w:rsidRPr="003C684F" w:rsidR="009730C1" w:rsidRDefault="00A315B9" w14:paraId="7326C262"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佩米替尼常见的不良反应包括：高磷酸血症、脱发、腹泻、指（趾）甲毒性、疲乏、恶心、味觉倒错、口腔黏膜炎、便秘、口干、干眼症、关节痛、低磷酸血症、皮肤干燥和掌跖红肿综合征。</w:t>
      </w:r>
    </w:p>
    <w:p w:rsidRPr="003C684F" w:rsidR="009730C1" w:rsidRDefault="00A315B9" w14:paraId="30FC2E00" w14:textId="20BEEE73">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不良反应的推荐剂量调整：第1次减量，每21天周期的前14天，9mg</w:t>
      </w:r>
      <w:r w:rsidRPr="003C684F" w:rsidR="00267FE3">
        <w:rPr>
          <w:rFonts w:hint="eastAsia" w:ascii="仿宋" w:hAnsi="仿宋" w:eastAsia="仿宋" w:cs="仿宋"/>
          <w:sz w:val="32"/>
          <w:szCs w:val="32"/>
        </w:rPr>
        <w:t>/次，每天一次</w:t>
      </w:r>
      <w:r w:rsidRPr="003C684F">
        <w:rPr>
          <w:rFonts w:hint="eastAsia" w:ascii="仿宋" w:hAnsi="仿宋" w:eastAsia="仿宋" w:cs="仿宋"/>
          <w:sz w:val="32"/>
          <w:szCs w:val="32"/>
        </w:rPr>
        <w:t>；第2次减量，每21天周期的前14天，4.5mg</w:t>
      </w:r>
      <w:r w:rsidRPr="003C684F" w:rsidR="00267FE3">
        <w:rPr>
          <w:rFonts w:hint="eastAsia" w:ascii="仿宋" w:hAnsi="仿宋" w:eastAsia="仿宋" w:cs="仿宋"/>
          <w:sz w:val="32"/>
          <w:szCs w:val="32"/>
        </w:rPr>
        <w:t>/次，每天一次</w:t>
      </w:r>
      <w:r w:rsidRPr="003C684F">
        <w:rPr>
          <w:rFonts w:hint="eastAsia" w:ascii="仿宋" w:hAnsi="仿宋" w:eastAsia="仿宋" w:cs="仿宋"/>
          <w:sz w:val="32"/>
          <w:szCs w:val="32"/>
        </w:rPr>
        <w:t>。如果减量至4.5mg</w:t>
      </w:r>
      <w:r w:rsidRPr="003C684F" w:rsidR="00267FE3">
        <w:rPr>
          <w:rFonts w:hint="eastAsia" w:ascii="仿宋" w:hAnsi="仿宋" w:eastAsia="仿宋" w:cs="仿宋"/>
          <w:sz w:val="32"/>
          <w:szCs w:val="32"/>
        </w:rPr>
        <w:t>/次，</w:t>
      </w:r>
      <w:r w:rsidRPr="003C684F">
        <w:rPr>
          <w:rFonts w:hint="eastAsia" w:ascii="仿宋" w:hAnsi="仿宋" w:eastAsia="仿宋" w:cs="仿宋"/>
          <w:sz w:val="32"/>
          <w:szCs w:val="32"/>
        </w:rPr>
        <w:t>每天一次仍无法耐受，</w:t>
      </w:r>
      <w:r w:rsidRPr="003C684F" w:rsidR="00373DC1">
        <w:rPr>
          <w:rFonts w:hint="eastAsia" w:ascii="仿宋" w:hAnsi="仿宋" w:eastAsia="仿宋" w:cs="仿宋"/>
          <w:sz w:val="32"/>
          <w:szCs w:val="32"/>
        </w:rPr>
        <w:t>应永久停用</w:t>
      </w:r>
      <w:r w:rsidRPr="003C684F">
        <w:rPr>
          <w:rFonts w:hint="eastAsia" w:ascii="仿宋" w:hAnsi="仿宋" w:eastAsia="仿宋" w:cs="仿宋"/>
          <w:sz w:val="32"/>
          <w:szCs w:val="32"/>
        </w:rPr>
        <w:t>。</w:t>
      </w:r>
    </w:p>
    <w:p w:rsidRPr="003C684F" w:rsidR="009730C1" w:rsidRDefault="00A315B9" w14:paraId="557D8E57" w14:textId="77777777">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佩米替尼可导致高磷酸血症，长期存在高磷酸血症可导致软组织矿化、皮肤钙化、钙质沉着和非尿毒症性钙化防御。应监测患者是否出现高磷酸血症，当血清磷酸盐浓度＞5.5mg/dl时，开始低磷饮食。对于血清磷酸盐浓度＞7mg/dl，请根据高磷酸血症的持续时间和严重程度，开始降磷治疗并暂停、降低剂量或永久停用佩米替尼。</w:t>
      </w:r>
    </w:p>
    <w:p w:rsidRPr="003C684F" w:rsidR="009730C1" w:rsidRDefault="00A315B9" w14:paraId="4CCA7F5D" w14:textId="0C00EC97">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7.</w:t>
      </w:r>
      <w:r w:rsidRPr="003C684F">
        <w:rPr>
          <w:rFonts w:hint="eastAsia" w:ascii="仿宋" w:hAnsi="仿宋" w:eastAsia="仿宋" w:cs="仿宋"/>
          <w:sz w:val="32"/>
          <w:szCs w:val="32"/>
        </w:rPr>
        <w:t>佩米替尼可导致视网膜色素上皮脱离，临床表现为视</w:t>
      </w:r>
      <w:r w:rsidRPr="003C684F">
        <w:rPr>
          <w:rFonts w:hint="eastAsia" w:ascii="仿宋" w:hAnsi="仿宋" w:eastAsia="仿宋" w:cs="仿宋"/>
          <w:sz w:val="32"/>
          <w:szCs w:val="32"/>
        </w:rPr>
        <w:lastRenderedPageBreak/>
        <w:t>物模糊、飞蚊症或闪光幻觉。佩米替尼的临床试验并未对无症状的视网膜色素上皮脱离进行包括干涉光视网膜断层扫描等例行性监测。因此，佩米替尼引起的无症状视网膜色素上皮脱离的发生率，目前尚不可知。在服用佩米替尼前应进行眼科检查（包括干涉光视网膜断层扫描），并在服药前6个月，每2个月检查一次，6个月后，每3个月检查一次。如果发现视觉症状，立即就诊，并每</w:t>
      </w:r>
      <w:r w:rsidRPr="003C684F" w:rsidR="0008262F">
        <w:rPr>
          <w:rFonts w:hint="eastAsia" w:ascii="仿宋" w:hAnsi="仿宋" w:eastAsia="仿宋" w:cs="仿宋"/>
          <w:sz w:val="32"/>
          <w:szCs w:val="32"/>
        </w:rPr>
        <w:t>3周</w:t>
      </w:r>
      <w:r w:rsidRPr="003C684F">
        <w:rPr>
          <w:rFonts w:hint="eastAsia" w:ascii="仿宋" w:hAnsi="仿宋" w:eastAsia="仿宋" w:cs="仿宋"/>
          <w:sz w:val="32"/>
          <w:szCs w:val="32"/>
        </w:rPr>
        <w:t>复查一次直至症状缓解。</w:t>
      </w:r>
    </w:p>
    <w:p w:rsidRPr="003C684F" w:rsidR="009730C1" w:rsidRDefault="00A315B9" w14:paraId="0F84F1DF" w14:textId="28EB939A">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8.</w:t>
      </w:r>
      <w:r w:rsidRPr="003C684F">
        <w:rPr>
          <w:rFonts w:hint="eastAsia" w:ascii="仿宋" w:hAnsi="仿宋" w:eastAsia="仿宋" w:cs="仿宋"/>
          <w:sz w:val="32"/>
          <w:szCs w:val="32"/>
        </w:rPr>
        <w:t>应避免佩米替尼与CYP3A</w:t>
      </w:r>
      <w:r w:rsidRPr="003C684F" w:rsidR="00E543FB">
        <w:rPr>
          <w:rFonts w:hint="eastAsia" w:ascii="仿宋" w:hAnsi="仿宋" w:eastAsia="仿宋" w:cs="仿宋"/>
          <w:sz w:val="32"/>
          <w:szCs w:val="32"/>
        </w:rPr>
        <w:t>强效或中效</w:t>
      </w:r>
      <w:r w:rsidRPr="003C684F">
        <w:rPr>
          <w:rFonts w:hint="eastAsia" w:ascii="仿宋" w:hAnsi="仿宋" w:eastAsia="仿宋" w:cs="仿宋"/>
          <w:sz w:val="32"/>
          <w:szCs w:val="32"/>
        </w:rPr>
        <w:t>抑制剂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，如果无法避免</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，请按照如下方案调整剂量：剂量从13.5mg降至9mg，剂量从</w:t>
      </w:r>
      <w:r w:rsidRPr="003C684F">
        <w:rPr>
          <w:rFonts w:ascii="仿宋" w:hAnsi="仿宋" w:eastAsia="仿宋" w:cs="仿宋"/>
          <w:sz w:val="32"/>
          <w:szCs w:val="32"/>
        </w:rPr>
        <w:t>9</w:t>
      </w:r>
      <w:r w:rsidRPr="003C684F">
        <w:rPr>
          <w:rFonts w:hint="eastAsia" w:ascii="仿宋" w:hAnsi="仿宋" w:eastAsia="仿宋" w:cs="仿宋"/>
          <w:sz w:val="32"/>
          <w:szCs w:val="32"/>
        </w:rPr>
        <w:t>mg降至</w:t>
      </w:r>
      <w:r w:rsidRPr="003C684F">
        <w:rPr>
          <w:rFonts w:ascii="仿宋" w:hAnsi="仿宋" w:eastAsia="仿宋" w:cs="仿宋"/>
          <w:sz w:val="32"/>
          <w:szCs w:val="32"/>
        </w:rPr>
        <w:t>4.5</w:t>
      </w:r>
      <w:r w:rsidRPr="003C684F">
        <w:rPr>
          <w:rFonts w:hint="eastAsia" w:ascii="仿宋" w:hAnsi="仿宋" w:eastAsia="仿宋" w:cs="仿宋"/>
          <w:sz w:val="32"/>
          <w:szCs w:val="32"/>
        </w:rPr>
        <w:t>mg。停用CYP3A</w:t>
      </w:r>
      <w:r w:rsidRPr="003C684F" w:rsidR="00E543FB">
        <w:rPr>
          <w:rFonts w:hint="eastAsia" w:ascii="仿宋" w:hAnsi="仿宋" w:eastAsia="仿宋" w:cs="仿宋"/>
          <w:sz w:val="32"/>
          <w:szCs w:val="32"/>
        </w:rPr>
        <w:t>强效或中效</w:t>
      </w:r>
      <w:r w:rsidRPr="003C684F">
        <w:rPr>
          <w:rFonts w:hint="eastAsia" w:ascii="仿宋" w:hAnsi="仿宋" w:eastAsia="仿宋" w:cs="仿宋"/>
          <w:sz w:val="32"/>
          <w:szCs w:val="32"/>
        </w:rPr>
        <w:t>抑制剂3个半衰期后，恢复佩米替尼原剂量。</w:t>
      </w:r>
    </w:p>
    <w:p w:rsidRPr="003C684F" w:rsidR="009730C1" w:rsidRDefault="00A315B9" w14:paraId="7A3FBEBE" w14:textId="77777777">
      <w:pPr>
        <w:spacing w:line="360" w:lineRule="auto"/>
        <w:ind w:firstLine="640" w:firstLineChars="200"/>
        <w:jc w:val="left"/>
        <w:rPr>
          <w:rFonts w:ascii="仿宋" w:hAnsi="仿宋" w:eastAsia="仿宋" w:cs="仿宋"/>
          <w:sz w:val="32"/>
          <w:szCs w:val="32"/>
        </w:rPr>
      </w:pPr>
      <w:r w:rsidRPr="003C684F">
        <w:rPr>
          <w:rFonts w:ascii="仿宋" w:hAnsi="仿宋" w:eastAsia="仿宋" w:cs="仿宋"/>
          <w:sz w:val="32"/>
          <w:szCs w:val="32"/>
        </w:rPr>
        <w:t>9.</w:t>
      </w:r>
      <w:r w:rsidRPr="003C684F">
        <w:rPr>
          <w:rFonts w:hint="eastAsia" w:ascii="仿宋" w:hAnsi="仿宋" w:eastAsia="仿宋" w:cs="仿宋"/>
          <w:sz w:val="32"/>
          <w:szCs w:val="32"/>
        </w:rPr>
        <w:t>对于重度肝功能损伤（总胆红素＞3倍ULN伴任何AST）的患者，建议起始剂量为9mg。对于轻度（总胆红素＞1～1.5倍ULN或AST＞ULN）或中度肝功能损伤（总胆红素＞1.5～3倍ULN伴任何AST）的患者，无需调整剂量。对于重度肾功能损伤患者，建议起始剂量为9mg。对于轻中度肾功能损伤的患者，建议不必调整剂量。对于接受间歇性血液透析的终末期肾病患者，建议不必调整剂量。</w:t>
      </w:r>
    </w:p>
    <w:p w:rsidRPr="003C684F" w:rsidR="009730C1" w:rsidRDefault="00A315B9" w14:paraId="7A856AD8" w14:textId="60436843">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10.</w:t>
      </w:r>
      <w:r w:rsidRPr="003C684F">
        <w:rPr>
          <w:rFonts w:hint="eastAsia" w:ascii="仿宋" w:hAnsi="仿宋" w:eastAsia="仿宋" w:cs="仿宋"/>
          <w:sz w:val="32"/>
          <w:szCs w:val="32"/>
        </w:rPr>
        <w:t>本品目前在</w:t>
      </w:r>
      <w:r w:rsidRPr="003C684F" w:rsidR="005E0F98">
        <w:rPr>
          <w:rFonts w:hint="eastAsia" w:ascii="仿宋" w:hAnsi="仿宋" w:eastAsia="仿宋"/>
          <w:color w:val="000000"/>
          <w:sz w:val="32"/>
          <w:szCs w:val="32"/>
        </w:rPr>
        <w:t>老年患者（≥65岁）</w:t>
      </w:r>
      <w:r w:rsidRPr="003C684F">
        <w:rPr>
          <w:rFonts w:hint="eastAsia" w:ascii="仿宋" w:hAnsi="仿宋" w:eastAsia="仿宋" w:cs="仿宋"/>
          <w:sz w:val="32"/>
          <w:szCs w:val="32"/>
        </w:rPr>
        <w:t>中应用数据有限，建议在医生的指导下慎用。如需使用，无需调整起始剂量。尚无数据支持佩米替尼在儿童患者中使用的安全性和有效</w:t>
      </w:r>
      <w:r w:rsidRPr="003C684F">
        <w:rPr>
          <w:rFonts w:hint="eastAsia" w:ascii="仿宋" w:hAnsi="仿宋" w:eastAsia="仿宋" w:cs="仿宋"/>
          <w:sz w:val="32"/>
          <w:szCs w:val="32"/>
        </w:rPr>
        <w:lastRenderedPageBreak/>
        <w:t>性。因此，不建议在儿童患者中使用本品。</w:t>
      </w:r>
    </w:p>
    <w:p w:rsidRPr="003C684F" w:rsidR="009730C1" w:rsidRDefault="009730C1" w14:paraId="6B60C8FE" w14:textId="77777777">
      <w:pPr>
        <w:spacing w:line="360" w:lineRule="auto"/>
        <w:ind w:firstLine="640" w:firstLineChars="200"/>
        <w:rPr>
          <w:rFonts w:ascii="仿宋" w:hAnsi="仿宋" w:eastAsia="仿宋" w:cs="仿宋"/>
          <w:sz w:val="32"/>
          <w:szCs w:val="32"/>
        </w:rPr>
      </w:pPr>
    </w:p>
    <w:p w:rsidRPr="003C684F" w:rsidR="009730C1" w:rsidRDefault="00A315B9" w14:paraId="7B0BA118" w14:textId="77777777">
      <w:pPr>
        <w:widowControl/>
        <w:spacing w:line="360" w:lineRule="auto"/>
        <w:jc w:val="center"/>
        <w:rPr>
          <w:rFonts w:ascii="宋体" w:cs="Times New Roman"/>
          <w:b/>
          <w:bCs/>
          <w:sz w:val="44"/>
          <w:szCs w:val="44"/>
        </w:rPr>
      </w:pPr>
      <w:r w:rsidRPr="003C684F">
        <w:rPr>
          <w:rFonts w:hint="eastAsia" w:ascii="宋体" w:hAnsi="宋体" w:cs="宋体"/>
          <w:b/>
          <w:bCs/>
          <w:sz w:val="44"/>
          <w:szCs w:val="44"/>
        </w:rPr>
        <w:t>血液肿瘤用药</w:t>
      </w:r>
    </w:p>
    <w:p w:rsidRPr="003C684F" w:rsidR="009730C1" w:rsidRDefault="009730C1" w14:paraId="08301A6C" w14:textId="77777777">
      <w:pPr>
        <w:widowControl/>
        <w:spacing w:line="360" w:lineRule="auto"/>
        <w:jc w:val="center"/>
        <w:rPr>
          <w:rFonts w:ascii="仿宋" w:hAnsi="仿宋" w:eastAsia="仿宋" w:cs="Times New Roman"/>
          <w:b/>
          <w:bCs/>
          <w:sz w:val="32"/>
          <w:szCs w:val="32"/>
        </w:rPr>
      </w:pPr>
    </w:p>
    <w:p w:rsidRPr="003C684F" w:rsidR="009730C1" w:rsidP="0037660B" w:rsidRDefault="00A315B9" w14:paraId="387248B9"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一、伊马替尼 I</w:t>
      </w:r>
      <w:r w:rsidRPr="003C684F">
        <w:rPr>
          <w:rFonts w:ascii="黑体" w:hAnsi="黑体" w:eastAsia="黑体" w:cs="黑体"/>
          <w:sz w:val="32"/>
          <w:szCs w:val="32"/>
        </w:rPr>
        <w:t>matinib</w:t>
      </w:r>
    </w:p>
    <w:p w:rsidRPr="003C684F" w:rsidR="009730C1" w:rsidRDefault="00A315B9" w14:paraId="135CB07C"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w:t>
      </w:r>
      <w:r w:rsidRPr="003C684F">
        <w:rPr>
          <w:rFonts w:ascii="仿宋" w:hAnsi="仿宋" w:eastAsia="仿宋" w:cs="仿宋"/>
          <w:sz w:val="32"/>
          <w:szCs w:val="32"/>
        </w:rPr>
        <w:t>1</w:t>
      </w:r>
      <w:r w:rsidRPr="003C684F">
        <w:rPr>
          <w:rFonts w:hint="eastAsia" w:ascii="仿宋" w:hAnsi="仿宋" w:eastAsia="仿宋" w:cs="仿宋"/>
          <w:sz w:val="32"/>
          <w:szCs w:val="32"/>
        </w:rPr>
        <w:t>）片剂：</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400mg</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）胶囊：</w:t>
      </w:r>
      <w:r w:rsidRPr="003C684F">
        <w:rPr>
          <w:rFonts w:ascii="仿宋" w:hAnsi="仿宋" w:eastAsia="仿宋" w:cs="仿宋"/>
          <w:sz w:val="32"/>
          <w:szCs w:val="32"/>
        </w:rPr>
        <w:t>50mg</w:t>
      </w:r>
      <w:r w:rsidRPr="003C684F">
        <w:rPr>
          <w:rFonts w:hint="eastAsia" w:ascii="仿宋" w:hAnsi="仿宋" w:eastAsia="仿宋" w:cs="仿宋"/>
          <w:sz w:val="32"/>
          <w:szCs w:val="32"/>
        </w:rPr>
        <w:t>、</w:t>
      </w:r>
      <w:r w:rsidRPr="003C684F">
        <w:rPr>
          <w:rFonts w:ascii="仿宋" w:hAnsi="仿宋" w:eastAsia="仿宋" w:cs="仿宋"/>
          <w:sz w:val="32"/>
          <w:szCs w:val="32"/>
        </w:rPr>
        <w:t>100mg</w:t>
      </w:r>
    </w:p>
    <w:p w:rsidRPr="003C684F" w:rsidR="009730C1" w:rsidRDefault="00A315B9" w14:paraId="65EB3F4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用于治疗费城染色体阳性的慢性髓系白血病的慢性期、加速期或急变期；联合化疗治疗新诊断的费城染色体阳性的急性淋巴细胞白血病的儿童患者；用于治疗复发的或难治的费城染色体阳性的急性淋巴细胞白血病的成人患者；用于治疗嗜酸粒细胞增多综合征和</w:t>
      </w:r>
      <w:r w:rsidRPr="003C684F">
        <w:rPr>
          <w:rFonts w:ascii="仿宋" w:hAnsi="仿宋" w:eastAsia="仿宋" w:cs="仿宋"/>
          <w:sz w:val="32"/>
          <w:szCs w:val="32"/>
        </w:rPr>
        <w:t>/</w:t>
      </w:r>
      <w:r w:rsidRPr="003C684F">
        <w:rPr>
          <w:rFonts w:hint="eastAsia" w:ascii="仿宋" w:hAnsi="仿宋" w:eastAsia="仿宋" w:cs="仿宋"/>
          <w:sz w:val="32"/>
          <w:szCs w:val="32"/>
        </w:rPr>
        <w:t>或慢性嗜酸粒细胞白血病伴有</w:t>
      </w:r>
      <w:r w:rsidRPr="003C684F">
        <w:rPr>
          <w:rFonts w:ascii="仿宋" w:hAnsi="仿宋" w:eastAsia="仿宋" w:cs="仿宋"/>
          <w:sz w:val="32"/>
          <w:szCs w:val="32"/>
        </w:rPr>
        <w:t>FIP1L1-PDGFR</w:t>
      </w:r>
      <w:r w:rsidRPr="003C684F">
        <w:rPr>
          <w:rFonts w:hint="eastAsia" w:ascii="仿宋" w:hAnsi="仿宋" w:eastAsia="仿宋" w:cs="仿宋"/>
          <w:sz w:val="32"/>
          <w:szCs w:val="32"/>
        </w:rPr>
        <w:t>α融合</w:t>
      </w:r>
      <w:r w:rsidRPr="003C684F" w:rsidR="0098577A">
        <w:rPr>
          <w:rFonts w:hint="eastAsia" w:ascii="仿宋" w:hAnsi="仿宋" w:eastAsia="仿宋" w:cs="仿宋"/>
          <w:sz w:val="32"/>
          <w:szCs w:val="32"/>
        </w:rPr>
        <w:t>激酶</w:t>
      </w:r>
      <w:r w:rsidRPr="003C684F">
        <w:rPr>
          <w:rFonts w:hint="eastAsia" w:ascii="仿宋" w:hAnsi="仿宋" w:eastAsia="仿宋" w:cs="仿宋"/>
          <w:sz w:val="32"/>
          <w:szCs w:val="32"/>
        </w:rPr>
        <w:t>的成年患者；用于治疗骨髓增生异常综合征</w:t>
      </w:r>
      <w:r w:rsidRPr="003C684F">
        <w:rPr>
          <w:rFonts w:ascii="仿宋" w:hAnsi="仿宋" w:eastAsia="仿宋" w:cs="仿宋"/>
          <w:sz w:val="32"/>
          <w:szCs w:val="32"/>
        </w:rPr>
        <w:t>/</w:t>
      </w:r>
      <w:r w:rsidRPr="003C684F">
        <w:rPr>
          <w:rFonts w:hint="eastAsia" w:ascii="仿宋" w:hAnsi="仿宋" w:eastAsia="仿宋" w:cs="仿宋"/>
          <w:sz w:val="32"/>
          <w:szCs w:val="32"/>
        </w:rPr>
        <w:t>骨髓增殖性疾病伴有</w:t>
      </w:r>
      <w:r w:rsidRPr="003C684F">
        <w:rPr>
          <w:rFonts w:ascii="仿宋" w:hAnsi="仿宋" w:eastAsia="仿宋" w:cs="仿宋"/>
          <w:sz w:val="32"/>
          <w:szCs w:val="32"/>
        </w:rPr>
        <w:t>PDGFR</w:t>
      </w:r>
      <w:r w:rsidRPr="003C684F">
        <w:rPr>
          <w:rFonts w:hint="eastAsia" w:ascii="仿宋" w:hAnsi="仿宋" w:eastAsia="仿宋" w:cs="仿宋"/>
          <w:sz w:val="32"/>
          <w:szCs w:val="32"/>
        </w:rPr>
        <w:t>基因重排的成年患者。</w:t>
      </w:r>
    </w:p>
    <w:p w:rsidRPr="003C684F" w:rsidR="009730C1" w:rsidRDefault="00A315B9" w14:paraId="0CE6F2B7"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2FA163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用药前必须明确诊断费城染色体阳性或</w:t>
      </w:r>
      <w:r w:rsidRPr="003C684F">
        <w:rPr>
          <w:rFonts w:ascii="仿宋" w:hAnsi="仿宋" w:eastAsia="仿宋" w:cs="仿宋"/>
          <w:sz w:val="32"/>
          <w:szCs w:val="32"/>
        </w:rPr>
        <w:t>BCR-ABL</w:t>
      </w:r>
      <w:r w:rsidRPr="003C684F">
        <w:rPr>
          <w:rFonts w:hint="eastAsia" w:ascii="仿宋" w:hAnsi="仿宋" w:eastAsia="仿宋" w:cs="仿宋"/>
          <w:sz w:val="32"/>
          <w:szCs w:val="32"/>
        </w:rPr>
        <w:t>阳性的慢性髓系白血病或急性淋巴细胞白血病，或伴有</w:t>
      </w:r>
      <w:r w:rsidRPr="003C684F">
        <w:rPr>
          <w:rFonts w:ascii="仿宋" w:hAnsi="仿宋" w:eastAsia="仿宋" w:cs="仿宋"/>
          <w:sz w:val="32"/>
          <w:szCs w:val="32"/>
        </w:rPr>
        <w:t>PDGFR</w:t>
      </w:r>
      <w:r w:rsidRPr="003C684F">
        <w:rPr>
          <w:rFonts w:hint="eastAsia" w:ascii="仿宋" w:hAnsi="仿宋" w:eastAsia="仿宋" w:cs="仿宋"/>
          <w:sz w:val="32"/>
          <w:szCs w:val="32"/>
        </w:rPr>
        <w:t>基因重排的髓系增殖性肿瘤。</w:t>
      </w:r>
    </w:p>
    <w:p w:rsidRPr="003C684F" w:rsidR="009730C1" w:rsidRDefault="00A315B9" w14:paraId="1F343878"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应当按照相关疾病指南，治疗前做基线评估，治疗期间定期监测血液学、细胞遗传学和分子生物学反应。</w:t>
      </w:r>
    </w:p>
    <w:p w:rsidRPr="003C684F" w:rsidR="009730C1" w:rsidRDefault="00A315B9" w14:paraId="3167154F"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根据不同疾病种类和分期，选择初始治疗剂量，治疗</w:t>
      </w:r>
      <w:r w:rsidRPr="003C684F">
        <w:rPr>
          <w:rFonts w:hint="eastAsia" w:ascii="仿宋" w:hAnsi="仿宋" w:eastAsia="仿宋" w:cs="仿宋"/>
          <w:sz w:val="32"/>
          <w:szCs w:val="32"/>
        </w:rPr>
        <w:lastRenderedPageBreak/>
        <w:t>中根据疗效和不良反应调整剂量。</w:t>
      </w:r>
    </w:p>
    <w:p w:rsidRPr="003C684F" w:rsidR="009730C1" w:rsidRDefault="00A315B9" w14:paraId="5AA936A3"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常见不良事件（＞</w:t>
      </w:r>
      <w:r w:rsidRPr="003C684F">
        <w:rPr>
          <w:rFonts w:ascii="仿宋" w:hAnsi="仿宋" w:eastAsia="仿宋" w:cs="仿宋"/>
          <w:sz w:val="32"/>
          <w:szCs w:val="32"/>
        </w:rPr>
        <w:t>10%</w:t>
      </w:r>
      <w:r w:rsidRPr="003C684F">
        <w:rPr>
          <w:rFonts w:hint="eastAsia" w:ascii="仿宋" w:hAnsi="仿宋" w:eastAsia="仿宋" w:cs="仿宋"/>
          <w:sz w:val="32"/>
          <w:szCs w:val="32"/>
        </w:rPr>
        <w:t>）为</w:t>
      </w:r>
      <w:r w:rsidRPr="003C684F" w:rsidR="00691EDE">
        <w:rPr>
          <w:rFonts w:hint="eastAsia" w:ascii="仿宋" w:hAnsi="仿宋" w:eastAsia="仿宋" w:cs="仿宋"/>
          <w:sz w:val="32"/>
          <w:szCs w:val="32"/>
        </w:rPr>
        <w:t>中性粒细胞减少症</w:t>
      </w:r>
      <w:r w:rsidRPr="003C684F">
        <w:rPr>
          <w:rFonts w:hint="eastAsia" w:ascii="仿宋" w:hAnsi="仿宋" w:eastAsia="仿宋" w:cs="仿宋"/>
          <w:sz w:val="32"/>
          <w:szCs w:val="32"/>
        </w:rPr>
        <w:t>、</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、贫血、头痛、消化不良、水肿、体重增加、恶心、呕吐、肌肉痉挛、肌肉骨骼痛、腹泻、皮疹、疲劳和腹痛。</w:t>
      </w:r>
    </w:p>
    <w:p w:rsidRPr="003C684F" w:rsidR="009730C1" w:rsidRDefault="00A315B9" w14:paraId="28A1FB3C"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治疗期间因毒性不可耐受或耐药时，可选择二代药物替换。</w:t>
      </w:r>
    </w:p>
    <w:p w:rsidRPr="003C684F" w:rsidR="009730C1" w:rsidRDefault="00A315B9" w14:paraId="692FF57A" w14:textId="345201E2">
      <w:pPr>
        <w:spacing w:line="360" w:lineRule="auto"/>
        <w:ind w:firstLine="640" w:firstLineChars="200"/>
        <w:rPr>
          <w:rFonts w:ascii="仿宋" w:hAnsi="仿宋" w:eastAsia="仿宋" w:cs="仿宋"/>
          <w:sz w:val="32"/>
          <w:szCs w:val="32"/>
        </w:rPr>
      </w:pPr>
      <w:r w:rsidRPr="003C684F">
        <w:rPr>
          <w:rFonts w:ascii="仿宋" w:hAnsi="仿宋" w:eastAsia="仿宋" w:cs="仿宋"/>
          <w:bCs/>
          <w:sz w:val="32"/>
          <w:szCs w:val="32"/>
        </w:rPr>
        <w:t>6</w:t>
      </w:r>
      <w:r w:rsidRPr="003C684F">
        <w:rPr>
          <w:rFonts w:hint="eastAsia" w:ascii="仿宋" w:hAnsi="仿宋" w:eastAsia="仿宋" w:cs="仿宋"/>
          <w:sz w:val="32"/>
          <w:szCs w:val="32"/>
        </w:rPr>
        <w:t>.本品是CYP3A4的底物，同时给予CYP3A4诱导剂后伊马替尼的血浆浓度降低，从而导致疗效降低，应避免伊马替尼与CYP3A4诱导剂</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w:t>
      </w:r>
      <w:r w:rsidRPr="003C684F" w:rsidR="003E2A34">
        <w:rPr>
          <w:rFonts w:hint="eastAsia" w:ascii="仿宋" w:hAnsi="仿宋" w:eastAsia="仿宋" w:cs="仿宋"/>
          <w:sz w:val="32"/>
          <w:szCs w:val="32"/>
        </w:rPr>
        <w:t>伊马替尼可抑制CYP3A4、CYP2D6、CYP2C9和CYP2C19，与其他药物合用时应注意药物相互作用。</w:t>
      </w:r>
    </w:p>
    <w:p w:rsidRPr="003C684F" w:rsidR="009730C1" w:rsidRDefault="00A315B9" w14:paraId="6FE92A8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伊马替尼应在进餐时服用，并饮一大杯水。（1）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治</w:t>
      </w:r>
      <w:r w:rsidRPr="003C684F">
        <w:rPr>
          <w:rFonts w:hint="eastAsia" w:ascii="仿宋" w:hAnsi="仿宋" w:eastAsia="仿宋" w:cs="仿宋"/>
          <w:sz w:val="32"/>
          <w:szCs w:val="32"/>
        </w:rPr>
        <w:lastRenderedPageBreak/>
        <w:t>疗的儿童和青春前期青少年出现发育迟缓。暂不知伊马替尼延长治疗对儿童发育的长期影响。因此，建议对使用伊马替尼的儿童的发育情况进行密切监测。</w:t>
      </w:r>
    </w:p>
    <w:p w:rsidRPr="003C684F" w:rsidR="009730C1" w:rsidRDefault="00A315B9" w14:paraId="5F1060E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伊马替尼用于成人初治费城染色体阳性的急性淋巴细胞白血病（全球其他国家已批准的适应证）。</w:t>
      </w:r>
    </w:p>
    <w:p w:rsidRPr="003C684F" w:rsidR="009730C1" w:rsidRDefault="00A315B9" w14:paraId="1261F65A"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二、达沙替尼 D</w:t>
      </w:r>
      <w:r w:rsidRPr="003C684F">
        <w:rPr>
          <w:rFonts w:ascii="黑体" w:hAnsi="黑体" w:eastAsia="黑体" w:cs="黑体"/>
          <w:sz w:val="32"/>
          <w:szCs w:val="32"/>
        </w:rPr>
        <w:t>asatinib</w:t>
      </w:r>
    </w:p>
    <w:p w:rsidRPr="003C684F" w:rsidR="009730C1" w:rsidRDefault="00A315B9" w14:paraId="5334A745"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20mg</w:t>
      </w:r>
      <w:r w:rsidRPr="003C684F">
        <w:rPr>
          <w:rFonts w:hint="eastAsia" w:ascii="仿宋" w:hAnsi="仿宋" w:eastAsia="仿宋" w:cs="仿宋"/>
          <w:sz w:val="32"/>
          <w:szCs w:val="32"/>
        </w:rPr>
        <w:t>、</w:t>
      </w:r>
      <w:r w:rsidRPr="003C684F">
        <w:rPr>
          <w:rFonts w:ascii="仿宋" w:hAnsi="仿宋" w:eastAsia="仿宋" w:cs="仿宋"/>
          <w:sz w:val="32"/>
          <w:szCs w:val="32"/>
        </w:rPr>
        <w:t>50mg</w:t>
      </w:r>
      <w:r w:rsidRPr="003C684F">
        <w:rPr>
          <w:rFonts w:hint="eastAsia" w:ascii="仿宋" w:hAnsi="仿宋" w:eastAsia="仿宋" w:cs="仿宋"/>
          <w:sz w:val="32"/>
          <w:szCs w:val="32"/>
        </w:rPr>
        <w:t>、</w:t>
      </w:r>
      <w:r w:rsidRPr="003C684F">
        <w:rPr>
          <w:rFonts w:ascii="仿宋" w:hAnsi="仿宋" w:eastAsia="仿宋" w:cs="仿宋"/>
          <w:sz w:val="32"/>
          <w:szCs w:val="32"/>
        </w:rPr>
        <w:t>70mg</w:t>
      </w:r>
      <w:r w:rsidRPr="003C684F">
        <w:rPr>
          <w:rFonts w:hint="eastAsia" w:ascii="仿宋" w:hAnsi="仿宋" w:eastAsia="仿宋" w:cs="仿宋"/>
          <w:sz w:val="32"/>
          <w:szCs w:val="32"/>
        </w:rPr>
        <w:t>、</w:t>
      </w:r>
      <w:r w:rsidRPr="003C684F">
        <w:rPr>
          <w:rFonts w:ascii="仿宋" w:hAnsi="仿宋" w:eastAsia="仿宋" w:cs="仿宋"/>
          <w:sz w:val="32"/>
          <w:szCs w:val="32"/>
        </w:rPr>
        <w:t>100mg</w:t>
      </w:r>
    </w:p>
    <w:p w:rsidRPr="003C684F" w:rsidR="009730C1" w:rsidRDefault="00A315B9" w14:paraId="2601F455"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对伊马替尼耐药，或不耐受的费城染色体阳性慢性髓系白血病慢性期、加速期和急变期（急粒变和急淋变）成年患者。</w:t>
      </w:r>
    </w:p>
    <w:p w:rsidRPr="003C684F" w:rsidR="009730C1" w:rsidRDefault="00A315B9" w14:paraId="34073ACB"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4675664"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用药前必须明确诊断费城染色体阳性或</w:t>
      </w:r>
      <w:r w:rsidRPr="003C684F">
        <w:rPr>
          <w:rFonts w:ascii="仿宋" w:hAnsi="仿宋" w:eastAsia="仿宋" w:cs="仿宋"/>
          <w:sz w:val="32"/>
          <w:szCs w:val="32"/>
        </w:rPr>
        <w:t>BCR-ABL</w:t>
      </w:r>
      <w:r w:rsidRPr="003C684F">
        <w:rPr>
          <w:rFonts w:hint="eastAsia" w:ascii="仿宋" w:hAnsi="仿宋" w:eastAsia="仿宋" w:cs="仿宋"/>
          <w:sz w:val="32"/>
          <w:szCs w:val="32"/>
        </w:rPr>
        <w:t>阳性的慢性髓系白血病或急性淋巴细胞白血病。</w:t>
      </w:r>
    </w:p>
    <w:p w:rsidRPr="003C684F" w:rsidR="009730C1" w:rsidRDefault="00A315B9" w14:paraId="5B69E93B"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应该按照相关疾病指南，治疗前做基线（包括</w:t>
      </w:r>
      <w:r w:rsidRPr="003C684F">
        <w:rPr>
          <w:rFonts w:ascii="仿宋" w:hAnsi="仿宋" w:eastAsia="仿宋" w:cs="仿宋"/>
          <w:sz w:val="32"/>
          <w:szCs w:val="32"/>
        </w:rPr>
        <w:t>BCR-ABL</w:t>
      </w:r>
      <w:r w:rsidRPr="003C684F">
        <w:rPr>
          <w:rFonts w:hint="eastAsia" w:ascii="仿宋" w:hAnsi="仿宋" w:eastAsia="仿宋" w:cs="仿宋"/>
          <w:sz w:val="32"/>
          <w:szCs w:val="32"/>
        </w:rPr>
        <w:t>突变）评估，治疗期间定期监测血液学、细胞遗传学和分子学反应。</w:t>
      </w:r>
    </w:p>
    <w:p w:rsidRPr="003C684F" w:rsidR="009730C1" w:rsidRDefault="00A315B9" w14:paraId="09257166"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根据不同疾病种类和分期，选择初始治疗剂量，治疗中根据疗效和不良反应调整剂量。</w:t>
      </w:r>
    </w:p>
    <w:p w:rsidRPr="003C684F" w:rsidR="009730C1" w:rsidRDefault="00A315B9" w14:paraId="7C7C1E48"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常见不良事件为</w:t>
      </w:r>
      <w:r w:rsidRPr="003C684F" w:rsidR="00691EDE">
        <w:rPr>
          <w:rFonts w:hint="eastAsia" w:ascii="仿宋" w:hAnsi="仿宋" w:eastAsia="仿宋" w:cs="仿宋"/>
          <w:sz w:val="32"/>
          <w:szCs w:val="32"/>
        </w:rPr>
        <w:t>中性粒细胞减少症</w:t>
      </w:r>
      <w:r w:rsidRPr="003C684F">
        <w:rPr>
          <w:rFonts w:hint="eastAsia" w:ascii="仿宋" w:hAnsi="仿宋" w:eastAsia="仿宋" w:cs="仿宋"/>
          <w:sz w:val="32"/>
          <w:szCs w:val="32"/>
        </w:rPr>
        <w:t>、</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、贫血、胸腔积液、头痛、腹泻、疲劳等，少数有肺动脉高压。</w:t>
      </w:r>
    </w:p>
    <w:p w:rsidRPr="003C684F" w:rsidR="009730C1" w:rsidRDefault="00A315B9" w14:paraId="40A2B441" w14:textId="6C93542C">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本品是</w:t>
      </w:r>
      <w:r w:rsidRPr="003C684F">
        <w:rPr>
          <w:rFonts w:ascii="仿宋" w:hAnsi="仿宋" w:eastAsia="仿宋" w:cs="仿宋"/>
          <w:sz w:val="32"/>
          <w:szCs w:val="32"/>
        </w:rPr>
        <w:t>CYP3A4</w:t>
      </w:r>
      <w:r w:rsidRPr="003C684F">
        <w:rPr>
          <w:rFonts w:hint="eastAsia" w:ascii="仿宋" w:hAnsi="仿宋" w:eastAsia="仿宋" w:cs="仿宋"/>
          <w:sz w:val="32"/>
          <w:szCs w:val="32"/>
        </w:rPr>
        <w:t>的底物，不推荐联合</w:t>
      </w:r>
      <w:r w:rsidRPr="003C684F">
        <w:rPr>
          <w:rFonts w:ascii="仿宋" w:hAnsi="仿宋" w:eastAsia="仿宋" w:cs="仿宋"/>
          <w:sz w:val="32"/>
          <w:szCs w:val="32"/>
        </w:rPr>
        <w:t>CYP3A4</w:t>
      </w:r>
      <w:r w:rsidRPr="003C684F" w:rsidR="00DE313C">
        <w:rPr>
          <w:rFonts w:hint="eastAsia" w:ascii="仿宋" w:hAnsi="仿宋" w:eastAsia="仿宋" w:cs="仿宋"/>
          <w:sz w:val="32"/>
          <w:szCs w:val="32"/>
        </w:rPr>
        <w:t>强效</w:t>
      </w:r>
      <w:r w:rsidRPr="003C684F">
        <w:rPr>
          <w:rFonts w:hint="eastAsia" w:ascii="仿宋" w:hAnsi="仿宋" w:eastAsia="仿宋" w:cs="仿宋"/>
          <w:sz w:val="32"/>
          <w:szCs w:val="32"/>
        </w:rPr>
        <w:t>抑制剂。如果无法避免</w:t>
      </w:r>
      <w:r w:rsidRPr="003C684F" w:rsidR="00F035BC">
        <w:rPr>
          <w:rFonts w:hint="eastAsia" w:ascii="仿宋" w:hAnsi="仿宋" w:eastAsia="仿宋" w:cs="仿宋"/>
          <w:sz w:val="32"/>
          <w:szCs w:val="32"/>
        </w:rPr>
        <w:t>联合使用</w:t>
      </w:r>
      <w:r w:rsidRPr="003C684F">
        <w:rPr>
          <w:rFonts w:hint="eastAsia" w:ascii="仿宋" w:hAnsi="仿宋" w:eastAsia="仿宋" w:cs="仿宋"/>
          <w:sz w:val="32"/>
          <w:szCs w:val="32"/>
        </w:rPr>
        <w:t>，则应对毒性反应进行密切监测。</w:t>
      </w:r>
    </w:p>
    <w:p w:rsidRPr="003C684F" w:rsidR="009730C1" w:rsidRDefault="00A315B9" w14:paraId="3CEA0472"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lastRenderedPageBreak/>
        <w:t>※</w:t>
      </w: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达沙替尼用于成人费城染色体阳性的急性淋巴细胞白血病（FDA已批准）。</w:t>
      </w:r>
    </w:p>
    <w:p w:rsidRPr="003C684F" w:rsidR="009730C1" w:rsidRDefault="00A315B9" w14:paraId="78B9534A"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三、尼洛替尼 N</w:t>
      </w:r>
      <w:r w:rsidRPr="003C684F">
        <w:rPr>
          <w:rFonts w:ascii="黑体" w:hAnsi="黑体" w:eastAsia="黑体" w:cs="黑体"/>
          <w:sz w:val="32"/>
          <w:szCs w:val="32"/>
        </w:rPr>
        <w:t>ilotinib</w:t>
      </w:r>
    </w:p>
    <w:p w:rsidRPr="003C684F" w:rsidR="009730C1" w:rsidRDefault="00A315B9" w14:paraId="78BD41D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150mg</w:t>
      </w:r>
      <w:r w:rsidRPr="003C684F">
        <w:rPr>
          <w:rFonts w:hint="eastAsia" w:ascii="仿宋" w:hAnsi="仿宋" w:eastAsia="仿宋" w:cs="仿宋"/>
          <w:sz w:val="32"/>
          <w:szCs w:val="32"/>
        </w:rPr>
        <w:t>、</w:t>
      </w:r>
      <w:r w:rsidRPr="003C684F">
        <w:rPr>
          <w:rFonts w:ascii="仿宋" w:hAnsi="仿宋" w:eastAsia="仿宋" w:cs="仿宋"/>
          <w:sz w:val="32"/>
          <w:szCs w:val="32"/>
        </w:rPr>
        <w:t>200mg</w:t>
      </w:r>
    </w:p>
    <w:p w:rsidRPr="003C684F" w:rsidR="009730C1" w:rsidRDefault="00A315B9" w14:paraId="0F935D47"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236E18A1"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新诊断的费城染色体阳性的慢性髓系白血病慢性期成人患者。</w:t>
      </w:r>
    </w:p>
    <w:p w:rsidRPr="003C684F" w:rsidR="009730C1" w:rsidRDefault="00A315B9" w14:paraId="51B395EE" w14:textId="77777777">
      <w:pPr>
        <w:spacing w:line="360" w:lineRule="auto"/>
        <w:ind w:firstLine="640" w:firstLineChars="200"/>
        <w:rPr>
          <w:rFonts w:ascii="仿宋" w:hAnsi="仿宋" w:eastAsia="仿宋" w:cs="Times New Roman"/>
          <w:b/>
          <w:bCs/>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对既往治疗（包括伊马替尼）耐药或不耐受的费城染色体阳性的慢性髓系白血病慢性期或加速期成人患者。</w:t>
      </w:r>
    </w:p>
    <w:p w:rsidRPr="003C684F" w:rsidR="009730C1" w:rsidRDefault="00A315B9" w14:paraId="718BA333"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500D045"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尼洛替尼不可用于低血钾、低血镁或长QTc综合征的患者。在使用尼洛替尼以前必须纠正低钾和低镁，并定期进行监测。</w:t>
      </w:r>
    </w:p>
    <w:p w:rsidRPr="003C684F" w:rsidR="009730C1" w:rsidRDefault="00A315B9" w14:paraId="5B429A8A" w14:textId="77777777">
      <w:pPr>
        <w:spacing w:line="360" w:lineRule="auto"/>
        <w:ind w:firstLine="640" w:firstLineChars="200"/>
        <w:rPr>
          <w:rFonts w:ascii="仿宋" w:hAnsi="仿宋" w:eastAsia="仿宋" w:cs="Times New Roman"/>
          <w:b/>
          <w:bCs/>
          <w:sz w:val="32"/>
          <w:szCs w:val="32"/>
        </w:rPr>
      </w:pPr>
      <w:r w:rsidRPr="003C684F">
        <w:rPr>
          <w:rFonts w:hint="eastAsia" w:ascii="仿宋" w:hAnsi="仿宋" w:eastAsia="仿宋" w:cs="Times New Roman"/>
          <w:sz w:val="32"/>
          <w:szCs w:val="32"/>
        </w:rPr>
        <w:t>2.</w:t>
      </w:r>
      <w:r w:rsidRPr="003C684F">
        <w:rPr>
          <w:rFonts w:hint="eastAsia" w:ascii="仿宋" w:hAnsi="仿宋" w:eastAsia="仿宋" w:cs="仿宋"/>
          <w:sz w:val="32"/>
          <w:szCs w:val="32"/>
        </w:rPr>
        <w:t>常见不良事件为</w:t>
      </w:r>
      <w:r w:rsidRPr="003C684F" w:rsidR="00691EDE">
        <w:rPr>
          <w:rFonts w:hint="eastAsia" w:ascii="仿宋" w:hAnsi="仿宋" w:eastAsia="仿宋" w:cs="仿宋"/>
          <w:sz w:val="32"/>
          <w:szCs w:val="32"/>
        </w:rPr>
        <w:t>中性粒细胞减少症</w:t>
      </w:r>
      <w:r w:rsidRPr="003C684F">
        <w:rPr>
          <w:rFonts w:hint="eastAsia" w:ascii="仿宋" w:hAnsi="仿宋" w:eastAsia="仿宋" w:cs="仿宋"/>
          <w:sz w:val="32"/>
          <w:szCs w:val="32"/>
        </w:rPr>
        <w:t>、</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、贫血、食欲减退、皮疹、肌肉关节痛等。</w:t>
      </w:r>
    </w:p>
    <w:p w:rsidRPr="003C684F" w:rsidR="009730C1" w:rsidRDefault="00A315B9" w14:paraId="252F982B" w14:textId="4DB94773">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避免联合可延长QTc</w:t>
      </w:r>
      <w:r w:rsidRPr="003C684F">
        <w:rPr>
          <w:rFonts w:ascii="仿宋" w:hAnsi="仿宋" w:eastAsia="仿宋" w:cs="仿宋"/>
          <w:sz w:val="32"/>
          <w:szCs w:val="32"/>
        </w:rPr>
        <w:t>间期</w:t>
      </w:r>
      <w:r w:rsidRPr="003C684F">
        <w:rPr>
          <w:rFonts w:hint="eastAsia" w:ascii="仿宋" w:hAnsi="仿宋" w:eastAsia="仿宋" w:cs="仿宋"/>
          <w:sz w:val="32"/>
          <w:szCs w:val="32"/>
        </w:rPr>
        <w:t>的药物和</w:t>
      </w:r>
      <w:r w:rsidRPr="003C684F">
        <w:rPr>
          <w:rFonts w:ascii="仿宋" w:hAnsi="仿宋" w:eastAsia="仿宋" w:cs="仿宋"/>
          <w:sz w:val="32"/>
          <w:szCs w:val="32"/>
        </w:rPr>
        <w:t>CYP3A4</w:t>
      </w:r>
      <w:r w:rsidRPr="003C684F" w:rsidR="007B436F">
        <w:rPr>
          <w:rFonts w:hint="eastAsia" w:ascii="仿宋" w:hAnsi="仿宋" w:eastAsia="仿宋" w:cs="仿宋"/>
          <w:sz w:val="32"/>
          <w:szCs w:val="32"/>
        </w:rPr>
        <w:t>强效</w:t>
      </w:r>
      <w:r w:rsidRPr="003C684F">
        <w:rPr>
          <w:rFonts w:hint="eastAsia" w:ascii="仿宋" w:hAnsi="仿宋" w:eastAsia="仿宋" w:cs="仿宋"/>
          <w:sz w:val="32"/>
          <w:szCs w:val="32"/>
        </w:rPr>
        <w:t>抑制剂。</w:t>
      </w:r>
    </w:p>
    <w:p w:rsidRPr="003C684F" w:rsidR="009730C1" w:rsidRDefault="00A315B9" w14:paraId="2DED8303"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有肝功能损伤的患者建议减量。</w:t>
      </w:r>
    </w:p>
    <w:p w:rsidRPr="003C684F" w:rsidR="009730C1" w:rsidRDefault="00A315B9" w14:paraId="0BC7D852"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在开始给药前、给药过程中、给药后均应定期进行心电图检查以监测</w:t>
      </w:r>
      <w:r w:rsidRPr="003C684F">
        <w:rPr>
          <w:rFonts w:ascii="仿宋" w:hAnsi="仿宋" w:eastAsia="仿宋" w:cs="仿宋"/>
          <w:sz w:val="32"/>
          <w:szCs w:val="32"/>
        </w:rPr>
        <w:t>QTc</w:t>
      </w:r>
      <w:r w:rsidRPr="003C684F">
        <w:rPr>
          <w:rFonts w:hint="eastAsia" w:ascii="仿宋" w:hAnsi="仿宋" w:eastAsia="仿宋" w:cs="仿宋"/>
          <w:sz w:val="32"/>
          <w:szCs w:val="32"/>
        </w:rPr>
        <w:t>，并且在任何进行剂量调整时也应如此。</w:t>
      </w:r>
    </w:p>
    <w:p w:rsidRPr="003C684F" w:rsidR="009730C1" w:rsidRDefault="00A315B9" w14:paraId="0CC2672F"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四、奥雷巴替尼 Olverembatinib</w:t>
      </w:r>
    </w:p>
    <w:p w:rsidRPr="003C684F" w:rsidR="009730C1" w:rsidRDefault="00A315B9" w14:paraId="18FD1BB1"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bCs/>
          <w:sz w:val="32"/>
          <w:szCs w:val="32"/>
        </w:rPr>
        <w:t>制剂与规格：</w:t>
      </w:r>
      <w:r w:rsidRPr="003C684F">
        <w:rPr>
          <w:rFonts w:hint="eastAsia" w:ascii="仿宋" w:hAnsi="仿宋" w:eastAsia="仿宋" w:cs="Times New Roman"/>
          <w:sz w:val="32"/>
          <w:szCs w:val="32"/>
        </w:rPr>
        <w:t>片剂：</w:t>
      </w:r>
      <w:r w:rsidRPr="003C684F">
        <w:rPr>
          <w:rFonts w:ascii="仿宋" w:hAnsi="仿宋" w:eastAsia="仿宋" w:cs="Times New Roman"/>
          <w:sz w:val="32"/>
          <w:szCs w:val="32"/>
        </w:rPr>
        <w:t xml:space="preserve">10mg </w:t>
      </w:r>
    </w:p>
    <w:p w:rsidRPr="003C684F" w:rsidR="009730C1" w:rsidRDefault="00A315B9" w14:paraId="411C0FD2"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bCs/>
          <w:sz w:val="32"/>
          <w:szCs w:val="32"/>
        </w:rPr>
        <w:lastRenderedPageBreak/>
        <w:t>适应证：</w:t>
      </w:r>
      <w:r w:rsidRPr="003C684F">
        <w:rPr>
          <w:rFonts w:hint="eastAsia" w:ascii="仿宋" w:hAnsi="仿宋" w:eastAsia="仿宋" w:cs="Times New Roman"/>
          <w:sz w:val="32"/>
          <w:szCs w:val="32"/>
        </w:rPr>
        <w:t>对任何酪氨酸激酶抑制剂耐药，并采用经充分验证的检测方法诊断为伴有</w:t>
      </w:r>
      <w:r w:rsidRPr="003C684F">
        <w:rPr>
          <w:rFonts w:ascii="仿宋" w:hAnsi="仿宋" w:eastAsia="仿宋" w:cs="Times New Roman"/>
          <w:sz w:val="32"/>
          <w:szCs w:val="32"/>
        </w:rPr>
        <w:t>T315I突变的</w:t>
      </w:r>
      <w:r w:rsidRPr="003C684F">
        <w:rPr>
          <w:rFonts w:hint="eastAsia" w:ascii="仿宋" w:hAnsi="仿宋" w:eastAsia="仿宋" w:cs="Times New Roman"/>
          <w:sz w:val="32"/>
          <w:szCs w:val="32"/>
        </w:rPr>
        <w:t>慢性髓系白血病慢性期</w:t>
      </w:r>
      <w:r w:rsidRPr="003C684F" w:rsidR="0098577A">
        <w:rPr>
          <w:rFonts w:hint="eastAsia" w:ascii="仿宋" w:hAnsi="仿宋" w:eastAsia="仿宋" w:cs="Times New Roman"/>
          <w:sz w:val="32"/>
          <w:szCs w:val="32"/>
        </w:rPr>
        <w:t>或加速期</w:t>
      </w:r>
      <w:r w:rsidRPr="003C684F">
        <w:rPr>
          <w:rFonts w:hint="eastAsia" w:ascii="仿宋" w:hAnsi="仿宋" w:eastAsia="仿宋" w:cs="Times New Roman"/>
          <w:sz w:val="32"/>
          <w:szCs w:val="32"/>
        </w:rPr>
        <w:t>的成年患者。</w:t>
      </w:r>
    </w:p>
    <w:p w:rsidRPr="003C684F" w:rsidR="009730C1" w:rsidRDefault="00A315B9" w14:paraId="6C97BFCE"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Times New Roman"/>
          <w:b/>
          <w:bCs/>
          <w:sz w:val="32"/>
          <w:szCs w:val="32"/>
        </w:rPr>
        <w:t>合理用药要点：</w:t>
      </w:r>
    </w:p>
    <w:p w:rsidRPr="003C684F" w:rsidR="009730C1" w:rsidRDefault="00A315B9" w14:paraId="14A63DD8" w14:textId="428A5FE6">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1.治疗剂量：推荐剂量为40mg</w:t>
      </w:r>
      <w:r w:rsidRPr="003C684F" w:rsidR="00F450E4">
        <w:rPr>
          <w:rFonts w:hint="eastAsia" w:ascii="仿宋" w:hAnsi="仿宋" w:eastAsia="仿宋" w:cs="Times New Roman"/>
          <w:bCs/>
          <w:sz w:val="32"/>
          <w:szCs w:val="32"/>
        </w:rPr>
        <w:t>/次</w:t>
      </w:r>
      <w:r w:rsidRPr="003C684F">
        <w:rPr>
          <w:rFonts w:ascii="仿宋" w:hAnsi="仿宋" w:eastAsia="仿宋" w:cs="Times New Roman"/>
          <w:bCs/>
          <w:sz w:val="32"/>
          <w:szCs w:val="32"/>
        </w:rPr>
        <w:t>，每两</w:t>
      </w:r>
      <w:r w:rsidRPr="003C684F" w:rsidR="00F450E4">
        <w:rPr>
          <w:rFonts w:hint="eastAsia" w:ascii="仿宋" w:hAnsi="仿宋" w:eastAsia="仿宋" w:cs="Times New Roman"/>
          <w:bCs/>
          <w:sz w:val="32"/>
          <w:szCs w:val="32"/>
        </w:rPr>
        <w:t>天</w:t>
      </w:r>
      <w:r w:rsidRPr="003C684F">
        <w:rPr>
          <w:rFonts w:ascii="仿宋" w:hAnsi="仿宋" w:eastAsia="仿宋" w:cs="Times New Roman"/>
          <w:bCs/>
          <w:sz w:val="32"/>
          <w:szCs w:val="32"/>
        </w:rPr>
        <w:t>一次（隔</w:t>
      </w:r>
      <w:r w:rsidRPr="003C684F" w:rsidR="00F450E4">
        <w:rPr>
          <w:rFonts w:hint="eastAsia" w:ascii="仿宋" w:hAnsi="仿宋" w:eastAsia="仿宋" w:cs="Times New Roman"/>
          <w:bCs/>
          <w:sz w:val="32"/>
          <w:szCs w:val="32"/>
        </w:rPr>
        <w:t>天</w:t>
      </w:r>
      <w:r w:rsidRPr="003C684F">
        <w:rPr>
          <w:rFonts w:ascii="仿宋" w:hAnsi="仿宋" w:eastAsia="仿宋" w:cs="Times New Roman"/>
          <w:bCs/>
          <w:sz w:val="32"/>
          <w:szCs w:val="32"/>
        </w:rPr>
        <w:t>一次</w:t>
      </w:r>
      <w:r w:rsidRPr="003C684F">
        <w:rPr>
          <w:rFonts w:hint="eastAsia" w:ascii="仿宋" w:hAnsi="仿宋" w:eastAsia="仿宋" w:cs="Times New Roman"/>
          <w:bCs/>
          <w:sz w:val="32"/>
          <w:szCs w:val="32"/>
        </w:rPr>
        <w:t>），口服，随餐服用，持续至疾病进展或患者不再耐受该治疗。</w:t>
      </w:r>
    </w:p>
    <w:p w:rsidRPr="003C684F" w:rsidR="009730C1" w:rsidRDefault="00A315B9" w14:paraId="489F529F" w14:textId="64E30925">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2.</w:t>
      </w:r>
      <w:r w:rsidRPr="003C684F" w:rsidR="00F92328">
        <w:rPr>
          <w:rFonts w:hint="eastAsia" w:ascii="仿宋" w:hAnsi="仿宋" w:eastAsia="仿宋" w:cs="Times New Roman"/>
          <w:bCs/>
          <w:sz w:val="32"/>
          <w:szCs w:val="32"/>
        </w:rPr>
        <w:t>联合使用</w:t>
      </w:r>
      <w:r w:rsidRPr="003C684F">
        <w:rPr>
          <w:rFonts w:ascii="仿宋" w:hAnsi="仿宋" w:eastAsia="仿宋" w:cs="Times New Roman"/>
          <w:bCs/>
          <w:sz w:val="32"/>
          <w:szCs w:val="32"/>
        </w:rPr>
        <w:t>CYP3A4</w:t>
      </w:r>
      <w:r w:rsidRPr="003C684F" w:rsidR="00E543FB">
        <w:rPr>
          <w:rFonts w:hint="eastAsia" w:ascii="仿宋" w:hAnsi="仿宋" w:eastAsia="仿宋" w:cs="仿宋"/>
          <w:sz w:val="32"/>
          <w:szCs w:val="32"/>
        </w:rPr>
        <w:t>强效或中效</w:t>
      </w:r>
      <w:r w:rsidRPr="003C684F">
        <w:rPr>
          <w:rFonts w:ascii="仿宋" w:hAnsi="仿宋" w:eastAsia="仿宋" w:cs="Times New Roman"/>
          <w:bCs/>
          <w:sz w:val="32"/>
          <w:szCs w:val="32"/>
        </w:rPr>
        <w:t>抑制剂：奥雷巴替尼与CYP3A4</w:t>
      </w:r>
      <w:r w:rsidRPr="003C684F" w:rsidR="00E543FB">
        <w:rPr>
          <w:rFonts w:hint="eastAsia" w:ascii="仿宋" w:hAnsi="仿宋" w:eastAsia="仿宋" w:cs="仿宋"/>
          <w:sz w:val="32"/>
          <w:szCs w:val="32"/>
        </w:rPr>
        <w:t>强效或中效</w:t>
      </w:r>
      <w:r w:rsidRPr="003C684F">
        <w:rPr>
          <w:rFonts w:ascii="仿宋" w:hAnsi="仿宋" w:eastAsia="仿宋" w:cs="Times New Roman"/>
          <w:bCs/>
          <w:sz w:val="32"/>
          <w:szCs w:val="32"/>
        </w:rPr>
        <w:t>抑制剂</w:t>
      </w:r>
      <w:r w:rsidRPr="003C684F" w:rsidR="00F92328">
        <w:rPr>
          <w:rFonts w:hint="eastAsia" w:ascii="仿宋" w:hAnsi="仿宋" w:eastAsia="仿宋" w:cs="Times New Roman"/>
          <w:bCs/>
          <w:sz w:val="32"/>
          <w:szCs w:val="32"/>
        </w:rPr>
        <w:t>联合使用</w:t>
      </w:r>
      <w:r w:rsidRPr="003C684F">
        <w:rPr>
          <w:rFonts w:ascii="仿宋" w:hAnsi="仿宋" w:eastAsia="仿宋" w:cs="Times New Roman"/>
          <w:bCs/>
          <w:sz w:val="32"/>
          <w:szCs w:val="32"/>
        </w:rPr>
        <w:t>可能增加奥雷巴替尼的血浆浓度。应避免</w:t>
      </w:r>
      <w:r w:rsidRPr="003C684F" w:rsidR="00F92328">
        <w:rPr>
          <w:rFonts w:ascii="仿宋" w:hAnsi="仿宋" w:eastAsia="仿宋" w:cs="Times New Roman"/>
          <w:bCs/>
          <w:sz w:val="32"/>
          <w:szCs w:val="32"/>
        </w:rPr>
        <w:t>联合使用</w:t>
      </w:r>
      <w:r w:rsidRPr="003C684F">
        <w:rPr>
          <w:rFonts w:ascii="仿宋" w:hAnsi="仿宋" w:eastAsia="仿宋" w:cs="Times New Roman"/>
          <w:bCs/>
          <w:sz w:val="32"/>
          <w:szCs w:val="32"/>
        </w:rPr>
        <w:t>CYP3A4</w:t>
      </w:r>
      <w:r w:rsidRPr="003C684F" w:rsidR="009D028E">
        <w:rPr>
          <w:rFonts w:hint="eastAsia" w:ascii="仿宋" w:hAnsi="仿宋" w:eastAsia="仿宋" w:cs="仿宋"/>
          <w:sz w:val="32"/>
          <w:szCs w:val="32"/>
        </w:rPr>
        <w:t>强效或中效</w:t>
      </w:r>
      <w:r w:rsidRPr="003C684F">
        <w:rPr>
          <w:rFonts w:ascii="仿宋" w:hAnsi="仿宋" w:eastAsia="仿宋" w:cs="Times New Roman"/>
          <w:bCs/>
          <w:sz w:val="32"/>
          <w:szCs w:val="32"/>
        </w:rPr>
        <w:t>抑制剂，比如：CYP3A4</w:t>
      </w:r>
      <w:r w:rsidRPr="003C684F">
        <w:rPr>
          <w:rFonts w:hint="eastAsia" w:ascii="仿宋" w:hAnsi="仿宋" w:eastAsia="仿宋" w:cs="Times New Roman"/>
          <w:bCs/>
          <w:sz w:val="32"/>
          <w:szCs w:val="32"/>
        </w:rPr>
        <w:t>强效抑制剂（伊曲康唑）、</w:t>
      </w:r>
      <w:r w:rsidRPr="003C684F">
        <w:rPr>
          <w:rFonts w:ascii="仿宋" w:hAnsi="仿宋" w:eastAsia="仿宋" w:cs="Times New Roman"/>
          <w:bCs/>
          <w:sz w:val="32"/>
          <w:szCs w:val="32"/>
        </w:rPr>
        <w:t>CYP3A4</w:t>
      </w:r>
      <w:r w:rsidRPr="003C684F">
        <w:rPr>
          <w:rFonts w:hint="eastAsia" w:ascii="仿宋" w:hAnsi="仿宋" w:eastAsia="仿宋" w:cs="Times New Roman"/>
          <w:bCs/>
          <w:sz w:val="32"/>
          <w:szCs w:val="32"/>
        </w:rPr>
        <w:t>中效抑制剂（维拉帕米、氟康唑和红霉素）。建议选择无</w:t>
      </w:r>
      <w:r w:rsidRPr="003C684F">
        <w:rPr>
          <w:rFonts w:ascii="仿宋" w:hAnsi="仿宋" w:eastAsia="仿宋" w:cs="Times New Roman"/>
          <w:bCs/>
          <w:sz w:val="32"/>
          <w:szCs w:val="32"/>
        </w:rPr>
        <w:t>CYP3A4抑制潜能或有CYP3A4微弱抑制潜能的药物作为替代的</w:t>
      </w:r>
      <w:r w:rsidRPr="003C684F" w:rsidR="00F92328">
        <w:rPr>
          <w:rFonts w:ascii="仿宋" w:hAnsi="仿宋" w:eastAsia="仿宋" w:cs="Times New Roman"/>
          <w:bCs/>
          <w:sz w:val="32"/>
          <w:szCs w:val="32"/>
        </w:rPr>
        <w:t>联合使用</w:t>
      </w:r>
      <w:r w:rsidRPr="003C684F">
        <w:rPr>
          <w:rFonts w:ascii="仿宋" w:hAnsi="仿宋" w:eastAsia="仿宋" w:cs="Times New Roman"/>
          <w:bCs/>
          <w:sz w:val="32"/>
          <w:szCs w:val="32"/>
        </w:rPr>
        <w:t>药物。</w:t>
      </w:r>
    </w:p>
    <w:p w:rsidRPr="003C684F" w:rsidR="009730C1" w:rsidRDefault="00A315B9" w14:paraId="23317EB9" w14:textId="140CD269">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3.</w:t>
      </w:r>
      <w:r w:rsidRPr="003C684F" w:rsidR="00DE313C">
        <w:rPr>
          <w:rFonts w:hint="eastAsia" w:ascii="仿宋" w:hAnsi="仿宋" w:eastAsia="仿宋" w:cs="Times New Roman"/>
          <w:bCs/>
          <w:sz w:val="32"/>
          <w:szCs w:val="32"/>
        </w:rPr>
        <w:t>联合使用</w:t>
      </w:r>
      <w:r w:rsidRPr="003C684F">
        <w:rPr>
          <w:rFonts w:ascii="仿宋" w:hAnsi="仿宋" w:eastAsia="仿宋" w:cs="Times New Roman"/>
          <w:bCs/>
          <w:sz w:val="32"/>
          <w:szCs w:val="32"/>
        </w:rPr>
        <w:t>CYP3A4</w:t>
      </w:r>
      <w:r w:rsidRPr="003C684F" w:rsidR="009D028E">
        <w:rPr>
          <w:rFonts w:hint="eastAsia" w:ascii="仿宋" w:hAnsi="仿宋" w:eastAsia="仿宋" w:cs="仿宋"/>
          <w:sz w:val="32"/>
          <w:szCs w:val="32"/>
        </w:rPr>
        <w:t>强效或中效</w:t>
      </w:r>
      <w:r w:rsidRPr="003C684F">
        <w:rPr>
          <w:rFonts w:ascii="仿宋" w:hAnsi="仿宋" w:eastAsia="仿宋" w:cs="Times New Roman"/>
          <w:bCs/>
          <w:sz w:val="32"/>
          <w:szCs w:val="32"/>
        </w:rPr>
        <w:t>诱导剂：奥雷巴替尼与CYP3A4</w:t>
      </w:r>
      <w:r w:rsidRPr="003C684F" w:rsidR="009D028E">
        <w:rPr>
          <w:rFonts w:hint="eastAsia" w:ascii="仿宋" w:hAnsi="仿宋" w:eastAsia="仿宋" w:cs="仿宋"/>
          <w:sz w:val="32"/>
          <w:szCs w:val="32"/>
        </w:rPr>
        <w:t>强效或中效</w:t>
      </w:r>
      <w:r w:rsidRPr="003C684F">
        <w:rPr>
          <w:rFonts w:ascii="仿宋" w:hAnsi="仿宋" w:eastAsia="仿宋" w:cs="Times New Roman"/>
          <w:bCs/>
          <w:sz w:val="32"/>
          <w:szCs w:val="32"/>
        </w:rPr>
        <w:t>诱导剂</w:t>
      </w:r>
      <w:r w:rsidRPr="003C684F" w:rsidR="00F92328">
        <w:rPr>
          <w:rFonts w:ascii="仿宋" w:hAnsi="仿宋" w:eastAsia="仿宋" w:cs="Times New Roman"/>
          <w:bCs/>
          <w:sz w:val="32"/>
          <w:szCs w:val="32"/>
        </w:rPr>
        <w:t>联合使用</w:t>
      </w:r>
      <w:r w:rsidRPr="003C684F">
        <w:rPr>
          <w:rFonts w:ascii="仿宋" w:hAnsi="仿宋" w:eastAsia="仿宋" w:cs="Times New Roman"/>
          <w:bCs/>
          <w:sz w:val="32"/>
          <w:szCs w:val="32"/>
        </w:rPr>
        <w:t>可能降低奥雷巴替尼的血浆浓度。建议选择无或仅有最低程度CYP3A4诱导可能性的药物作为</w:t>
      </w:r>
      <w:r w:rsidRPr="003C684F">
        <w:rPr>
          <w:rFonts w:hint="eastAsia" w:ascii="仿宋" w:hAnsi="仿宋" w:eastAsia="仿宋" w:cs="Times New Roman"/>
          <w:bCs/>
          <w:sz w:val="32"/>
          <w:szCs w:val="32"/>
        </w:rPr>
        <w:t>替代的</w:t>
      </w:r>
      <w:r w:rsidRPr="003C684F" w:rsidR="00F92328">
        <w:rPr>
          <w:rFonts w:hint="eastAsia" w:ascii="仿宋" w:hAnsi="仿宋" w:eastAsia="仿宋" w:cs="Times New Roman"/>
          <w:bCs/>
          <w:sz w:val="32"/>
          <w:szCs w:val="32"/>
        </w:rPr>
        <w:t>联合使用</w:t>
      </w:r>
      <w:r w:rsidRPr="003C684F">
        <w:rPr>
          <w:rFonts w:hint="eastAsia" w:ascii="仿宋" w:hAnsi="仿宋" w:eastAsia="仿宋" w:cs="Times New Roman"/>
          <w:bCs/>
          <w:sz w:val="32"/>
          <w:szCs w:val="32"/>
        </w:rPr>
        <w:t>药物。</w:t>
      </w:r>
    </w:p>
    <w:p w:rsidRPr="003C684F" w:rsidR="009730C1" w:rsidRDefault="00A315B9" w14:paraId="3CD73455" w14:textId="77777777">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4.奥雷巴替尼及其代谢产物基本不通过肾脏清除。轻度</w:t>
      </w:r>
      <w:r w:rsidRPr="003C684F">
        <w:rPr>
          <w:rFonts w:hint="eastAsia" w:ascii="仿宋" w:hAnsi="仿宋" w:eastAsia="仿宋" w:cs="Times New Roman"/>
          <w:bCs/>
          <w:sz w:val="32"/>
          <w:szCs w:val="32"/>
        </w:rPr>
        <w:t>肾功能损伤患者不建议进行剂量调整。中重度肾功能损伤患者必须在医师指导下慎用本品并严密监测肾功能。</w:t>
      </w:r>
    </w:p>
    <w:p w:rsidRPr="003C684F" w:rsidR="009730C1" w:rsidRDefault="00A315B9" w14:paraId="26FF7267" w14:textId="3E740C7B">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5.</w:t>
      </w:r>
      <w:r w:rsidRPr="003C684F">
        <w:rPr>
          <w:rFonts w:hint="eastAsia" w:ascii="仿宋" w:hAnsi="仿宋" w:eastAsia="仿宋" w:cs="Times New Roman"/>
          <w:bCs/>
          <w:sz w:val="32"/>
          <w:szCs w:val="32"/>
        </w:rPr>
        <w:t>慢性髓系白血病人群中的安全性数据：治疗期间常见</w:t>
      </w:r>
      <w:r w:rsidRPr="003C684F">
        <w:rPr>
          <w:rFonts w:hint="eastAsia" w:ascii="仿宋" w:hAnsi="仿宋" w:eastAsia="仿宋" w:cs="Times New Roman"/>
          <w:bCs/>
          <w:sz w:val="32"/>
          <w:szCs w:val="32"/>
        </w:rPr>
        <w:lastRenderedPageBreak/>
        <w:t>不良反应（发生率≥</w:t>
      </w:r>
      <w:r w:rsidRPr="003C684F">
        <w:rPr>
          <w:rFonts w:ascii="仿宋" w:hAnsi="仿宋" w:eastAsia="仿宋" w:cs="Times New Roman"/>
          <w:bCs/>
          <w:sz w:val="32"/>
          <w:szCs w:val="32"/>
        </w:rPr>
        <w:t>10%</w:t>
      </w:r>
      <w:r w:rsidRPr="003C684F">
        <w:rPr>
          <w:rFonts w:hint="eastAsia" w:ascii="仿宋" w:hAnsi="仿宋" w:eastAsia="仿宋" w:cs="Times New Roman"/>
          <w:bCs/>
          <w:sz w:val="32"/>
          <w:szCs w:val="32"/>
        </w:rPr>
        <w:t>）包括</w:t>
      </w:r>
      <w:r w:rsidRPr="003C684F" w:rsidR="00AA068D">
        <w:rPr>
          <w:rFonts w:hint="eastAsia" w:ascii="仿宋" w:hAnsi="仿宋" w:eastAsia="仿宋" w:cs="Times New Roman"/>
          <w:bCs/>
          <w:sz w:val="32"/>
          <w:szCs w:val="32"/>
        </w:rPr>
        <w:t>血小板减少症</w:t>
      </w:r>
      <w:r w:rsidRPr="003C684F">
        <w:rPr>
          <w:rFonts w:hint="eastAsia" w:ascii="仿宋" w:hAnsi="仿宋" w:eastAsia="仿宋" w:cs="Times New Roman"/>
          <w:bCs/>
          <w:sz w:val="32"/>
          <w:szCs w:val="32"/>
        </w:rPr>
        <w:t>、白细胞</w:t>
      </w:r>
      <w:r w:rsidRPr="003C684F">
        <w:rPr>
          <w:rFonts w:ascii="仿宋" w:hAnsi="仿宋" w:eastAsia="仿宋" w:cs="Times New Roman"/>
          <w:bCs/>
          <w:sz w:val="32"/>
          <w:szCs w:val="32"/>
        </w:rPr>
        <w:t>/</w:t>
      </w:r>
      <w:r w:rsidRPr="003C684F" w:rsidR="00AA068D">
        <w:rPr>
          <w:rFonts w:ascii="仿宋" w:hAnsi="仿宋" w:eastAsia="仿宋" w:cs="Times New Roman"/>
          <w:bCs/>
          <w:sz w:val="32"/>
          <w:szCs w:val="32"/>
        </w:rPr>
        <w:t>中性粒细胞减少症</w:t>
      </w:r>
      <w:r w:rsidRPr="003C684F">
        <w:rPr>
          <w:rFonts w:hint="eastAsia" w:ascii="仿宋" w:hAnsi="仿宋" w:eastAsia="仿宋" w:cs="Times New Roman"/>
          <w:bCs/>
          <w:sz w:val="32"/>
          <w:szCs w:val="32"/>
        </w:rPr>
        <w:t>、贫血、</w:t>
      </w:r>
      <w:r w:rsidR="009A2122">
        <w:rPr>
          <w:rFonts w:hint="eastAsia" w:ascii="仿宋" w:hAnsi="仿宋" w:eastAsia="仿宋" w:cs="Times New Roman"/>
          <w:bCs/>
          <w:sz w:val="32"/>
          <w:szCs w:val="32"/>
        </w:rPr>
        <w:t>AST和ALT</w:t>
      </w:r>
      <w:r w:rsidRPr="003C684F">
        <w:rPr>
          <w:rFonts w:hint="eastAsia" w:ascii="仿宋" w:hAnsi="仿宋" w:eastAsia="仿宋" w:cs="Times New Roman"/>
          <w:bCs/>
          <w:sz w:val="32"/>
          <w:szCs w:val="32"/>
        </w:rPr>
        <w:t>升高、血胆红素升高、皮肤色素沉着、高甘油三酯血症、蛋白尿等。发生率≥</w:t>
      </w:r>
      <w:r w:rsidRPr="003C684F">
        <w:rPr>
          <w:rFonts w:ascii="仿宋" w:hAnsi="仿宋" w:eastAsia="仿宋" w:cs="Times New Roman"/>
          <w:bCs/>
          <w:sz w:val="32"/>
          <w:szCs w:val="32"/>
        </w:rPr>
        <w:t>10%的3级及以上不良反应全部在血液系统，包括</w:t>
      </w:r>
      <w:r w:rsidRPr="003C684F" w:rsidR="00AA068D">
        <w:rPr>
          <w:rFonts w:ascii="仿宋" w:hAnsi="仿宋" w:eastAsia="仿宋" w:cs="Times New Roman"/>
          <w:bCs/>
          <w:sz w:val="32"/>
          <w:szCs w:val="32"/>
        </w:rPr>
        <w:t>血小板减少症</w:t>
      </w:r>
      <w:r w:rsidRPr="003C684F">
        <w:rPr>
          <w:rFonts w:ascii="仿宋" w:hAnsi="仿宋" w:eastAsia="仿宋" w:cs="Times New Roman"/>
          <w:bCs/>
          <w:sz w:val="32"/>
          <w:szCs w:val="32"/>
        </w:rPr>
        <w:t>、白细胞/</w:t>
      </w:r>
      <w:r w:rsidRPr="003C684F" w:rsidR="00AA068D">
        <w:rPr>
          <w:rFonts w:ascii="仿宋" w:hAnsi="仿宋" w:eastAsia="仿宋" w:cs="Times New Roman"/>
          <w:bCs/>
          <w:sz w:val="32"/>
          <w:szCs w:val="32"/>
        </w:rPr>
        <w:t>中性粒细胞减少症</w:t>
      </w:r>
      <w:r w:rsidRPr="003C684F">
        <w:rPr>
          <w:rFonts w:ascii="仿宋" w:hAnsi="仿宋" w:eastAsia="仿宋" w:cs="Times New Roman"/>
          <w:bCs/>
          <w:sz w:val="32"/>
          <w:szCs w:val="32"/>
        </w:rPr>
        <w:t>和贫血。有7例受试者（7.4%</w:t>
      </w:r>
      <w:r w:rsidRPr="003C684F">
        <w:rPr>
          <w:rFonts w:hint="eastAsia" w:ascii="仿宋" w:hAnsi="仿宋" w:eastAsia="仿宋" w:cs="Times New Roman"/>
          <w:bCs/>
          <w:sz w:val="32"/>
          <w:szCs w:val="32"/>
        </w:rPr>
        <w:t>）因不良事件而终止治疗，没有导致死亡的不良事件。</w:t>
      </w:r>
    </w:p>
    <w:p w:rsidRPr="003C684F" w:rsidR="009730C1" w:rsidRDefault="00A315B9" w14:paraId="30D4A4DF" w14:textId="77777777">
      <w:pPr>
        <w:spacing w:line="360" w:lineRule="auto"/>
        <w:ind w:firstLine="640" w:firstLineChars="200"/>
        <w:rPr>
          <w:rFonts w:ascii="仿宋" w:hAnsi="仿宋" w:eastAsia="仿宋" w:cs="Times New Roman"/>
          <w:bCs/>
          <w:sz w:val="32"/>
          <w:szCs w:val="32"/>
        </w:rPr>
      </w:pPr>
      <w:r w:rsidRPr="003C684F">
        <w:rPr>
          <w:rFonts w:ascii="仿宋" w:hAnsi="仿宋" w:eastAsia="仿宋" w:cs="Times New Roman"/>
          <w:bCs/>
          <w:sz w:val="32"/>
          <w:szCs w:val="32"/>
        </w:rPr>
        <w:t>6.有生育能力的女性在使用本品治疗期间以及末次给药后4个月内应采取有效的避孕措施。有生育能力的男性在本品治疗期间以及末次给药后4个月内本人或性伴侣也应该采取有效的避孕措施。</w:t>
      </w:r>
    </w:p>
    <w:p w:rsidRPr="003C684F" w:rsidR="009730C1" w:rsidRDefault="00A315B9" w14:paraId="68C5D57A" w14:textId="77777777">
      <w:pPr>
        <w:spacing w:line="360" w:lineRule="auto"/>
        <w:ind w:firstLine="563" w:firstLineChars="176"/>
        <w:rPr>
          <w:rFonts w:ascii="黑体" w:hAnsi="黑体" w:eastAsia="黑体" w:cs="黑体"/>
          <w:sz w:val="32"/>
          <w:szCs w:val="32"/>
        </w:rPr>
      </w:pPr>
      <w:r w:rsidRPr="003C684F">
        <w:rPr>
          <w:rFonts w:hint="eastAsia" w:ascii="黑体" w:hAnsi="黑体" w:eastAsia="黑体" w:cs="黑体"/>
          <w:sz w:val="32"/>
          <w:szCs w:val="32"/>
        </w:rPr>
        <w:t xml:space="preserve">五、氟马替尼 </w:t>
      </w:r>
      <w:r w:rsidRPr="003C684F">
        <w:rPr>
          <w:rFonts w:ascii="黑体" w:hAnsi="黑体" w:eastAsia="黑体" w:cs="黑体"/>
          <w:sz w:val="32"/>
          <w:szCs w:val="32"/>
        </w:rPr>
        <w:t>Flumatinib</w:t>
      </w:r>
    </w:p>
    <w:p w:rsidRPr="003C684F" w:rsidR="009730C1" w:rsidRDefault="00A315B9" w14:paraId="089B9AB1" w14:textId="3673E005">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bCs/>
          <w:sz w:val="32"/>
          <w:szCs w:val="32"/>
        </w:rPr>
        <w:t>制剂与规格：</w:t>
      </w:r>
      <w:r w:rsidRPr="003C684F">
        <w:rPr>
          <w:rFonts w:hint="eastAsia" w:ascii="仿宋" w:hAnsi="仿宋" w:eastAsia="仿宋" w:cs="Times New Roman"/>
          <w:sz w:val="32"/>
          <w:szCs w:val="32"/>
        </w:rPr>
        <w:t>片剂：</w:t>
      </w:r>
      <w:r w:rsidRPr="003C684F" w:rsidR="00F450E4">
        <w:rPr>
          <w:rFonts w:hint="eastAsia" w:ascii="仿宋" w:hAnsi="仿宋" w:eastAsia="仿宋" w:cs="Times New Roman"/>
          <w:sz w:val="32"/>
          <w:szCs w:val="32"/>
        </w:rPr>
        <w:t>100m</w:t>
      </w:r>
      <w:r w:rsidRPr="003C684F">
        <w:rPr>
          <w:rFonts w:ascii="仿宋" w:hAnsi="仿宋" w:eastAsia="仿宋" w:cs="Times New Roman"/>
          <w:sz w:val="32"/>
          <w:szCs w:val="32"/>
        </w:rPr>
        <w:t>g</w:t>
      </w:r>
      <w:r w:rsidRPr="003C684F">
        <w:rPr>
          <w:rFonts w:hint="eastAsia" w:ascii="仿宋" w:hAnsi="仿宋" w:eastAsia="仿宋" w:cs="Times New Roman"/>
          <w:sz w:val="32"/>
          <w:szCs w:val="32"/>
        </w:rPr>
        <w:t>、</w:t>
      </w:r>
      <w:r w:rsidRPr="003C684F" w:rsidR="00F450E4">
        <w:rPr>
          <w:rFonts w:hint="eastAsia" w:ascii="仿宋" w:hAnsi="仿宋" w:eastAsia="仿宋" w:cs="Times New Roman"/>
          <w:sz w:val="32"/>
          <w:szCs w:val="32"/>
        </w:rPr>
        <w:t>200m</w:t>
      </w:r>
      <w:r w:rsidRPr="003C684F" w:rsidR="00F450E4">
        <w:rPr>
          <w:rFonts w:ascii="仿宋" w:hAnsi="仿宋" w:eastAsia="仿宋" w:cs="Times New Roman"/>
          <w:sz w:val="32"/>
          <w:szCs w:val="32"/>
        </w:rPr>
        <w:t>g</w:t>
      </w:r>
      <w:r w:rsidRPr="003C684F">
        <w:rPr>
          <w:rFonts w:hint="eastAsia" w:ascii="仿宋" w:hAnsi="仿宋" w:eastAsia="仿宋" w:cs="Times New Roman"/>
          <w:sz w:val="32"/>
          <w:szCs w:val="32"/>
        </w:rPr>
        <w:t>（以甲磺酸氟马替尼计）</w:t>
      </w:r>
    </w:p>
    <w:p w:rsidRPr="003C684F" w:rsidR="009730C1" w:rsidRDefault="00A315B9" w14:paraId="548A24F5"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bCs/>
          <w:sz w:val="32"/>
          <w:szCs w:val="32"/>
        </w:rPr>
        <w:t>适应证：</w:t>
      </w:r>
      <w:r w:rsidRPr="003C684F">
        <w:rPr>
          <w:rFonts w:hint="eastAsia" w:ascii="仿宋" w:hAnsi="仿宋" w:eastAsia="仿宋" w:cs="Times New Roman"/>
          <w:sz w:val="32"/>
          <w:szCs w:val="32"/>
        </w:rPr>
        <w:t>本品用于治疗费城染色体阳性的慢性髓系白血病慢性期成人患者。</w:t>
      </w:r>
    </w:p>
    <w:p w:rsidRPr="003C684F" w:rsidR="009730C1" w:rsidRDefault="00A315B9" w14:paraId="52B8AEBC"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Times New Roman"/>
          <w:b/>
          <w:bCs/>
          <w:sz w:val="32"/>
          <w:szCs w:val="32"/>
        </w:rPr>
        <w:t>合理用药要点：</w:t>
      </w:r>
    </w:p>
    <w:p w:rsidRPr="003C684F" w:rsidR="009730C1" w:rsidRDefault="00A315B9" w14:paraId="12143313" w14:textId="03F9CBA8">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1.治疗剂量：推荐剂量为</w:t>
      </w:r>
      <w:r w:rsidRPr="003C684F">
        <w:rPr>
          <w:rFonts w:ascii="仿宋" w:hAnsi="仿宋" w:eastAsia="仿宋" w:cs="Times New Roman"/>
          <w:sz w:val="32"/>
          <w:szCs w:val="32"/>
        </w:rPr>
        <w:t>600mg</w:t>
      </w:r>
      <w:r w:rsidRPr="003C684F" w:rsidR="00F450E4">
        <w:rPr>
          <w:rFonts w:hint="eastAsia" w:ascii="仿宋" w:hAnsi="仿宋" w:eastAsia="仿宋" w:cs="Times New Roman"/>
          <w:sz w:val="32"/>
          <w:szCs w:val="32"/>
        </w:rPr>
        <w:t>/次</w:t>
      </w:r>
      <w:r w:rsidRPr="003C684F">
        <w:rPr>
          <w:rFonts w:hint="eastAsia" w:ascii="仿宋" w:hAnsi="仿宋" w:eastAsia="仿宋" w:cs="Times New Roman"/>
          <w:sz w:val="32"/>
          <w:szCs w:val="32"/>
        </w:rPr>
        <w:t>，每天一次，</w:t>
      </w:r>
      <w:r w:rsidRPr="003C684F" w:rsidR="00F450E4">
        <w:rPr>
          <w:rFonts w:hint="eastAsia" w:ascii="仿宋" w:hAnsi="仿宋" w:eastAsia="仿宋" w:cs="Times New Roman"/>
          <w:sz w:val="32"/>
          <w:szCs w:val="32"/>
        </w:rPr>
        <w:t>口服，</w:t>
      </w:r>
      <w:r w:rsidRPr="003C684F">
        <w:rPr>
          <w:rFonts w:hint="eastAsia" w:ascii="仿宋" w:hAnsi="仿宋" w:eastAsia="仿宋" w:cs="Times New Roman"/>
          <w:sz w:val="32"/>
          <w:szCs w:val="32"/>
        </w:rPr>
        <w:t>直至</w:t>
      </w:r>
      <w:r w:rsidRPr="003C684F" w:rsidR="00B95507">
        <w:rPr>
          <w:rFonts w:hint="eastAsia" w:ascii="仿宋" w:hAnsi="仿宋" w:eastAsia="仿宋" w:cs="Times New Roman"/>
          <w:sz w:val="32"/>
          <w:szCs w:val="32"/>
        </w:rPr>
        <w:t>疾病进展或出现不可耐受的毒性。</w:t>
      </w:r>
      <w:r w:rsidRPr="003C684F">
        <w:rPr>
          <w:rFonts w:hint="eastAsia" w:ascii="仿宋" w:hAnsi="仿宋" w:eastAsia="仿宋" w:cs="Times New Roman"/>
          <w:sz w:val="32"/>
          <w:szCs w:val="32"/>
        </w:rPr>
        <w:t>应空腹给药。</w:t>
      </w:r>
    </w:p>
    <w:p w:rsidRPr="003C684F" w:rsidR="009730C1" w:rsidRDefault="00A315B9" w14:paraId="2BF80C09" w14:textId="0731A7B5">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2.安全性数据：</w:t>
      </w:r>
      <w:r w:rsidRPr="003C684F">
        <w:rPr>
          <w:rFonts w:ascii="仿宋" w:hAnsi="仿宋" w:eastAsia="仿宋" w:cs="Times New Roman"/>
          <w:sz w:val="32"/>
          <w:szCs w:val="32"/>
        </w:rPr>
        <w:t>3～4</w:t>
      </w:r>
      <w:r w:rsidRPr="003C684F">
        <w:rPr>
          <w:rFonts w:hint="eastAsia" w:ascii="仿宋" w:hAnsi="仿宋" w:eastAsia="仿宋" w:cs="Times New Roman"/>
          <w:sz w:val="32"/>
          <w:szCs w:val="32"/>
        </w:rPr>
        <w:t>级中性粒细胞</w:t>
      </w:r>
      <w:r w:rsidRPr="003C684F" w:rsidR="00407E47">
        <w:rPr>
          <w:rFonts w:hint="eastAsia" w:ascii="仿宋" w:hAnsi="仿宋" w:eastAsia="仿宋" w:cs="Times New Roman"/>
          <w:sz w:val="32"/>
          <w:szCs w:val="32"/>
        </w:rPr>
        <w:t>减少</w:t>
      </w:r>
      <w:r w:rsidRPr="003C684F">
        <w:rPr>
          <w:rFonts w:hint="eastAsia" w:ascii="仿宋" w:hAnsi="仿宋" w:eastAsia="仿宋" w:cs="Times New Roman"/>
          <w:sz w:val="32"/>
          <w:szCs w:val="32"/>
        </w:rPr>
        <w:t>发生率约为</w:t>
      </w:r>
      <w:r w:rsidRPr="003C684F">
        <w:rPr>
          <w:rFonts w:ascii="仿宋" w:hAnsi="仿宋" w:eastAsia="仿宋" w:cs="Times New Roman"/>
          <w:sz w:val="32"/>
          <w:szCs w:val="32"/>
        </w:rPr>
        <w:t>17.9%</w:t>
      </w:r>
      <w:r w:rsidRPr="003C684F">
        <w:rPr>
          <w:rFonts w:hint="eastAsia" w:ascii="仿宋" w:hAnsi="仿宋" w:eastAsia="仿宋" w:cs="Times New Roman"/>
          <w:sz w:val="32"/>
          <w:szCs w:val="32"/>
        </w:rPr>
        <w:t>，</w:t>
      </w:r>
      <w:r w:rsidRPr="003C684F">
        <w:rPr>
          <w:rFonts w:ascii="仿宋" w:hAnsi="仿宋" w:eastAsia="仿宋" w:cs="Times New Roman"/>
          <w:sz w:val="32"/>
          <w:szCs w:val="32"/>
        </w:rPr>
        <w:t>3～4</w:t>
      </w:r>
      <w:r w:rsidRPr="003C684F">
        <w:rPr>
          <w:rFonts w:hint="eastAsia" w:ascii="仿宋" w:hAnsi="仿宋" w:eastAsia="仿宋" w:cs="Times New Roman"/>
          <w:sz w:val="32"/>
          <w:szCs w:val="32"/>
        </w:rPr>
        <w:t>级血小板减少发生率约为</w:t>
      </w:r>
      <w:r w:rsidRPr="003C684F" w:rsidR="0098577A">
        <w:rPr>
          <w:rFonts w:ascii="仿宋" w:hAnsi="仿宋" w:eastAsia="仿宋" w:cs="Times New Roman"/>
          <w:sz w:val="32"/>
          <w:szCs w:val="32"/>
        </w:rPr>
        <w:t>24.5%</w:t>
      </w:r>
      <w:r w:rsidRPr="003C684F">
        <w:rPr>
          <w:rFonts w:hint="eastAsia" w:ascii="仿宋" w:hAnsi="仿宋" w:eastAsia="仿宋" w:cs="Times New Roman"/>
          <w:sz w:val="32"/>
          <w:szCs w:val="32"/>
        </w:rPr>
        <w:t>，</w:t>
      </w:r>
      <w:r w:rsidRPr="003C684F">
        <w:rPr>
          <w:rFonts w:ascii="仿宋" w:hAnsi="仿宋" w:eastAsia="仿宋" w:cs="Times New Roman"/>
          <w:sz w:val="32"/>
          <w:szCs w:val="32"/>
        </w:rPr>
        <w:t>3～4</w:t>
      </w:r>
      <w:r w:rsidRPr="003C684F">
        <w:rPr>
          <w:rFonts w:hint="eastAsia" w:ascii="仿宋" w:hAnsi="仿宋" w:eastAsia="仿宋" w:cs="Times New Roman"/>
          <w:sz w:val="32"/>
          <w:szCs w:val="32"/>
        </w:rPr>
        <w:t>级贫血发生率约为</w:t>
      </w:r>
      <w:r w:rsidRPr="003C684F">
        <w:rPr>
          <w:rFonts w:ascii="仿宋" w:hAnsi="仿宋" w:eastAsia="仿宋" w:cs="Times New Roman"/>
          <w:sz w:val="32"/>
          <w:szCs w:val="32"/>
        </w:rPr>
        <w:t>4.6%</w:t>
      </w:r>
      <w:r w:rsidRPr="003C684F">
        <w:rPr>
          <w:rFonts w:hint="eastAsia" w:ascii="仿宋" w:hAnsi="仿宋" w:eastAsia="仿宋" w:cs="Times New Roman"/>
          <w:sz w:val="32"/>
          <w:szCs w:val="32"/>
        </w:rPr>
        <w:t>。不支持在髓系恶性肿瘤中使用促红细胞生成素，建议输注红细胞。恶心、呕吐</w:t>
      </w:r>
      <w:r w:rsidRPr="003C684F" w:rsidR="0098577A">
        <w:rPr>
          <w:rFonts w:hint="eastAsia" w:ascii="仿宋" w:hAnsi="仿宋" w:eastAsia="仿宋" w:cs="Times New Roman"/>
          <w:sz w:val="32"/>
          <w:szCs w:val="32"/>
        </w:rPr>
        <w:t>绝大部分</w:t>
      </w:r>
      <w:r w:rsidRPr="003C684F">
        <w:rPr>
          <w:rFonts w:hint="eastAsia" w:ascii="仿宋" w:hAnsi="仿宋" w:eastAsia="仿宋" w:cs="Times New Roman"/>
          <w:sz w:val="32"/>
          <w:szCs w:val="32"/>
        </w:rPr>
        <w:t>为</w:t>
      </w:r>
      <w:r w:rsidRPr="003C684F">
        <w:rPr>
          <w:rFonts w:ascii="仿宋" w:hAnsi="仿宋" w:eastAsia="仿宋" w:cs="Times New Roman"/>
          <w:sz w:val="32"/>
          <w:szCs w:val="32"/>
        </w:rPr>
        <w:t>1～2</w:t>
      </w:r>
      <w:r w:rsidRPr="003C684F">
        <w:rPr>
          <w:rFonts w:hint="eastAsia" w:ascii="仿宋" w:hAnsi="仿宋" w:eastAsia="仿宋" w:cs="Times New Roman"/>
          <w:sz w:val="32"/>
          <w:szCs w:val="32"/>
        </w:rPr>
        <w:t>级。</w:t>
      </w:r>
      <w:r w:rsidRPr="003C684F">
        <w:rPr>
          <w:rFonts w:hint="eastAsia" w:ascii="仿宋" w:hAnsi="仿宋" w:eastAsia="仿宋" w:cs="Times New Roman"/>
          <w:sz w:val="32"/>
          <w:szCs w:val="32"/>
        </w:rPr>
        <w:lastRenderedPageBreak/>
        <w:t>腹泻发生率为</w:t>
      </w:r>
      <w:r w:rsidRPr="003C684F">
        <w:rPr>
          <w:rFonts w:ascii="仿宋" w:hAnsi="仿宋" w:eastAsia="仿宋" w:cs="Times New Roman"/>
          <w:sz w:val="32"/>
          <w:szCs w:val="32"/>
        </w:rPr>
        <w:t>38.8%</w:t>
      </w:r>
      <w:r w:rsidRPr="003C684F">
        <w:rPr>
          <w:rFonts w:hint="eastAsia" w:ascii="仿宋" w:hAnsi="仿宋" w:eastAsia="仿宋" w:cs="Times New Roman"/>
          <w:sz w:val="32"/>
          <w:szCs w:val="32"/>
        </w:rPr>
        <w:t>（</w:t>
      </w:r>
      <w:r w:rsidRPr="003C684F">
        <w:rPr>
          <w:rFonts w:ascii="仿宋" w:hAnsi="仿宋" w:eastAsia="仿宋" w:cs="Times New Roman"/>
          <w:sz w:val="32"/>
          <w:szCs w:val="32"/>
        </w:rPr>
        <w:t>3～4</w:t>
      </w:r>
      <w:r w:rsidRPr="003C684F">
        <w:rPr>
          <w:rFonts w:hint="eastAsia" w:ascii="仿宋" w:hAnsi="仿宋" w:eastAsia="仿宋" w:cs="Times New Roman"/>
          <w:sz w:val="32"/>
          <w:szCs w:val="32"/>
        </w:rPr>
        <w:t>级占</w:t>
      </w:r>
      <w:r w:rsidRPr="003C684F">
        <w:rPr>
          <w:rFonts w:ascii="仿宋" w:hAnsi="仿宋" w:eastAsia="仿宋" w:cs="Times New Roman"/>
          <w:sz w:val="32"/>
          <w:szCs w:val="32"/>
        </w:rPr>
        <w:t>0.5%</w:t>
      </w:r>
      <w:r w:rsidRPr="003C684F">
        <w:rPr>
          <w:rFonts w:hint="eastAsia" w:ascii="仿宋" w:hAnsi="仿宋" w:eastAsia="仿宋" w:cs="Times New Roman"/>
          <w:sz w:val="32"/>
          <w:szCs w:val="32"/>
        </w:rPr>
        <w:t>），持续时间多为小于</w:t>
      </w:r>
      <w:r w:rsidRPr="003C684F">
        <w:rPr>
          <w:rFonts w:ascii="仿宋" w:hAnsi="仿宋" w:eastAsia="仿宋" w:cs="Times New Roman"/>
          <w:sz w:val="32"/>
          <w:szCs w:val="32"/>
        </w:rPr>
        <w:t>1</w:t>
      </w:r>
      <w:r w:rsidRPr="003C684F">
        <w:rPr>
          <w:rFonts w:hint="eastAsia" w:ascii="仿宋" w:hAnsi="仿宋" w:eastAsia="仿宋" w:cs="Times New Roman"/>
          <w:sz w:val="32"/>
          <w:szCs w:val="32"/>
        </w:rPr>
        <w:t>天。</w:t>
      </w:r>
    </w:p>
    <w:p w:rsidRPr="003C684F" w:rsidR="009730C1" w:rsidRDefault="00A315B9" w14:paraId="65F28E95"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六、伊布替尼 I</w:t>
      </w:r>
      <w:r w:rsidRPr="003C684F">
        <w:rPr>
          <w:rFonts w:ascii="黑体" w:hAnsi="黑体" w:eastAsia="黑体" w:cs="黑体"/>
          <w:sz w:val="32"/>
          <w:szCs w:val="32"/>
        </w:rPr>
        <w:t>brutinib</w:t>
      </w:r>
    </w:p>
    <w:p w:rsidRPr="003C684F" w:rsidR="009730C1" w:rsidRDefault="00A315B9" w14:paraId="2554D7C0"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140mg</w:t>
      </w:r>
    </w:p>
    <w:p w:rsidRPr="003C684F" w:rsidR="009730C1" w:rsidRDefault="00A315B9" w14:paraId="42E5B0A0"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00B5B5BB"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单药适用于既往至少接受过一种治疗的套细胞淋巴瘤患者的治疗。</w:t>
      </w:r>
    </w:p>
    <w:p w:rsidRPr="003C684F" w:rsidR="009730C1" w:rsidRDefault="00A315B9" w14:paraId="560984F9"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单药治疗初治及复发的慢性淋巴细胞白血病</w:t>
      </w:r>
      <w:r w:rsidRPr="003C684F">
        <w:rPr>
          <w:rFonts w:ascii="仿宋" w:hAnsi="仿宋" w:eastAsia="仿宋" w:cs="仿宋"/>
          <w:sz w:val="32"/>
          <w:szCs w:val="32"/>
        </w:rPr>
        <w:t>/</w:t>
      </w:r>
      <w:r w:rsidRPr="003C684F">
        <w:rPr>
          <w:rFonts w:hint="eastAsia" w:ascii="仿宋" w:hAnsi="仿宋" w:eastAsia="仿宋" w:cs="仿宋"/>
          <w:sz w:val="32"/>
          <w:szCs w:val="32"/>
        </w:rPr>
        <w:t>小淋巴细胞淋巴瘤患者的治疗。</w:t>
      </w:r>
    </w:p>
    <w:p w:rsidRPr="003C684F" w:rsidR="009730C1" w:rsidRDefault="00A315B9" w14:paraId="463F2D95"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单药或与利妥昔单抗联合治疗初治及复发的华氏巨球蛋白血症。</w:t>
      </w:r>
    </w:p>
    <w:p w:rsidRPr="003C684F" w:rsidR="009730C1" w:rsidRDefault="00A315B9" w14:paraId="00C48C5E"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0F49A075" w14:textId="7B4D6272">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伊布替尼用于慢性淋巴细胞白血病治疗前，应进行严格临床评估，如果患者有明确del（17p）</w:t>
      </w:r>
      <w:r w:rsidRPr="003C684F" w:rsidR="00A3687B">
        <w:rPr>
          <w:rFonts w:hint="eastAsia" w:ascii="仿宋" w:hAnsi="仿宋" w:eastAsia="仿宋" w:cs="仿宋"/>
          <w:sz w:val="32"/>
          <w:szCs w:val="32"/>
        </w:rPr>
        <w:t>和/或TP53突变，建议首</w:t>
      </w:r>
      <w:r w:rsidRPr="003C684F">
        <w:rPr>
          <w:rFonts w:hint="eastAsia" w:ascii="仿宋" w:hAnsi="仿宋" w:eastAsia="仿宋" w:cs="仿宋"/>
          <w:sz w:val="32"/>
          <w:szCs w:val="32"/>
        </w:rPr>
        <w:t>选BTK抑制剂治疗。</w:t>
      </w:r>
    </w:p>
    <w:p w:rsidRPr="003C684F" w:rsidR="009730C1" w:rsidRDefault="00A315B9" w14:paraId="169D65B9"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2.用药前必须明确诊断套细胞淋巴瘤或慢性淋巴细胞白血病或华氏巨球蛋白血症，根据诊断不同，治疗剂量不同。</w:t>
      </w:r>
    </w:p>
    <w:p w:rsidRPr="003C684F" w:rsidR="009730C1" w:rsidRDefault="00A315B9" w14:paraId="2F54388C"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应该按照相关疾病指南，治疗前做基线评估，治疗期间定期监测治疗反应及毒性。</w:t>
      </w:r>
    </w:p>
    <w:p w:rsidRPr="003C684F" w:rsidR="009730C1" w:rsidRDefault="00A315B9" w14:paraId="4D0A15E2" w14:textId="13B80BB5">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治疗</w:t>
      </w:r>
      <w:r w:rsidRPr="003C684F">
        <w:rPr>
          <w:rFonts w:ascii="仿宋" w:hAnsi="仿宋" w:eastAsia="仿宋" w:cs="仿宋"/>
          <w:sz w:val="32"/>
          <w:szCs w:val="32"/>
        </w:rPr>
        <w:t>套细胞淋巴瘤</w:t>
      </w:r>
      <w:r w:rsidRPr="003C684F">
        <w:rPr>
          <w:rFonts w:hint="eastAsia" w:ascii="仿宋" w:hAnsi="仿宋" w:eastAsia="仿宋" w:cs="仿宋"/>
          <w:sz w:val="32"/>
          <w:szCs w:val="32"/>
        </w:rPr>
        <w:t>的推荐剂量为</w:t>
      </w:r>
      <w:r w:rsidRPr="003C684F">
        <w:rPr>
          <w:rFonts w:ascii="仿宋" w:hAnsi="仿宋" w:eastAsia="仿宋" w:cs="仿宋"/>
          <w:sz w:val="32"/>
          <w:szCs w:val="32"/>
        </w:rPr>
        <w:t>560mg</w:t>
      </w:r>
      <w:r w:rsidRPr="003C684F" w:rsidR="009749A2">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9749A2">
        <w:rPr>
          <w:rFonts w:hint="eastAsia" w:ascii="仿宋" w:hAnsi="仿宋" w:eastAsia="仿宋" w:cs="仿宋"/>
          <w:sz w:val="32"/>
          <w:szCs w:val="32"/>
        </w:rPr>
        <w:t>，口服，</w:t>
      </w:r>
      <w:r w:rsidRPr="003C684F">
        <w:rPr>
          <w:rFonts w:hint="eastAsia" w:ascii="仿宋" w:hAnsi="仿宋" w:eastAsia="仿宋" w:cs="仿宋"/>
          <w:sz w:val="32"/>
          <w:szCs w:val="32"/>
        </w:rPr>
        <w:t>直至疾病进展或出现不可耐受的毒性；</w:t>
      </w:r>
      <w:r w:rsidRPr="003C684F">
        <w:rPr>
          <w:rFonts w:hint="eastAsia" w:ascii="仿宋" w:hAnsi="仿宋" w:eastAsia="仿宋" w:cs="仿宋"/>
          <w:color w:val="000000"/>
          <w:sz w:val="32"/>
          <w:szCs w:val="32"/>
        </w:rPr>
        <w:t>治疗</w:t>
      </w:r>
      <w:r w:rsidRPr="003C684F">
        <w:rPr>
          <w:rFonts w:ascii="仿宋" w:hAnsi="仿宋" w:eastAsia="仿宋" w:cs="仿宋"/>
          <w:color w:val="000000"/>
          <w:sz w:val="32"/>
          <w:szCs w:val="32"/>
        </w:rPr>
        <w:t>慢性淋巴细胞白血病/小淋巴细胞淋巴瘤</w:t>
      </w:r>
      <w:r w:rsidRPr="003C684F">
        <w:rPr>
          <w:rFonts w:hint="eastAsia" w:ascii="仿宋" w:hAnsi="仿宋" w:eastAsia="仿宋" w:cs="仿宋"/>
          <w:color w:val="000000"/>
          <w:sz w:val="32"/>
          <w:szCs w:val="32"/>
        </w:rPr>
        <w:t>和</w:t>
      </w:r>
      <w:r w:rsidRPr="003C684F">
        <w:rPr>
          <w:rFonts w:hint="eastAsia" w:ascii="仿宋" w:hAnsi="仿宋" w:eastAsia="仿宋" w:cs="仿宋"/>
          <w:sz w:val="32"/>
          <w:szCs w:val="32"/>
        </w:rPr>
        <w:t>华氏巨球蛋白血症</w:t>
      </w:r>
      <w:r w:rsidRPr="003C684F">
        <w:rPr>
          <w:rFonts w:hint="eastAsia" w:ascii="仿宋" w:hAnsi="仿宋" w:eastAsia="仿宋" w:cs="仿宋"/>
          <w:color w:val="000000"/>
          <w:sz w:val="32"/>
          <w:szCs w:val="32"/>
        </w:rPr>
        <w:t>的推荐</w:t>
      </w:r>
      <w:r w:rsidRPr="003C684F">
        <w:rPr>
          <w:rFonts w:hint="eastAsia" w:ascii="仿宋" w:hAnsi="仿宋" w:eastAsia="仿宋" w:cs="仿宋"/>
          <w:color w:val="000000"/>
          <w:sz w:val="32"/>
          <w:szCs w:val="32"/>
        </w:rPr>
        <w:lastRenderedPageBreak/>
        <w:t>剂量为</w:t>
      </w:r>
      <w:r w:rsidRPr="003C684F">
        <w:rPr>
          <w:rFonts w:ascii="仿宋" w:hAnsi="仿宋" w:eastAsia="仿宋" w:cs="仿宋"/>
          <w:color w:val="000000"/>
          <w:sz w:val="32"/>
          <w:szCs w:val="32"/>
        </w:rPr>
        <w:t>420mg</w:t>
      </w:r>
      <w:r w:rsidRPr="003C684F" w:rsidR="009749A2">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，每天一次</w:t>
      </w:r>
      <w:r w:rsidRPr="003C684F" w:rsidR="009749A2">
        <w:rPr>
          <w:rFonts w:hint="eastAsia" w:ascii="仿宋" w:hAnsi="仿宋" w:eastAsia="仿宋" w:cs="仿宋"/>
          <w:color w:val="000000"/>
          <w:sz w:val="32"/>
          <w:szCs w:val="32"/>
        </w:rPr>
        <w:t>，口服，</w:t>
      </w:r>
      <w:r w:rsidRPr="003C684F">
        <w:rPr>
          <w:rFonts w:hint="eastAsia" w:ascii="仿宋" w:hAnsi="仿宋" w:eastAsia="仿宋" w:cs="仿宋"/>
          <w:color w:val="000000"/>
          <w:sz w:val="32"/>
          <w:szCs w:val="32"/>
        </w:rPr>
        <w:t>直至</w:t>
      </w:r>
      <w:r w:rsidRPr="003C684F" w:rsidR="00B95507">
        <w:rPr>
          <w:rFonts w:hint="eastAsia" w:ascii="仿宋" w:hAnsi="仿宋" w:eastAsia="仿宋" w:cs="仿宋"/>
          <w:color w:val="000000"/>
          <w:sz w:val="32"/>
          <w:szCs w:val="32"/>
        </w:rPr>
        <w:t>疾病进展或出现不可耐受的毒性。</w:t>
      </w:r>
    </w:p>
    <w:p w:rsidRPr="003C684F" w:rsidR="009730C1" w:rsidRDefault="00A315B9" w14:paraId="16F65815"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color w:val="000000"/>
          <w:sz w:val="32"/>
          <w:szCs w:val="32"/>
        </w:rPr>
        <w:t>轻度肝功能损伤患者的推荐剂量是每天</w:t>
      </w:r>
      <w:r w:rsidRPr="003C684F">
        <w:rPr>
          <w:rFonts w:ascii="仿宋" w:hAnsi="仿宋" w:eastAsia="仿宋" w:cs="仿宋"/>
          <w:color w:val="000000"/>
          <w:sz w:val="32"/>
          <w:szCs w:val="32"/>
        </w:rPr>
        <w:t>140mg</w:t>
      </w:r>
      <w:r w:rsidRPr="003C684F">
        <w:rPr>
          <w:rFonts w:hint="eastAsia" w:ascii="仿宋" w:hAnsi="仿宋" w:eastAsia="仿宋" w:cs="仿宋"/>
          <w:color w:val="000000"/>
          <w:sz w:val="32"/>
          <w:szCs w:val="32"/>
        </w:rPr>
        <w:t>。中重度肝功能损伤患者应避免使用。</w:t>
      </w:r>
    </w:p>
    <w:p w:rsidRPr="003C684F" w:rsidR="009730C1" w:rsidRDefault="00A315B9" w14:paraId="039DD8AD" w14:textId="77777777">
      <w:pPr>
        <w:spacing w:line="360" w:lineRule="auto"/>
        <w:ind w:firstLine="640" w:firstLineChars="200"/>
        <w:rPr>
          <w:rFonts w:ascii="仿宋" w:hAnsi="仿宋" w:eastAsia="仿宋" w:cs="Times New Roman"/>
          <w:color w:val="000000"/>
          <w:sz w:val="32"/>
          <w:szCs w:val="32"/>
        </w:rPr>
      </w:pPr>
      <w:r w:rsidRPr="003C684F">
        <w:rPr>
          <w:rFonts w:hint="eastAsia" w:ascii="仿宋" w:hAnsi="仿宋" w:eastAsia="仿宋" w:cs="仿宋"/>
          <w:color w:val="000000"/>
          <w:sz w:val="32"/>
          <w:szCs w:val="32"/>
        </w:rPr>
        <w:t>6</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口服给药，每天一次，每天的用药时间大致固定。应用水送服整粒胶囊。请勿打开、弄破或咀嚼胶囊。如果未在计划时间服用本品，可以在当天尽快服用，第2天继续在正常计划时间服药。请勿额外服用本品以弥补漏服剂量。</w:t>
      </w:r>
    </w:p>
    <w:p w:rsidRPr="003C684F" w:rsidR="009730C1" w:rsidRDefault="00A315B9" w14:paraId="598E1D6B" w14:textId="36CCBF60">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color w:val="000000"/>
          <w:sz w:val="32"/>
          <w:szCs w:val="32"/>
        </w:rPr>
        <w:t>7</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出现任何≥</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级非血液学毒性、≥</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级伴感染或发热性中性粒细胞减少症</w:t>
      </w:r>
      <w:r w:rsidRPr="003C684F" w:rsidR="00DB4978">
        <w:rPr>
          <w:rFonts w:hint="eastAsia" w:ascii="仿宋" w:hAnsi="仿宋" w:eastAsia="仿宋" w:cs="仿宋"/>
          <w:color w:val="000000"/>
          <w:sz w:val="32"/>
          <w:szCs w:val="32"/>
        </w:rPr>
        <w:t>或</w:t>
      </w:r>
      <w:r w:rsidRPr="003C684F">
        <w:rPr>
          <w:rFonts w:ascii="仿宋" w:hAnsi="仿宋" w:eastAsia="仿宋" w:cs="仿宋"/>
          <w:color w:val="000000"/>
          <w:sz w:val="32"/>
          <w:szCs w:val="32"/>
        </w:rPr>
        <w:t>4</w:t>
      </w:r>
      <w:r w:rsidRPr="003C684F">
        <w:rPr>
          <w:rFonts w:hint="eastAsia" w:ascii="仿宋" w:hAnsi="仿宋" w:eastAsia="仿宋" w:cs="仿宋"/>
          <w:color w:val="000000"/>
          <w:sz w:val="32"/>
          <w:szCs w:val="32"/>
        </w:rPr>
        <w:t>级血液学毒性时，应中断治疗。待毒性症状消退至</w:t>
      </w:r>
      <w:r w:rsidRPr="003C684F">
        <w:rPr>
          <w:rFonts w:ascii="仿宋" w:hAnsi="仿宋" w:eastAsia="仿宋" w:cs="仿宋"/>
          <w:color w:val="000000"/>
          <w:sz w:val="32"/>
          <w:szCs w:val="32"/>
        </w:rPr>
        <w:t>1</w:t>
      </w:r>
      <w:r w:rsidRPr="003C684F">
        <w:rPr>
          <w:rFonts w:hint="eastAsia" w:ascii="仿宋" w:hAnsi="仿宋" w:eastAsia="仿宋" w:cs="仿宋"/>
          <w:color w:val="000000"/>
          <w:sz w:val="32"/>
          <w:szCs w:val="32"/>
        </w:rPr>
        <w:t>级或基线水平（恢复）时，可以起始剂量重新开始治疗。如果该毒性再次发生，应将剂量减少</w:t>
      </w:r>
      <w:r w:rsidRPr="003C684F">
        <w:rPr>
          <w:rFonts w:ascii="仿宋" w:hAnsi="仿宋" w:eastAsia="仿宋" w:cs="仿宋"/>
          <w:color w:val="000000"/>
          <w:sz w:val="32"/>
          <w:szCs w:val="32"/>
        </w:rPr>
        <w:t>140mg，</w:t>
      </w:r>
      <w:r w:rsidRPr="003C684F">
        <w:rPr>
          <w:rFonts w:hint="eastAsia" w:ascii="仿宋" w:hAnsi="仿宋" w:eastAsia="仿宋" w:cs="仿宋"/>
          <w:color w:val="000000"/>
          <w:sz w:val="32"/>
          <w:szCs w:val="32"/>
        </w:rPr>
        <w:t>如有需要，可以考虑再减少</w:t>
      </w:r>
      <w:r w:rsidRPr="003C684F">
        <w:rPr>
          <w:rFonts w:ascii="仿宋" w:hAnsi="仿宋" w:eastAsia="仿宋" w:cs="仿宋"/>
          <w:color w:val="000000"/>
          <w:sz w:val="32"/>
          <w:szCs w:val="32"/>
        </w:rPr>
        <w:t>140mg</w:t>
      </w:r>
      <w:r w:rsidRPr="003C684F">
        <w:rPr>
          <w:rFonts w:hint="eastAsia" w:ascii="仿宋" w:hAnsi="仿宋" w:eastAsia="仿宋" w:cs="仿宋"/>
          <w:color w:val="000000"/>
          <w:sz w:val="32"/>
          <w:szCs w:val="32"/>
        </w:rPr>
        <w:t>。如果在两次剂量降低后该毒性仍然存在或再次发生，应停用。</w:t>
      </w:r>
    </w:p>
    <w:p w:rsidRPr="003C684F" w:rsidR="009730C1" w:rsidRDefault="00A315B9" w14:paraId="3C0B7108" w14:textId="7B717063">
      <w:pPr>
        <w:spacing w:line="360" w:lineRule="auto"/>
        <w:ind w:firstLine="640" w:firstLineChars="200"/>
        <w:rPr>
          <w:rFonts w:ascii="仿宋" w:hAnsi="仿宋" w:eastAsia="仿宋" w:cs="仿宋"/>
          <w:color w:val="000000"/>
          <w:sz w:val="32"/>
          <w:szCs w:val="32"/>
        </w:rPr>
      </w:pPr>
      <w:r w:rsidRPr="003C684F">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接受本药治疗的</w:t>
      </w:r>
      <w:r w:rsidRPr="003C684F">
        <w:rPr>
          <w:rFonts w:ascii="仿宋" w:hAnsi="仿宋" w:eastAsia="仿宋" w:cs="仿宋"/>
          <w:color w:val="000000"/>
          <w:sz w:val="32"/>
          <w:szCs w:val="32"/>
        </w:rPr>
        <w:t>套细胞淋巴瘤</w:t>
      </w:r>
      <w:r w:rsidRPr="003C684F">
        <w:rPr>
          <w:rFonts w:hint="eastAsia" w:ascii="仿宋" w:hAnsi="仿宋" w:eastAsia="仿宋" w:cs="仿宋"/>
          <w:color w:val="000000"/>
          <w:sz w:val="32"/>
          <w:szCs w:val="32"/>
        </w:rPr>
        <w:t>患者最常发生的不良反应（≥</w:t>
      </w:r>
      <w:r w:rsidRPr="003C684F">
        <w:rPr>
          <w:rFonts w:ascii="仿宋" w:hAnsi="仿宋" w:eastAsia="仿宋" w:cs="仿宋"/>
          <w:color w:val="000000"/>
          <w:sz w:val="32"/>
          <w:szCs w:val="32"/>
        </w:rPr>
        <w:t>20%</w:t>
      </w:r>
      <w:r w:rsidRPr="003C684F">
        <w:rPr>
          <w:rFonts w:hint="eastAsia" w:ascii="仿宋" w:hAnsi="仿宋" w:eastAsia="仿宋" w:cs="仿宋"/>
          <w:color w:val="000000"/>
          <w:sz w:val="32"/>
          <w:szCs w:val="32"/>
        </w:rPr>
        <w:t>）是腹泻、出血（如青肿）、疲乏、骨骼肌肉疼痛、恶心、上呼吸道感染、咳嗽和皮疹。最常见的</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级或</w:t>
      </w:r>
      <w:r w:rsidRPr="003C684F">
        <w:rPr>
          <w:rFonts w:ascii="仿宋" w:hAnsi="仿宋" w:eastAsia="仿宋" w:cs="仿宋"/>
          <w:color w:val="000000"/>
          <w:sz w:val="32"/>
          <w:szCs w:val="32"/>
        </w:rPr>
        <w:t>4</w:t>
      </w:r>
      <w:r w:rsidRPr="003C684F">
        <w:rPr>
          <w:rFonts w:hint="eastAsia" w:ascii="仿宋" w:hAnsi="仿宋" w:eastAsia="仿宋" w:cs="仿宋"/>
          <w:color w:val="000000"/>
          <w:sz w:val="32"/>
          <w:szCs w:val="32"/>
        </w:rPr>
        <w:t>级不良反应（≥</w:t>
      </w:r>
      <w:r w:rsidRPr="003C684F">
        <w:rPr>
          <w:rFonts w:ascii="仿宋" w:hAnsi="仿宋" w:eastAsia="仿宋" w:cs="仿宋"/>
          <w:color w:val="000000"/>
          <w:sz w:val="32"/>
          <w:szCs w:val="32"/>
        </w:rPr>
        <w:t>5%</w:t>
      </w:r>
      <w:r w:rsidRPr="003C684F">
        <w:rPr>
          <w:rFonts w:hint="eastAsia" w:ascii="仿宋" w:hAnsi="仿宋" w:eastAsia="仿宋" w:cs="仿宋"/>
          <w:color w:val="000000"/>
          <w:sz w:val="32"/>
          <w:szCs w:val="32"/>
        </w:rPr>
        <w:t>）是</w:t>
      </w:r>
      <w:r w:rsidRPr="003C684F" w:rsidR="00A3687B">
        <w:rPr>
          <w:rFonts w:hint="eastAsia" w:ascii="仿宋" w:hAnsi="仿宋" w:eastAsia="仿宋" w:cs="仿宋"/>
          <w:color w:val="000000"/>
          <w:sz w:val="32"/>
          <w:szCs w:val="32"/>
        </w:rPr>
        <w:t>房颤、</w:t>
      </w:r>
      <w:r w:rsidRPr="003C684F">
        <w:rPr>
          <w:rFonts w:hint="eastAsia" w:ascii="仿宋" w:hAnsi="仿宋" w:eastAsia="仿宋" w:cs="仿宋"/>
          <w:color w:val="000000"/>
          <w:sz w:val="32"/>
          <w:szCs w:val="32"/>
        </w:rPr>
        <w:t>中性粒细胞减少症、血小板减少症、感染性肺炎和贫血。接受本药治疗的</w:t>
      </w:r>
      <w:r w:rsidRPr="003C684F">
        <w:rPr>
          <w:rFonts w:ascii="仿宋" w:hAnsi="仿宋" w:eastAsia="仿宋" w:cs="仿宋"/>
          <w:color w:val="000000"/>
          <w:sz w:val="32"/>
          <w:szCs w:val="32"/>
        </w:rPr>
        <w:t>慢性淋巴细胞白血病</w:t>
      </w:r>
      <w:r w:rsidRPr="003C684F">
        <w:rPr>
          <w:rFonts w:hint="eastAsia" w:ascii="仿宋" w:hAnsi="仿宋" w:eastAsia="仿宋" w:cs="仿宋"/>
          <w:color w:val="000000"/>
          <w:sz w:val="32"/>
          <w:szCs w:val="32"/>
        </w:rPr>
        <w:t>或</w:t>
      </w:r>
      <w:r w:rsidRPr="003C684F">
        <w:rPr>
          <w:rFonts w:ascii="仿宋" w:hAnsi="仿宋" w:eastAsia="仿宋" w:cs="仿宋"/>
          <w:color w:val="000000"/>
          <w:sz w:val="32"/>
          <w:szCs w:val="32"/>
        </w:rPr>
        <w:t>小淋巴细胞淋巴瘤</w:t>
      </w:r>
      <w:r w:rsidRPr="003C684F">
        <w:rPr>
          <w:rFonts w:hint="eastAsia" w:ascii="仿宋" w:hAnsi="仿宋" w:eastAsia="仿宋" w:cs="仿宋"/>
          <w:color w:val="000000"/>
          <w:sz w:val="32"/>
          <w:szCs w:val="32"/>
        </w:rPr>
        <w:t>患者最常发生的不良反应（≥</w:t>
      </w:r>
      <w:r w:rsidRPr="003C684F">
        <w:rPr>
          <w:rFonts w:ascii="仿宋" w:hAnsi="仿宋" w:eastAsia="仿宋" w:cs="仿宋"/>
          <w:color w:val="000000"/>
          <w:sz w:val="32"/>
          <w:szCs w:val="32"/>
        </w:rPr>
        <w:t>20%</w:t>
      </w:r>
      <w:r w:rsidRPr="003C684F">
        <w:rPr>
          <w:rFonts w:hint="eastAsia" w:ascii="仿宋" w:hAnsi="仿宋" w:eastAsia="仿宋" w:cs="仿宋"/>
          <w:color w:val="000000"/>
          <w:sz w:val="32"/>
          <w:szCs w:val="32"/>
        </w:rPr>
        <w:t>）是中性粒细胞减少症、血小板减少症、贫血、腹泻、骨骼肌肉疼痛、恶心、皮疹、青肿、疲乏、发热和出血。</w:t>
      </w:r>
    </w:p>
    <w:p w:rsidRPr="003C684F" w:rsidR="009730C1" w:rsidP="0037660B" w:rsidRDefault="00A315B9" w14:paraId="1DFC0D9C"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lastRenderedPageBreak/>
        <w:t xml:space="preserve">七、泽布替尼 </w:t>
      </w:r>
      <w:r w:rsidRPr="003C684F">
        <w:rPr>
          <w:rFonts w:ascii="黑体" w:hAnsi="黑体" w:eastAsia="黑体"/>
          <w:color w:val="000000"/>
          <w:sz w:val="32"/>
          <w:szCs w:val="32"/>
        </w:rPr>
        <w:t>Z</w:t>
      </w:r>
      <w:r w:rsidRPr="003C684F">
        <w:rPr>
          <w:rFonts w:hint="eastAsia" w:ascii="黑体" w:hAnsi="黑体" w:eastAsia="黑体"/>
          <w:color w:val="000000"/>
          <w:sz w:val="32"/>
          <w:szCs w:val="32"/>
        </w:rPr>
        <w:t>a</w:t>
      </w:r>
      <w:r w:rsidRPr="003C684F">
        <w:rPr>
          <w:rFonts w:ascii="黑体" w:hAnsi="黑体" w:eastAsia="黑体"/>
          <w:color w:val="000000"/>
          <w:sz w:val="32"/>
          <w:szCs w:val="32"/>
        </w:rPr>
        <w:t>nubrutinib</w:t>
      </w:r>
    </w:p>
    <w:p w:rsidRPr="003C684F" w:rsidR="009730C1" w:rsidRDefault="00A315B9" w14:paraId="69A2DB02"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bCs/>
          <w:color w:val="000000"/>
          <w:sz w:val="32"/>
          <w:szCs w:val="32"/>
        </w:rPr>
        <w:t>胶囊：</w:t>
      </w:r>
      <w:r w:rsidRPr="003C684F">
        <w:rPr>
          <w:rFonts w:ascii="仿宋" w:hAnsi="仿宋" w:eastAsia="仿宋"/>
          <w:bCs/>
          <w:color w:val="000000"/>
          <w:sz w:val="32"/>
          <w:szCs w:val="32"/>
        </w:rPr>
        <w:t>80mg</w:t>
      </w:r>
    </w:p>
    <w:p w:rsidRPr="003C684F" w:rsidR="009730C1" w:rsidRDefault="00A315B9" w14:paraId="27B8C48E"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7659337B"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1</w:t>
      </w:r>
      <w:r w:rsidRPr="003C684F">
        <w:rPr>
          <w:rFonts w:hint="eastAsia" w:ascii="仿宋" w:hAnsi="仿宋" w:eastAsia="仿宋"/>
          <w:bCs/>
          <w:color w:val="000000"/>
          <w:sz w:val="32"/>
          <w:szCs w:val="32"/>
        </w:rPr>
        <w:t>.既往至少接受过一种治疗的成人套细胞淋巴瘤</w:t>
      </w:r>
      <w:r w:rsidRPr="003C684F">
        <w:rPr>
          <w:rFonts w:ascii="仿宋" w:hAnsi="仿宋" w:eastAsia="仿宋"/>
          <w:bCs/>
          <w:color w:val="000000"/>
          <w:sz w:val="32"/>
          <w:szCs w:val="32"/>
        </w:rPr>
        <w:t>患者。</w:t>
      </w:r>
    </w:p>
    <w:p w:rsidRPr="003C684F" w:rsidR="009730C1" w:rsidRDefault="00A315B9" w14:paraId="5718E2DA"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2.既往至少接受过一种治疗的成人慢性淋巴细胞白血病</w:t>
      </w:r>
      <w:r w:rsidRPr="003C684F">
        <w:rPr>
          <w:rFonts w:ascii="仿宋" w:hAnsi="仿宋" w:eastAsia="仿宋"/>
          <w:bCs/>
          <w:color w:val="000000"/>
          <w:sz w:val="32"/>
          <w:szCs w:val="32"/>
        </w:rPr>
        <w:t>/</w:t>
      </w:r>
      <w:r w:rsidRPr="003C684F">
        <w:rPr>
          <w:rFonts w:hint="eastAsia" w:ascii="仿宋" w:hAnsi="仿宋" w:eastAsia="仿宋"/>
          <w:bCs/>
          <w:color w:val="000000"/>
          <w:sz w:val="32"/>
          <w:szCs w:val="32"/>
        </w:rPr>
        <w:t>小淋巴细胞淋巴瘤</w:t>
      </w:r>
      <w:r w:rsidRPr="003C684F">
        <w:rPr>
          <w:rFonts w:ascii="仿宋" w:hAnsi="仿宋" w:eastAsia="仿宋"/>
          <w:bCs/>
          <w:color w:val="000000"/>
          <w:sz w:val="32"/>
          <w:szCs w:val="32"/>
        </w:rPr>
        <w:t>患者。</w:t>
      </w:r>
    </w:p>
    <w:p w:rsidRPr="003C684F" w:rsidR="00A3687B" w:rsidP="00A3687B" w:rsidRDefault="00A3687B" w14:paraId="1E1D307D" w14:textId="58AA7930">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3.既往至少接受过一种治疗的成人华氏巨球蛋白血症患者。</w:t>
      </w:r>
    </w:p>
    <w:p w:rsidRPr="003C684F" w:rsidR="009730C1" w:rsidRDefault="00A315B9" w14:paraId="70C3B80F"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F7902C0" w14:textId="66A1DF15">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1.泽布替尼用于</w:t>
      </w:r>
      <w:r w:rsidRPr="003C684F">
        <w:rPr>
          <w:rFonts w:ascii="仿宋" w:hAnsi="仿宋" w:eastAsia="仿宋"/>
          <w:bCs/>
          <w:color w:val="000000"/>
          <w:sz w:val="32"/>
          <w:szCs w:val="32"/>
        </w:rPr>
        <w:t>慢性淋巴细胞白血病治疗前，应进行严格临床评估，</w:t>
      </w:r>
      <w:r w:rsidRPr="003C684F" w:rsidR="00A3687B">
        <w:rPr>
          <w:rFonts w:hint="eastAsia" w:ascii="仿宋" w:hAnsi="仿宋" w:eastAsia="仿宋"/>
          <w:bCs/>
          <w:color w:val="000000"/>
          <w:sz w:val="32"/>
          <w:szCs w:val="32"/>
        </w:rPr>
        <w:t>如果患者有明确del（17p）和/或TP53突变，建议首选BTK抑制剂治疗。</w:t>
      </w:r>
    </w:p>
    <w:p w:rsidRPr="003C684F" w:rsidR="009730C1" w:rsidRDefault="00A315B9" w14:paraId="006B376D"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2.应该按照相关疾病指南，治疗前做基线评估，治疗期间定期监测治疗反应及毒性，注意肿瘤溶解综合征（尤其在</w:t>
      </w:r>
      <w:r w:rsidRPr="003C684F">
        <w:rPr>
          <w:rFonts w:ascii="仿宋" w:hAnsi="仿宋" w:eastAsia="仿宋"/>
          <w:bCs/>
          <w:color w:val="000000"/>
          <w:sz w:val="32"/>
          <w:szCs w:val="32"/>
        </w:rPr>
        <w:t>慢性淋巴细胞白血病患者中）。</w:t>
      </w:r>
    </w:p>
    <w:p w:rsidRPr="003C684F" w:rsidR="009730C1" w:rsidRDefault="00A315B9" w14:paraId="2C3A0280" w14:textId="72FA8D8B">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3.治疗</w:t>
      </w:r>
      <w:r w:rsidRPr="003C684F">
        <w:rPr>
          <w:rFonts w:ascii="仿宋" w:hAnsi="仿宋" w:eastAsia="仿宋"/>
          <w:bCs/>
          <w:color w:val="000000"/>
          <w:sz w:val="32"/>
          <w:szCs w:val="32"/>
        </w:rPr>
        <w:t>套细胞淋巴瘤与慢性淋巴细胞白血病/小淋巴细胞淋巴瘤的推荐剂量均为160mg</w:t>
      </w:r>
      <w:r w:rsidRPr="003C684F" w:rsidR="00A74778">
        <w:rPr>
          <w:rFonts w:hint="eastAsia" w:ascii="仿宋" w:hAnsi="仿宋" w:eastAsia="仿宋"/>
          <w:bCs/>
          <w:color w:val="000000"/>
          <w:sz w:val="32"/>
          <w:szCs w:val="32"/>
        </w:rPr>
        <w:t>/次</w:t>
      </w:r>
      <w:r w:rsidRPr="003C684F">
        <w:rPr>
          <w:rFonts w:ascii="仿宋" w:hAnsi="仿宋" w:eastAsia="仿宋"/>
          <w:bCs/>
          <w:color w:val="000000"/>
          <w:sz w:val="32"/>
          <w:szCs w:val="32"/>
        </w:rPr>
        <w:t>，每天两次</w:t>
      </w:r>
      <w:r w:rsidRPr="003C684F" w:rsidR="00A74778">
        <w:rPr>
          <w:rFonts w:hint="eastAsia" w:ascii="仿宋" w:hAnsi="仿宋" w:eastAsia="仿宋"/>
          <w:bCs/>
          <w:color w:val="000000"/>
          <w:sz w:val="32"/>
          <w:szCs w:val="32"/>
        </w:rPr>
        <w:t>，口服，</w:t>
      </w:r>
      <w:r w:rsidRPr="003C684F">
        <w:rPr>
          <w:rFonts w:ascii="仿宋" w:hAnsi="仿宋" w:eastAsia="仿宋"/>
          <w:bCs/>
          <w:color w:val="000000"/>
          <w:sz w:val="32"/>
          <w:szCs w:val="32"/>
        </w:rPr>
        <w:t>直至</w:t>
      </w:r>
      <w:r w:rsidRPr="003C684F" w:rsidR="00B95507">
        <w:rPr>
          <w:rFonts w:ascii="仿宋" w:hAnsi="仿宋" w:eastAsia="仿宋"/>
          <w:bCs/>
          <w:color w:val="000000"/>
          <w:sz w:val="32"/>
          <w:szCs w:val="32"/>
        </w:rPr>
        <w:t>疾病进展或出现不可耐受的毒性。</w:t>
      </w:r>
    </w:p>
    <w:p w:rsidRPr="003C684F" w:rsidR="009730C1" w:rsidRDefault="00A315B9" w14:paraId="487EC14A" w14:textId="2FC683C0">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4.轻中度肝功能损伤患者（</w:t>
      </w:r>
      <w:r w:rsidRPr="003C684F">
        <w:rPr>
          <w:rFonts w:ascii="仿宋" w:hAnsi="仿宋" w:eastAsia="仿宋"/>
          <w:bCs/>
          <w:color w:val="000000"/>
          <w:sz w:val="32"/>
          <w:szCs w:val="32"/>
        </w:rPr>
        <w:t>Child-Pugh A级和B级）无需调整剂量。重度肝功能损伤患者（Child-Pugh B级和C级）的推荐剂量是80mg</w:t>
      </w:r>
      <w:r w:rsidRPr="003C684F" w:rsidR="00A74778">
        <w:rPr>
          <w:rFonts w:hint="eastAsia" w:ascii="仿宋" w:hAnsi="仿宋" w:eastAsia="仿宋"/>
          <w:bCs/>
          <w:color w:val="000000"/>
          <w:sz w:val="32"/>
          <w:szCs w:val="32"/>
        </w:rPr>
        <w:t>/次</w:t>
      </w:r>
      <w:r w:rsidRPr="003C684F">
        <w:rPr>
          <w:rFonts w:ascii="仿宋" w:hAnsi="仿宋" w:eastAsia="仿宋"/>
          <w:bCs/>
          <w:color w:val="000000"/>
          <w:sz w:val="32"/>
          <w:szCs w:val="32"/>
        </w:rPr>
        <w:t>，每天两次。</w:t>
      </w:r>
    </w:p>
    <w:p w:rsidRPr="003C684F" w:rsidR="009730C1" w:rsidRDefault="00A315B9" w14:paraId="41CA2297"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bCs/>
          <w:color w:val="000000"/>
          <w:sz w:val="32"/>
          <w:szCs w:val="32"/>
        </w:rPr>
        <w:t>5.口服给药，每天的用药时间大致固定。可在饭前或饭</w:t>
      </w:r>
      <w:r w:rsidRPr="003C684F">
        <w:rPr>
          <w:rFonts w:hint="eastAsia" w:ascii="仿宋" w:hAnsi="仿宋" w:eastAsia="仿宋"/>
          <w:bCs/>
          <w:color w:val="000000"/>
          <w:sz w:val="32"/>
          <w:szCs w:val="32"/>
        </w:rPr>
        <w:lastRenderedPageBreak/>
        <w:t>后服用。如果未在计划时间服用本品，患者应在相邻服药间隔至少</w:t>
      </w:r>
      <w:r w:rsidRPr="003C684F">
        <w:rPr>
          <w:rFonts w:ascii="仿宋" w:hAnsi="仿宋" w:eastAsia="仿宋"/>
          <w:bCs/>
          <w:color w:val="000000"/>
          <w:sz w:val="32"/>
          <w:szCs w:val="32"/>
        </w:rPr>
        <w:t>8小时基础上尽快服用，并在后续恢复正常用药计划。</w:t>
      </w:r>
      <w:r w:rsidRPr="003C684F">
        <w:rPr>
          <w:rFonts w:hint="eastAsia" w:ascii="仿宋" w:hAnsi="仿宋" w:eastAsia="仿宋" w:cs="Times New Roman"/>
          <w:sz w:val="32"/>
          <w:szCs w:val="32"/>
        </w:rPr>
        <w:t>请勿额外服用本品以弥补漏服剂量。</w:t>
      </w:r>
    </w:p>
    <w:p w:rsidRPr="003C684F" w:rsidR="009730C1" w:rsidRDefault="00A315B9" w14:paraId="029DCFD4" w14:textId="2BC06EEF">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6.粒细胞减少、</w:t>
      </w:r>
      <w:r w:rsidRPr="003C684F" w:rsidR="00701C08">
        <w:rPr>
          <w:rFonts w:hint="eastAsia" w:ascii="仿宋" w:hAnsi="仿宋" w:eastAsia="仿宋"/>
          <w:bCs/>
          <w:color w:val="000000"/>
          <w:sz w:val="32"/>
          <w:szCs w:val="32"/>
        </w:rPr>
        <w:t>血小板减少症</w:t>
      </w:r>
      <w:r w:rsidRPr="003C684F">
        <w:rPr>
          <w:rFonts w:hint="eastAsia" w:ascii="仿宋" w:hAnsi="仿宋" w:eastAsia="仿宋"/>
          <w:bCs/>
          <w:color w:val="000000"/>
          <w:sz w:val="32"/>
          <w:szCs w:val="32"/>
        </w:rPr>
        <w:t>、贫血是常见的不良反应。用药期间需要监测血常规。出现</w:t>
      </w:r>
      <w:r w:rsidRPr="003C684F">
        <w:rPr>
          <w:rFonts w:ascii="仿宋" w:hAnsi="仿宋" w:eastAsia="仿宋"/>
          <w:bCs/>
          <w:color w:val="000000"/>
          <w:sz w:val="32"/>
          <w:szCs w:val="32"/>
        </w:rPr>
        <w:t>3级血液学毒性及以上注意剂量调整。≥3级伴感染或发热性中性粒细胞减少症</w:t>
      </w:r>
      <w:r w:rsidRPr="003C684F" w:rsidR="00DB4978">
        <w:rPr>
          <w:rFonts w:ascii="仿宋" w:hAnsi="仿宋" w:eastAsia="仿宋"/>
          <w:bCs/>
          <w:color w:val="000000"/>
          <w:sz w:val="32"/>
          <w:szCs w:val="32"/>
        </w:rPr>
        <w:t>或</w:t>
      </w:r>
      <w:r w:rsidRPr="003C684F">
        <w:rPr>
          <w:rFonts w:ascii="仿宋" w:hAnsi="仿宋" w:eastAsia="仿宋"/>
          <w:bCs/>
          <w:color w:val="000000"/>
          <w:sz w:val="32"/>
          <w:szCs w:val="32"/>
        </w:rPr>
        <w:t>4级血液学毒性时，应中断治疗，待毒性症状消退至1级或基线水平（恢复）时，可以起始剂量重新开始治疗。如果该毒性再次发生，应再次中断治疗，待毒性症状消退至1级或基线水平（恢复）时以80mg</w:t>
      </w:r>
      <w:r w:rsidRPr="003C684F">
        <w:rPr>
          <w:rFonts w:hint="eastAsia" w:ascii="仿宋" w:hAnsi="仿宋" w:eastAsia="仿宋"/>
          <w:color w:val="000000"/>
          <w:sz w:val="32"/>
          <w:szCs w:val="32"/>
        </w:rPr>
        <w:t>/次</w:t>
      </w:r>
      <w:r w:rsidRPr="003C684F">
        <w:rPr>
          <w:rFonts w:ascii="仿宋" w:hAnsi="仿宋" w:eastAsia="仿宋"/>
          <w:bCs/>
          <w:color w:val="000000"/>
          <w:sz w:val="32"/>
          <w:szCs w:val="32"/>
        </w:rPr>
        <w:t>，每天两次的剂量重新开始用药。如果在剂量降低后该毒性第3次发生，应再次中断治疗，待毒性症状消退至1级或基线水平（恢复）时以80mg</w:t>
      </w:r>
      <w:r w:rsidRPr="003C684F">
        <w:rPr>
          <w:rFonts w:hint="eastAsia" w:ascii="仿宋" w:hAnsi="仿宋" w:eastAsia="仿宋"/>
          <w:color w:val="000000"/>
          <w:sz w:val="32"/>
          <w:szCs w:val="32"/>
        </w:rPr>
        <w:t>/次</w:t>
      </w:r>
      <w:r w:rsidRPr="003C684F">
        <w:rPr>
          <w:rFonts w:ascii="仿宋" w:hAnsi="仿宋" w:eastAsia="仿宋"/>
          <w:bCs/>
          <w:color w:val="000000"/>
          <w:sz w:val="32"/>
          <w:szCs w:val="32"/>
        </w:rPr>
        <w:t>，每天一次的剂量重新开始用药。如果在两次剂量降低后该毒性第4次发生，应终止本品治疗。</w:t>
      </w:r>
    </w:p>
    <w:p w:rsidRPr="003C684F" w:rsidR="009730C1" w:rsidRDefault="00A315B9" w14:paraId="7B3AAABD" w14:textId="137923EE">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7.与</w:t>
      </w:r>
      <w:r w:rsidRPr="003C684F">
        <w:rPr>
          <w:rFonts w:ascii="仿宋" w:hAnsi="仿宋" w:eastAsia="仿宋"/>
          <w:bCs/>
          <w:color w:val="000000"/>
          <w:sz w:val="32"/>
          <w:szCs w:val="32"/>
        </w:rPr>
        <w:t>CYP3A</w:t>
      </w:r>
      <w:r w:rsidRPr="003C684F">
        <w:rPr>
          <w:rFonts w:hint="eastAsia" w:ascii="仿宋" w:hAnsi="仿宋" w:eastAsia="仿宋"/>
          <w:bCs/>
          <w:color w:val="000000"/>
          <w:sz w:val="32"/>
          <w:szCs w:val="32"/>
        </w:rPr>
        <w:t>抑制剂或诱导剂联合</w:t>
      </w:r>
      <w:r w:rsidRPr="003C684F" w:rsidR="004B1BA5">
        <w:rPr>
          <w:rFonts w:hint="eastAsia" w:ascii="仿宋" w:hAnsi="仿宋" w:eastAsia="仿宋"/>
          <w:bCs/>
          <w:color w:val="000000"/>
          <w:sz w:val="32"/>
          <w:szCs w:val="32"/>
        </w:rPr>
        <w:t>使用</w:t>
      </w:r>
      <w:r w:rsidRPr="003C684F">
        <w:rPr>
          <w:rFonts w:hint="eastAsia" w:ascii="仿宋" w:hAnsi="仿宋" w:eastAsia="仿宋"/>
          <w:bCs/>
          <w:color w:val="000000"/>
          <w:sz w:val="32"/>
          <w:szCs w:val="32"/>
        </w:rPr>
        <w:t>时的剂量调整。</w:t>
      </w:r>
      <w:r w:rsidRPr="003C684F" w:rsidR="00A3687B">
        <w:rPr>
          <w:rFonts w:hint="eastAsia" w:ascii="仿宋" w:hAnsi="仿宋" w:eastAsia="仿宋"/>
          <w:bCs/>
          <w:color w:val="000000"/>
          <w:sz w:val="32"/>
          <w:szCs w:val="32"/>
        </w:rPr>
        <w:t>停止使用CYP3A抑制剂后，恢复本品剂量调整前用量。</w:t>
      </w:r>
    </w:p>
    <w:p w:rsidRPr="003C684F" w:rsidR="009730C1" w:rsidRDefault="00A315B9" w14:paraId="14B513BE" w14:textId="2DF3679E">
      <w:pPr>
        <w:spacing w:line="360" w:lineRule="auto"/>
        <w:jc w:val="center"/>
        <w:rPr>
          <w:rFonts w:ascii="仿宋" w:hAnsi="仿宋" w:eastAsia="仿宋"/>
          <w:b/>
          <w:bCs/>
          <w:color w:val="000000"/>
        </w:rPr>
      </w:pPr>
      <w:r w:rsidRPr="003C684F">
        <w:rPr>
          <w:rFonts w:ascii="仿宋" w:hAnsi="仿宋" w:eastAsia="仿宋"/>
          <w:b/>
          <w:bCs/>
          <w:color w:val="000000"/>
        </w:rPr>
        <w:t>表</w:t>
      </w:r>
      <w:r w:rsidRPr="003C684F" w:rsidR="001B6FD3">
        <w:rPr>
          <w:rFonts w:hint="eastAsia" w:ascii="仿宋" w:hAnsi="仿宋" w:eastAsia="仿宋"/>
          <w:b/>
          <w:bCs/>
          <w:color w:val="000000"/>
        </w:rPr>
        <w:t>10</w:t>
      </w:r>
      <w:r w:rsidRPr="003C684F">
        <w:rPr>
          <w:rFonts w:hint="eastAsia" w:ascii="仿宋" w:hAnsi="仿宋" w:eastAsia="仿宋"/>
          <w:b/>
          <w:bCs/>
          <w:color w:val="000000"/>
        </w:rPr>
        <w:t xml:space="preserve">　与C</w:t>
      </w:r>
      <w:r w:rsidRPr="003C684F">
        <w:rPr>
          <w:rFonts w:ascii="仿宋" w:hAnsi="仿宋" w:eastAsia="仿宋"/>
          <w:b/>
          <w:bCs/>
          <w:color w:val="000000"/>
        </w:rPr>
        <w:t>YP3A</w:t>
      </w:r>
      <w:r w:rsidRPr="003C684F">
        <w:rPr>
          <w:rFonts w:hint="eastAsia" w:ascii="仿宋" w:hAnsi="仿宋" w:eastAsia="仿宋"/>
          <w:b/>
          <w:bCs/>
          <w:color w:val="000000"/>
        </w:rPr>
        <w:t>抑制剂或诱导剂联合</w:t>
      </w:r>
      <w:r w:rsidRPr="003C684F" w:rsidR="004B1BA5">
        <w:rPr>
          <w:rFonts w:hint="eastAsia" w:ascii="仿宋" w:hAnsi="仿宋" w:eastAsia="仿宋"/>
          <w:b/>
          <w:bCs/>
          <w:color w:val="000000"/>
        </w:rPr>
        <w:t>使用</w:t>
      </w:r>
      <w:r w:rsidRPr="003C684F">
        <w:rPr>
          <w:rFonts w:hint="eastAsia" w:ascii="仿宋" w:hAnsi="仿宋" w:eastAsia="仿宋"/>
          <w:b/>
          <w:bCs/>
          <w:color w:val="000000"/>
        </w:rPr>
        <w:t>时的剂量调整</w:t>
      </w: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5528"/>
      </w:tblGrid>
      <w:tr w:rsidRPr="003C684F" w:rsidR="009730C1" w14:paraId="3F68FF34" w14:textId="77777777">
        <w:tc>
          <w:tcPr>
            <w:tcW w:w="3085" w:type="dxa"/>
            <w:vAlign w:val="center"/>
          </w:tcPr>
          <w:p w:rsidRPr="003C684F" w:rsidR="009730C1" w:rsidP="004B1BA5" w:rsidRDefault="00A315B9" w14:paraId="01C32CFB" w14:textId="1B5470EE">
            <w:pPr>
              <w:spacing w:line="360" w:lineRule="auto"/>
              <w:rPr>
                <w:rFonts w:ascii="仿宋" w:hAnsi="仿宋" w:eastAsia="仿宋"/>
                <w:b/>
                <w:color w:val="000000"/>
              </w:rPr>
            </w:pPr>
            <w:r w:rsidRPr="003C684F">
              <w:rPr>
                <w:rFonts w:hint="eastAsia" w:ascii="仿宋" w:hAnsi="仿宋" w:eastAsia="仿宋"/>
                <w:b/>
                <w:color w:val="000000"/>
              </w:rPr>
              <w:t>联合</w:t>
            </w:r>
            <w:r w:rsidRPr="003C684F" w:rsidR="004B1BA5">
              <w:rPr>
                <w:rFonts w:hint="eastAsia" w:ascii="仿宋" w:hAnsi="仿宋" w:eastAsia="仿宋"/>
                <w:b/>
                <w:color w:val="000000"/>
              </w:rPr>
              <w:t>使用</w:t>
            </w:r>
          </w:p>
        </w:tc>
        <w:tc>
          <w:tcPr>
            <w:tcW w:w="5528" w:type="dxa"/>
            <w:vAlign w:val="center"/>
          </w:tcPr>
          <w:p w:rsidRPr="003C684F" w:rsidR="009730C1" w:rsidRDefault="00A315B9" w14:paraId="37A13B34" w14:textId="77777777">
            <w:pPr>
              <w:spacing w:line="360" w:lineRule="auto"/>
              <w:rPr>
                <w:rFonts w:ascii="仿宋" w:hAnsi="仿宋" w:eastAsia="仿宋"/>
                <w:b/>
                <w:color w:val="000000"/>
              </w:rPr>
            </w:pPr>
            <w:r w:rsidRPr="003C684F">
              <w:rPr>
                <w:rFonts w:hint="eastAsia" w:ascii="仿宋" w:hAnsi="仿宋" w:eastAsia="仿宋"/>
                <w:b/>
                <w:color w:val="000000"/>
              </w:rPr>
              <w:t>剂量调整建议</w:t>
            </w:r>
          </w:p>
        </w:tc>
      </w:tr>
      <w:tr w:rsidRPr="003C684F" w:rsidR="009730C1" w14:paraId="654B5282" w14:textId="77777777">
        <w:tc>
          <w:tcPr>
            <w:tcW w:w="3085" w:type="dxa"/>
          </w:tcPr>
          <w:p w:rsidRPr="003C684F" w:rsidR="009730C1" w:rsidRDefault="000679FC" w14:paraId="3A13390B" w14:textId="67573A20">
            <w:pPr>
              <w:spacing w:line="360" w:lineRule="auto"/>
              <w:rPr>
                <w:rFonts w:ascii="仿宋" w:hAnsi="仿宋" w:eastAsia="仿宋"/>
                <w:bCs/>
                <w:color w:val="000000"/>
              </w:rPr>
            </w:pPr>
            <w:r w:rsidRPr="003C684F">
              <w:rPr>
                <w:rFonts w:hint="eastAsia" w:ascii="仿宋" w:hAnsi="仿宋" w:eastAsia="仿宋"/>
                <w:bCs/>
                <w:color w:val="000000"/>
              </w:rPr>
              <w:t>CYP3A强效</w:t>
            </w:r>
            <w:r w:rsidRPr="003C684F" w:rsidR="00A315B9">
              <w:rPr>
                <w:rFonts w:hint="eastAsia" w:ascii="仿宋" w:hAnsi="仿宋" w:eastAsia="仿宋"/>
                <w:bCs/>
                <w:color w:val="000000"/>
              </w:rPr>
              <w:t>抑制剂</w:t>
            </w:r>
          </w:p>
        </w:tc>
        <w:tc>
          <w:tcPr>
            <w:tcW w:w="5528" w:type="dxa"/>
          </w:tcPr>
          <w:p w:rsidRPr="003C684F" w:rsidR="009730C1" w:rsidRDefault="00A315B9" w14:paraId="0E803BF5" w14:textId="77777777">
            <w:pPr>
              <w:autoSpaceDE w:val="0"/>
              <w:autoSpaceDN w:val="0"/>
              <w:spacing w:line="360" w:lineRule="auto"/>
              <w:rPr>
                <w:rFonts w:ascii="仿宋" w:hAnsi="仿宋" w:eastAsia="仿宋"/>
                <w:bCs/>
                <w:color w:val="000000"/>
              </w:rPr>
            </w:pPr>
            <w:r w:rsidRPr="003C684F">
              <w:rPr>
                <w:rFonts w:ascii="仿宋" w:hAnsi="仿宋" w:eastAsia="仿宋"/>
                <w:bCs/>
                <w:color w:val="000000"/>
              </w:rPr>
              <w:t>80mg</w:t>
            </w:r>
            <w:r w:rsidRPr="003C684F">
              <w:rPr>
                <w:rFonts w:hint="eastAsia" w:ascii="仿宋" w:hAnsi="仿宋" w:eastAsia="仿宋"/>
                <w:bCs/>
                <w:color w:val="000000"/>
              </w:rPr>
              <w:t>/次，每天一次</w:t>
            </w:r>
          </w:p>
          <w:p w:rsidRPr="003C684F" w:rsidR="009730C1" w:rsidRDefault="00A315B9" w14:paraId="6888DB20" w14:textId="77777777">
            <w:pPr>
              <w:spacing w:line="360" w:lineRule="auto"/>
              <w:rPr>
                <w:rFonts w:ascii="仿宋" w:hAnsi="仿宋" w:eastAsia="仿宋"/>
                <w:bCs/>
                <w:color w:val="000000"/>
              </w:rPr>
            </w:pPr>
            <w:r w:rsidRPr="003C684F">
              <w:rPr>
                <w:rFonts w:hint="eastAsia" w:ascii="仿宋" w:hAnsi="仿宋" w:eastAsia="仿宋"/>
                <w:bCs/>
                <w:color w:val="000000"/>
              </w:rPr>
              <w:t>出现不良反应时根据剂量调整建议中断给药</w:t>
            </w:r>
          </w:p>
        </w:tc>
      </w:tr>
      <w:tr w:rsidRPr="003C684F" w:rsidR="009730C1" w14:paraId="69275FD1" w14:textId="77777777">
        <w:tc>
          <w:tcPr>
            <w:tcW w:w="3085" w:type="dxa"/>
          </w:tcPr>
          <w:p w:rsidRPr="003C684F" w:rsidR="009730C1" w:rsidRDefault="00A315B9" w14:paraId="15A9370C" w14:textId="185DBBBD">
            <w:pPr>
              <w:spacing w:line="360" w:lineRule="auto"/>
              <w:rPr>
                <w:rFonts w:ascii="仿宋" w:hAnsi="仿宋" w:eastAsia="仿宋"/>
                <w:bCs/>
                <w:color w:val="000000"/>
              </w:rPr>
            </w:pPr>
            <w:r w:rsidRPr="003C684F">
              <w:rPr>
                <w:rFonts w:hint="eastAsia" w:ascii="仿宋" w:hAnsi="仿宋" w:eastAsia="仿宋"/>
                <w:bCs/>
                <w:color w:val="000000"/>
              </w:rPr>
              <w:t>C</w:t>
            </w:r>
            <w:r w:rsidRPr="003C684F">
              <w:rPr>
                <w:rFonts w:ascii="仿宋" w:hAnsi="仿宋" w:eastAsia="仿宋"/>
                <w:bCs/>
                <w:color w:val="000000"/>
              </w:rPr>
              <w:t>YP3A</w:t>
            </w:r>
            <w:r w:rsidRPr="003C684F" w:rsidR="009D028E">
              <w:rPr>
                <w:rFonts w:hint="eastAsia" w:ascii="仿宋" w:hAnsi="仿宋" w:eastAsia="仿宋"/>
                <w:bCs/>
                <w:color w:val="000000"/>
              </w:rPr>
              <w:t>中效</w:t>
            </w:r>
            <w:r w:rsidRPr="003C684F">
              <w:rPr>
                <w:rFonts w:hint="eastAsia" w:ascii="仿宋" w:hAnsi="仿宋" w:eastAsia="仿宋"/>
                <w:bCs/>
                <w:color w:val="000000"/>
              </w:rPr>
              <w:t>抑制剂</w:t>
            </w:r>
          </w:p>
        </w:tc>
        <w:tc>
          <w:tcPr>
            <w:tcW w:w="5528" w:type="dxa"/>
          </w:tcPr>
          <w:p w:rsidRPr="003C684F" w:rsidR="009730C1" w:rsidRDefault="00A315B9" w14:paraId="17B17777" w14:textId="77777777">
            <w:pPr>
              <w:autoSpaceDE w:val="0"/>
              <w:autoSpaceDN w:val="0"/>
              <w:spacing w:line="360" w:lineRule="auto"/>
              <w:rPr>
                <w:rFonts w:ascii="仿宋" w:hAnsi="仿宋" w:eastAsia="仿宋"/>
                <w:bCs/>
                <w:color w:val="000000"/>
              </w:rPr>
            </w:pPr>
            <w:r w:rsidRPr="003C684F">
              <w:rPr>
                <w:rFonts w:ascii="仿宋" w:hAnsi="仿宋" w:eastAsia="仿宋"/>
                <w:bCs/>
                <w:color w:val="000000"/>
              </w:rPr>
              <w:t>80mg</w:t>
            </w:r>
            <w:r w:rsidRPr="003C684F">
              <w:rPr>
                <w:rFonts w:hint="eastAsia" w:ascii="仿宋" w:hAnsi="仿宋" w:eastAsia="仿宋"/>
                <w:bCs/>
                <w:color w:val="000000"/>
              </w:rPr>
              <w:t>/次，每天两次</w:t>
            </w:r>
          </w:p>
          <w:p w:rsidRPr="003C684F" w:rsidR="009730C1" w:rsidRDefault="00A315B9" w14:paraId="0E40DB3D" w14:textId="77777777">
            <w:pPr>
              <w:spacing w:line="360" w:lineRule="auto"/>
              <w:rPr>
                <w:rFonts w:ascii="仿宋" w:hAnsi="仿宋" w:eastAsia="仿宋"/>
                <w:bCs/>
                <w:color w:val="000000"/>
              </w:rPr>
            </w:pPr>
            <w:r w:rsidRPr="003C684F">
              <w:rPr>
                <w:rFonts w:hint="eastAsia" w:ascii="仿宋" w:hAnsi="仿宋" w:eastAsia="仿宋"/>
                <w:bCs/>
                <w:color w:val="000000"/>
              </w:rPr>
              <w:t>出现不良反应时再次剂量调整</w:t>
            </w:r>
          </w:p>
        </w:tc>
      </w:tr>
      <w:tr w:rsidRPr="003C684F" w:rsidR="009730C1" w14:paraId="3C5A1255" w14:textId="77777777">
        <w:tc>
          <w:tcPr>
            <w:tcW w:w="3085" w:type="dxa"/>
          </w:tcPr>
          <w:p w:rsidRPr="003C684F" w:rsidR="009730C1" w:rsidRDefault="00A315B9" w14:paraId="2693B8A8" w14:textId="5EF7FA87">
            <w:pPr>
              <w:spacing w:line="360" w:lineRule="auto"/>
              <w:rPr>
                <w:rFonts w:ascii="仿宋" w:hAnsi="仿宋" w:eastAsia="仿宋"/>
                <w:bCs/>
                <w:color w:val="000000"/>
              </w:rPr>
            </w:pPr>
            <w:r w:rsidRPr="003C684F">
              <w:rPr>
                <w:rFonts w:hint="eastAsia" w:ascii="仿宋" w:hAnsi="仿宋" w:eastAsia="仿宋"/>
                <w:bCs/>
                <w:color w:val="000000"/>
              </w:rPr>
              <w:t>C</w:t>
            </w:r>
            <w:r w:rsidRPr="003C684F">
              <w:rPr>
                <w:rFonts w:ascii="仿宋" w:hAnsi="仿宋" w:eastAsia="仿宋"/>
                <w:bCs/>
                <w:color w:val="000000"/>
              </w:rPr>
              <w:t>YP3A</w:t>
            </w:r>
            <w:r w:rsidRPr="003C684F" w:rsidR="009D028E">
              <w:rPr>
                <w:rFonts w:hint="eastAsia" w:ascii="仿宋" w:hAnsi="仿宋" w:eastAsia="仿宋"/>
                <w:bCs/>
                <w:color w:val="000000"/>
              </w:rPr>
              <w:t>强效或中效</w:t>
            </w:r>
            <w:r w:rsidRPr="003C684F">
              <w:rPr>
                <w:rFonts w:hint="eastAsia" w:ascii="仿宋" w:hAnsi="仿宋" w:eastAsia="仿宋"/>
                <w:bCs/>
                <w:color w:val="000000"/>
              </w:rPr>
              <w:t>诱导剂</w:t>
            </w:r>
          </w:p>
        </w:tc>
        <w:tc>
          <w:tcPr>
            <w:tcW w:w="5528" w:type="dxa"/>
          </w:tcPr>
          <w:p w:rsidRPr="003C684F" w:rsidR="009730C1" w:rsidRDefault="00A315B9" w14:paraId="0C1FD5CF" w14:textId="77777777">
            <w:pPr>
              <w:spacing w:line="360" w:lineRule="auto"/>
              <w:rPr>
                <w:rFonts w:ascii="仿宋" w:hAnsi="仿宋" w:eastAsia="仿宋"/>
                <w:bCs/>
                <w:color w:val="000000"/>
              </w:rPr>
            </w:pPr>
            <w:r w:rsidRPr="003C684F">
              <w:rPr>
                <w:rFonts w:hint="eastAsia" w:ascii="仿宋" w:hAnsi="仿宋" w:eastAsia="仿宋"/>
                <w:bCs/>
                <w:color w:val="000000"/>
              </w:rPr>
              <w:t>避免同时使用</w:t>
            </w:r>
          </w:p>
        </w:tc>
      </w:tr>
    </w:tbl>
    <w:p w:rsidRPr="003C684F" w:rsidR="009730C1" w:rsidRDefault="00A315B9" w14:paraId="667E2031" w14:textId="77777777">
      <w:pPr>
        <w:widowControl/>
        <w:ind w:firstLine="640" w:firstLineChars="200"/>
        <w:jc w:val="left"/>
        <w:rPr>
          <w:rFonts w:ascii="仿宋" w:hAnsi="仿宋" w:eastAsia="仿宋"/>
          <w:color w:val="000000"/>
          <w:sz w:val="32"/>
          <w:szCs w:val="32"/>
        </w:rPr>
      </w:pPr>
      <w:r w:rsidRPr="003C684F">
        <w:rPr>
          <w:rFonts w:hint="eastAsia" w:ascii="仿宋" w:hAnsi="仿宋" w:eastAsia="仿宋"/>
          <w:color w:val="000000"/>
          <w:sz w:val="32"/>
          <w:szCs w:val="32"/>
        </w:rPr>
        <w:lastRenderedPageBreak/>
        <w:t>8.乙肝病毒再激活的风险：使用泽布替尼过程中需要注意乙肝病毒激活的风险。应在使用前明确乙型肝炎病毒状态，对于目前或既往有乙型肝炎病毒感染的患者，在开始治疗前需要咨询肝炎专科医师，并在治疗过程中注意监测。</w:t>
      </w:r>
    </w:p>
    <w:p w:rsidRPr="003C684F" w:rsidR="009730C1" w:rsidRDefault="00A315B9" w14:paraId="0FA5E56D" w14:textId="77777777">
      <w:pPr>
        <w:widowControl/>
        <w:ind w:firstLine="640" w:firstLineChars="200"/>
        <w:jc w:val="left"/>
        <w:rPr>
          <w:rFonts w:ascii="仿宋" w:hAnsi="仿宋" w:eastAsia="仿宋"/>
          <w:color w:val="000000"/>
          <w:sz w:val="32"/>
          <w:szCs w:val="32"/>
        </w:rPr>
      </w:pPr>
      <w:r w:rsidRPr="003C684F">
        <w:rPr>
          <w:rFonts w:hint="eastAsia" w:ascii="仿宋" w:hAnsi="仿宋" w:eastAsia="仿宋"/>
          <w:color w:val="000000"/>
          <w:sz w:val="32"/>
          <w:szCs w:val="32"/>
        </w:rPr>
        <w:t>9.肾功能损伤患者不建议进行剂量调整。重度肾功能损伤（肌酐清除率＜30ml/min）或透析患者使用本品需要注意监测不良反应。</w:t>
      </w:r>
    </w:p>
    <w:p w:rsidRPr="003C684F" w:rsidR="009730C1" w:rsidRDefault="00A315B9" w14:paraId="6A5F301B"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olor w:val="000000"/>
          <w:sz w:val="32"/>
          <w:szCs w:val="32"/>
        </w:rPr>
        <w:t>10.其他适应证：一线治疗慢性淋巴细胞白血病/小淋巴细胞淋巴瘤（基于全球多中心Ⅱ期临床研究AU003的数据，以及全球多中心Ⅲ期临床研究SEQUOIA研究中17p-亚组的数据），初治及复发的华氏巨球蛋白血症淋巴瘤（Ⅲ期临床研究）。</w:t>
      </w:r>
    </w:p>
    <w:p w:rsidRPr="003C684F" w:rsidR="009730C1" w:rsidP="0037660B" w:rsidRDefault="00A315B9" w14:paraId="60C56DC6" w14:textId="77777777">
      <w:pPr>
        <w:spacing w:line="360" w:lineRule="auto"/>
        <w:ind w:firstLine="640" w:firstLineChars="200"/>
        <w:outlineLvl w:val="0"/>
        <w:rPr>
          <w:rFonts w:ascii="黑体" w:hAnsi="黑体" w:eastAsia="黑体"/>
          <w:sz w:val="32"/>
          <w:szCs w:val="32"/>
        </w:rPr>
      </w:pPr>
      <w:r w:rsidRPr="003C684F">
        <w:rPr>
          <w:rFonts w:hint="eastAsia" w:ascii="黑体" w:hAnsi="黑体" w:eastAsia="黑体"/>
          <w:sz w:val="32"/>
          <w:szCs w:val="32"/>
        </w:rPr>
        <w:t>八、奥布替尼 Orelabrutinib</w:t>
      </w:r>
    </w:p>
    <w:p w:rsidRPr="003C684F" w:rsidR="009730C1" w:rsidRDefault="00A315B9" w14:paraId="11112956"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sz w:val="32"/>
          <w:szCs w:val="32"/>
        </w:rPr>
        <w:t>制剂与规格：</w:t>
      </w:r>
      <w:r w:rsidRPr="003C684F">
        <w:rPr>
          <w:rFonts w:hint="eastAsia" w:ascii="仿宋" w:hAnsi="仿宋" w:eastAsia="仿宋" w:cs="Times New Roman"/>
          <w:sz w:val="32"/>
          <w:szCs w:val="32"/>
        </w:rPr>
        <w:t>片剂：50mg</w:t>
      </w:r>
    </w:p>
    <w:p w:rsidRPr="003C684F" w:rsidR="009730C1" w:rsidRDefault="00A315B9" w14:paraId="5A6B8B01"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sz w:val="32"/>
          <w:szCs w:val="32"/>
        </w:rPr>
        <w:t>适应证：</w:t>
      </w:r>
    </w:p>
    <w:p w:rsidRPr="003C684F" w:rsidR="009730C1" w:rsidRDefault="00A315B9" w14:paraId="6AC07921"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1.既往至少接受过一种治疗的成人套细胞淋巴瘤患者。</w:t>
      </w:r>
    </w:p>
    <w:p w:rsidRPr="003C684F" w:rsidR="009730C1" w:rsidRDefault="00A315B9" w14:paraId="74F3EA09"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2.既往至少接受过一种治疗的成人慢性淋巴细胞白血病/小淋巴细胞淋巴瘤患者。</w:t>
      </w:r>
    </w:p>
    <w:p w:rsidRPr="003C684F" w:rsidR="009730C1" w:rsidRDefault="00A315B9" w14:paraId="4C664F8F" w14:textId="77777777">
      <w:pPr>
        <w:spacing w:line="360" w:lineRule="auto"/>
        <w:ind w:firstLine="643" w:firstLineChars="200"/>
        <w:rPr>
          <w:rFonts w:ascii="仿宋" w:hAnsi="仿宋" w:eastAsia="仿宋" w:cs="Times New Roman"/>
          <w:b/>
          <w:sz w:val="32"/>
          <w:szCs w:val="32"/>
        </w:rPr>
      </w:pPr>
      <w:r w:rsidRPr="003C684F">
        <w:rPr>
          <w:rFonts w:hint="eastAsia" w:ascii="仿宋" w:hAnsi="仿宋" w:eastAsia="仿宋" w:cs="Times New Roman"/>
          <w:b/>
          <w:sz w:val="32"/>
          <w:szCs w:val="32"/>
        </w:rPr>
        <w:t>合理用药要点：</w:t>
      </w:r>
    </w:p>
    <w:p w:rsidRPr="003C684F" w:rsidR="009730C1" w:rsidRDefault="00A315B9" w14:paraId="0C06F732"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1.应该按照相关疾病指南，治疗前做基线评估，治疗期间定期监测治疗反应及毒性。</w:t>
      </w:r>
    </w:p>
    <w:p w:rsidRPr="003C684F" w:rsidR="009730C1" w:rsidRDefault="00A315B9" w14:paraId="0245EF44"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2.奥布替尼不抑制抗体依赖性细胞介导的细胞毒作用，</w:t>
      </w:r>
      <w:r w:rsidRPr="003C684F">
        <w:rPr>
          <w:rFonts w:hint="eastAsia" w:ascii="仿宋" w:hAnsi="仿宋" w:eastAsia="仿宋" w:cs="Times New Roman"/>
          <w:sz w:val="32"/>
          <w:szCs w:val="32"/>
        </w:rPr>
        <w:lastRenderedPageBreak/>
        <w:t>与利妥昔单抗具有协同作用。</w:t>
      </w:r>
    </w:p>
    <w:p w:rsidRPr="003C684F" w:rsidR="009730C1" w:rsidRDefault="00A315B9" w14:paraId="4FF8BCB9" w14:textId="6C1AE778">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3.治疗</w:t>
      </w:r>
      <w:r w:rsidRPr="003C684F">
        <w:rPr>
          <w:rFonts w:ascii="仿宋" w:hAnsi="仿宋" w:eastAsia="仿宋" w:cs="Times New Roman"/>
          <w:sz w:val="32"/>
          <w:szCs w:val="32"/>
        </w:rPr>
        <w:t>套细胞淋巴瘤与慢性淋巴细胞白血病/小淋巴细胞淋巴瘤的推荐剂量均为1</w:t>
      </w:r>
      <w:r w:rsidRPr="003C684F">
        <w:rPr>
          <w:rFonts w:hint="eastAsia" w:ascii="仿宋" w:hAnsi="仿宋" w:eastAsia="仿宋" w:cs="Times New Roman"/>
          <w:sz w:val="32"/>
          <w:szCs w:val="32"/>
        </w:rPr>
        <w:t>5</w:t>
      </w:r>
      <w:r w:rsidRPr="003C684F">
        <w:rPr>
          <w:rFonts w:ascii="仿宋" w:hAnsi="仿宋" w:eastAsia="仿宋" w:cs="Times New Roman"/>
          <w:sz w:val="32"/>
          <w:szCs w:val="32"/>
        </w:rPr>
        <w:t>0mg</w:t>
      </w:r>
      <w:r w:rsidRPr="003C684F" w:rsidR="008545B3">
        <w:rPr>
          <w:rFonts w:hint="eastAsia" w:ascii="仿宋" w:hAnsi="仿宋" w:eastAsia="仿宋" w:cs="Times New Roman"/>
          <w:sz w:val="32"/>
          <w:szCs w:val="32"/>
        </w:rPr>
        <w:t>/次</w:t>
      </w:r>
      <w:r w:rsidRPr="003C684F">
        <w:rPr>
          <w:rFonts w:ascii="仿宋" w:hAnsi="仿宋" w:eastAsia="仿宋" w:cs="Times New Roman"/>
          <w:sz w:val="32"/>
          <w:szCs w:val="32"/>
        </w:rPr>
        <w:t>，每天一次</w:t>
      </w:r>
      <w:r w:rsidRPr="003C684F">
        <w:rPr>
          <w:rFonts w:hint="eastAsia" w:ascii="仿宋" w:hAnsi="仿宋" w:eastAsia="仿宋" w:cs="Times New Roman"/>
          <w:sz w:val="32"/>
          <w:szCs w:val="32"/>
        </w:rPr>
        <w:t>，</w:t>
      </w:r>
      <w:r w:rsidRPr="003C684F" w:rsidR="008545B3">
        <w:rPr>
          <w:rFonts w:hint="eastAsia" w:ascii="仿宋" w:hAnsi="仿宋" w:eastAsia="仿宋" w:cs="Times New Roman"/>
          <w:sz w:val="32"/>
          <w:szCs w:val="32"/>
        </w:rPr>
        <w:t>口服，</w:t>
      </w:r>
      <w:r w:rsidRPr="003C684F">
        <w:rPr>
          <w:rFonts w:ascii="仿宋" w:hAnsi="仿宋" w:eastAsia="仿宋" w:cs="Times New Roman"/>
          <w:sz w:val="32"/>
          <w:szCs w:val="32"/>
        </w:rPr>
        <w:t>直至</w:t>
      </w:r>
      <w:r w:rsidRPr="003C684F" w:rsidR="00B95507">
        <w:rPr>
          <w:rFonts w:ascii="仿宋" w:hAnsi="仿宋" w:eastAsia="仿宋" w:cs="Times New Roman"/>
          <w:sz w:val="32"/>
          <w:szCs w:val="32"/>
        </w:rPr>
        <w:t>疾病进展或出现不可耐受的毒性。</w:t>
      </w:r>
    </w:p>
    <w:p w:rsidRPr="003C684F" w:rsidR="009730C1" w:rsidRDefault="00A315B9" w14:paraId="146CE7D1" w14:textId="18E77083">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4.为口服给药，每天的用药时间尽量固定。应用水送服整片药片，</w:t>
      </w:r>
      <w:r w:rsidRPr="003C684F" w:rsidR="00D953FD">
        <w:rPr>
          <w:rFonts w:hint="eastAsia" w:ascii="仿宋" w:hAnsi="仿宋" w:eastAsia="仿宋" w:cs="Times New Roman"/>
          <w:sz w:val="32"/>
          <w:szCs w:val="32"/>
        </w:rPr>
        <w:t>不应咀嚼、压碎、溶解或掰断药片</w:t>
      </w:r>
      <w:r w:rsidRPr="003C684F">
        <w:rPr>
          <w:rFonts w:hint="eastAsia" w:ascii="仿宋" w:hAnsi="仿宋" w:eastAsia="仿宋" w:cs="Times New Roman"/>
          <w:sz w:val="32"/>
          <w:szCs w:val="32"/>
        </w:rPr>
        <w:t>，可在饭前或饭后服用。如果未在计划时间服用本品，应在距离下一次用药至少8小时的前提下尽快服用，第2天继续在正常计划时间服药。请勿额外服用本品以弥补漏服剂量。</w:t>
      </w:r>
    </w:p>
    <w:p w:rsidRPr="003C684F" w:rsidR="009730C1" w:rsidRDefault="00A315B9" w14:paraId="310608E8"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5.轻度肝功能损伤患者不建议进行剂量调整。中度肝功能损伤患者需在医师指导下慎用本品并严密监测肝功能，重度肝功能损伤患者应避免使用。</w:t>
      </w:r>
    </w:p>
    <w:p w:rsidRPr="003C684F" w:rsidR="009730C1" w:rsidRDefault="00A315B9" w14:paraId="4F9066CD" w14:textId="32736A65">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6.</w:t>
      </w:r>
      <w:r w:rsidRPr="003C684F" w:rsidR="00691EDE">
        <w:rPr>
          <w:rFonts w:hint="eastAsia" w:ascii="仿宋" w:hAnsi="仿宋" w:eastAsia="仿宋" w:cs="Times New Roman"/>
          <w:sz w:val="32"/>
          <w:szCs w:val="32"/>
        </w:rPr>
        <w:t>中性粒细胞减少症</w:t>
      </w:r>
      <w:r w:rsidRPr="003C684F">
        <w:rPr>
          <w:rFonts w:hint="eastAsia" w:ascii="仿宋" w:hAnsi="仿宋" w:eastAsia="仿宋" w:cs="Times New Roman"/>
          <w:sz w:val="32"/>
          <w:szCs w:val="32"/>
        </w:rPr>
        <w:t>、</w:t>
      </w:r>
      <w:r w:rsidRPr="003C684F" w:rsidR="00701C08">
        <w:rPr>
          <w:rFonts w:hint="eastAsia" w:ascii="仿宋" w:hAnsi="仿宋" w:eastAsia="仿宋" w:cs="Times New Roman"/>
          <w:sz w:val="32"/>
          <w:szCs w:val="32"/>
        </w:rPr>
        <w:t>血小板减少症</w:t>
      </w:r>
      <w:r w:rsidRPr="003C684F">
        <w:rPr>
          <w:rFonts w:hint="eastAsia" w:ascii="仿宋" w:hAnsi="仿宋" w:eastAsia="仿宋" w:cs="Times New Roman"/>
          <w:sz w:val="32"/>
          <w:szCs w:val="32"/>
        </w:rPr>
        <w:t>、</w:t>
      </w:r>
      <w:r w:rsidRPr="003C684F" w:rsidR="00701C08">
        <w:rPr>
          <w:rFonts w:hint="eastAsia" w:ascii="仿宋" w:hAnsi="仿宋" w:eastAsia="仿宋" w:cs="Times New Roman"/>
          <w:sz w:val="32"/>
          <w:szCs w:val="32"/>
        </w:rPr>
        <w:t>白细胞减少症</w:t>
      </w:r>
      <w:r w:rsidRPr="003C684F">
        <w:rPr>
          <w:rFonts w:hint="eastAsia" w:ascii="仿宋" w:hAnsi="仿宋" w:eastAsia="仿宋" w:cs="Times New Roman"/>
          <w:sz w:val="32"/>
          <w:szCs w:val="32"/>
        </w:rPr>
        <w:t>是常见的不良反应。用药期间需要监测血常规。出现</w:t>
      </w:r>
      <w:r w:rsidRPr="003C684F">
        <w:rPr>
          <w:rFonts w:ascii="仿宋" w:hAnsi="仿宋" w:eastAsia="仿宋" w:cs="Times New Roman"/>
          <w:sz w:val="32"/>
          <w:szCs w:val="32"/>
        </w:rPr>
        <w:t>3级血液学毒性及以上注意剂量调整。</w:t>
      </w:r>
      <w:r w:rsidRPr="003C684F">
        <w:rPr>
          <w:rFonts w:hint="eastAsia" w:ascii="仿宋" w:hAnsi="仿宋" w:eastAsia="仿宋" w:cs="Times New Roman"/>
          <w:sz w:val="32"/>
          <w:szCs w:val="32"/>
        </w:rPr>
        <w:t>≥</w:t>
      </w:r>
      <w:r w:rsidRPr="003C684F">
        <w:rPr>
          <w:rFonts w:ascii="仿宋" w:hAnsi="仿宋" w:eastAsia="仿宋" w:cs="Times New Roman"/>
          <w:sz w:val="32"/>
          <w:szCs w:val="32"/>
        </w:rPr>
        <w:t>3级</w:t>
      </w:r>
      <w:r w:rsidRPr="003C684F">
        <w:rPr>
          <w:rFonts w:hint="eastAsia" w:ascii="仿宋" w:hAnsi="仿宋" w:eastAsia="仿宋" w:cs="Times New Roman"/>
          <w:sz w:val="32"/>
          <w:szCs w:val="32"/>
        </w:rPr>
        <w:t>伴感染或</w:t>
      </w:r>
      <w:r w:rsidRPr="003C684F">
        <w:rPr>
          <w:rFonts w:ascii="仿宋" w:hAnsi="仿宋" w:eastAsia="仿宋" w:cs="Times New Roman"/>
          <w:sz w:val="32"/>
          <w:szCs w:val="32"/>
        </w:rPr>
        <w:t>发热性中性粒细胞减少症</w:t>
      </w:r>
      <w:r w:rsidRPr="003C684F">
        <w:rPr>
          <w:rFonts w:hint="eastAsia" w:ascii="仿宋" w:hAnsi="仿宋" w:eastAsia="仿宋" w:cs="Times New Roman"/>
          <w:sz w:val="32"/>
          <w:szCs w:val="32"/>
        </w:rPr>
        <w:t>、≥3级血小板减少症伴显著出血</w:t>
      </w:r>
      <w:r w:rsidRPr="003C684F" w:rsidR="00DB4978">
        <w:rPr>
          <w:rFonts w:ascii="仿宋" w:hAnsi="仿宋" w:eastAsia="仿宋" w:cs="Times New Roman"/>
          <w:sz w:val="32"/>
          <w:szCs w:val="32"/>
        </w:rPr>
        <w:t>或</w:t>
      </w:r>
      <w:r w:rsidRPr="003C684F">
        <w:rPr>
          <w:rFonts w:ascii="仿宋" w:hAnsi="仿宋" w:eastAsia="仿宋" w:cs="Times New Roman"/>
          <w:sz w:val="32"/>
          <w:szCs w:val="32"/>
        </w:rPr>
        <w:t>4级血液学毒性时</w:t>
      </w:r>
      <w:r w:rsidRPr="003C684F">
        <w:rPr>
          <w:rFonts w:hint="eastAsia" w:ascii="仿宋" w:hAnsi="仿宋" w:eastAsia="仿宋" w:cs="Times New Roman"/>
          <w:sz w:val="32"/>
          <w:szCs w:val="32"/>
        </w:rPr>
        <w:t>，应中断治疗，待毒性症状在14天内消退至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，以起始剂量重新开始治疗；如14天之后消退至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，建议在医师指导下确定继续150mg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或调整至100mg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，每天一次的剂量。如果该毒性再次发生，应再次中断治疗，待毒性症状在14天内消退至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，以每次100mg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w:t>
      </w:r>
      <w:r w:rsidRPr="003C684F">
        <w:rPr>
          <w:rFonts w:hint="eastAsia" w:ascii="仿宋" w:hAnsi="仿宋" w:eastAsia="仿宋" w:cs="Times New Roman"/>
          <w:sz w:val="32"/>
          <w:szCs w:val="32"/>
        </w:rPr>
        <w:lastRenderedPageBreak/>
        <w:t>每天一次的剂量重新开始治疗；如14天之后消退至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，建议在医师指导下确定继续100mg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或调整至50mg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，每天一次的剂量。如果在剂量降低后该毒性第3次发生，应再次中断治疗，待毒性症状在14天内消退至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，以每次50mg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，每天一次的剂量重新开始治疗；如14天之后消退至</w:t>
      </w:r>
      <w:r w:rsidRPr="003C684F">
        <w:rPr>
          <w:rFonts w:ascii="仿宋" w:hAnsi="仿宋" w:eastAsia="仿宋" w:cs="Times New Roman"/>
          <w:sz w:val="32"/>
          <w:szCs w:val="32"/>
        </w:rPr>
        <w:t>1级或基线水平</w:t>
      </w:r>
      <w:r w:rsidRPr="003C684F">
        <w:rPr>
          <w:rFonts w:hint="eastAsia" w:ascii="仿宋" w:hAnsi="仿宋" w:eastAsia="仿宋" w:cs="Times New Roman"/>
          <w:sz w:val="32"/>
          <w:szCs w:val="32"/>
        </w:rPr>
        <w:t>（恢复）</w:t>
      </w:r>
      <w:r w:rsidRPr="003C684F">
        <w:rPr>
          <w:rFonts w:ascii="仿宋" w:hAnsi="仿宋" w:eastAsia="仿宋" w:cs="Times New Roman"/>
          <w:sz w:val="32"/>
          <w:szCs w:val="32"/>
        </w:rPr>
        <w:t>时</w:t>
      </w:r>
      <w:r w:rsidRPr="003C684F">
        <w:rPr>
          <w:rFonts w:hint="eastAsia" w:ascii="仿宋" w:hAnsi="仿宋" w:eastAsia="仿宋" w:cs="Times New Roman"/>
          <w:sz w:val="32"/>
          <w:szCs w:val="32"/>
        </w:rPr>
        <w:t>，建议在医师指导下确定继续50mg</w:t>
      </w:r>
      <w:r w:rsidRPr="003C684F" w:rsidR="008545B3">
        <w:rPr>
          <w:rFonts w:hint="eastAsia" w:ascii="仿宋" w:hAnsi="仿宋" w:eastAsia="仿宋" w:cs="Times New Roman"/>
          <w:sz w:val="32"/>
          <w:szCs w:val="32"/>
        </w:rPr>
        <w:t>/次</w:t>
      </w:r>
      <w:r w:rsidRPr="003C684F">
        <w:rPr>
          <w:rFonts w:hint="eastAsia" w:ascii="仿宋" w:hAnsi="仿宋" w:eastAsia="仿宋" w:cs="Times New Roman"/>
          <w:sz w:val="32"/>
          <w:szCs w:val="32"/>
        </w:rPr>
        <w:t>，每天一次的剂量或终止治疗。如果该毒性第4次发生，应终止本品治疗。</w:t>
      </w:r>
    </w:p>
    <w:p w:rsidRPr="003C684F" w:rsidR="009730C1" w:rsidRDefault="00A315B9" w14:paraId="71C49AFD" w14:textId="60D7C5C5">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7.</w:t>
      </w:r>
      <w:r w:rsidRPr="003C684F" w:rsidR="00DE313C">
        <w:rPr>
          <w:rFonts w:hint="eastAsia" w:ascii="仿宋" w:hAnsi="仿宋" w:eastAsia="仿宋" w:cs="Times New Roman"/>
          <w:sz w:val="32"/>
          <w:szCs w:val="32"/>
        </w:rPr>
        <w:t>联合使用</w:t>
      </w:r>
      <w:r w:rsidRPr="003C684F">
        <w:rPr>
          <w:rFonts w:hint="eastAsia" w:ascii="仿宋" w:hAnsi="仿宋" w:eastAsia="仿宋" w:cs="Times New Roman"/>
          <w:sz w:val="32"/>
          <w:szCs w:val="32"/>
        </w:rPr>
        <w:t>CYP3A4抑制剂或诱导剂时应谨慎，应避免与CYP3A4</w:t>
      </w:r>
      <w:r w:rsidRPr="003C684F" w:rsidR="009D028E">
        <w:rPr>
          <w:rFonts w:hint="eastAsia" w:ascii="仿宋" w:hAnsi="仿宋" w:eastAsia="仿宋" w:cs="Times New Roman"/>
          <w:sz w:val="32"/>
          <w:szCs w:val="32"/>
        </w:rPr>
        <w:t>强效</w:t>
      </w:r>
      <w:r w:rsidRPr="003C684F" w:rsidR="001744CD">
        <w:rPr>
          <w:rFonts w:hint="eastAsia" w:ascii="仿宋" w:hAnsi="仿宋" w:eastAsia="仿宋" w:cs="Times New Roman"/>
          <w:sz w:val="32"/>
          <w:szCs w:val="32"/>
        </w:rPr>
        <w:t>或中</w:t>
      </w:r>
      <w:r w:rsidRPr="003C684F" w:rsidR="009D028E">
        <w:rPr>
          <w:rFonts w:hint="eastAsia" w:ascii="仿宋" w:hAnsi="仿宋" w:eastAsia="仿宋" w:cs="Times New Roman"/>
          <w:sz w:val="32"/>
          <w:szCs w:val="32"/>
        </w:rPr>
        <w:t>效</w:t>
      </w:r>
      <w:r w:rsidRPr="003C684F">
        <w:rPr>
          <w:rFonts w:hint="eastAsia" w:ascii="仿宋" w:hAnsi="仿宋" w:eastAsia="仿宋" w:cs="Times New Roman"/>
          <w:sz w:val="32"/>
          <w:szCs w:val="32"/>
        </w:rPr>
        <w:t>抑制剂</w:t>
      </w:r>
      <w:r w:rsidRPr="003C684F" w:rsidR="001744CD">
        <w:rPr>
          <w:rFonts w:hint="eastAsia" w:ascii="仿宋" w:hAnsi="仿宋" w:eastAsia="仿宋" w:cs="Times New Roman"/>
          <w:sz w:val="32"/>
          <w:szCs w:val="32"/>
        </w:rPr>
        <w:t>和</w:t>
      </w:r>
      <w:r w:rsidRPr="003C684F">
        <w:rPr>
          <w:rFonts w:hint="eastAsia" w:ascii="仿宋" w:hAnsi="仿宋" w:eastAsia="仿宋" w:cs="Times New Roman"/>
          <w:sz w:val="32"/>
          <w:szCs w:val="32"/>
        </w:rPr>
        <w:t>诱导剂</w:t>
      </w:r>
      <w:r w:rsidRPr="003C684F" w:rsidR="00DE313C">
        <w:rPr>
          <w:rFonts w:hint="eastAsia" w:ascii="仿宋" w:hAnsi="仿宋" w:eastAsia="仿宋" w:cs="Times New Roman"/>
          <w:sz w:val="32"/>
          <w:szCs w:val="32"/>
        </w:rPr>
        <w:t>联合使用</w:t>
      </w:r>
      <w:r w:rsidRPr="003C684F">
        <w:rPr>
          <w:rFonts w:hint="eastAsia" w:ascii="仿宋" w:hAnsi="仿宋" w:eastAsia="仿宋" w:cs="Times New Roman"/>
          <w:sz w:val="32"/>
          <w:szCs w:val="32"/>
        </w:rPr>
        <w:t>。</w:t>
      </w:r>
    </w:p>
    <w:p w:rsidRPr="003C684F" w:rsidR="009730C1" w:rsidRDefault="00A315B9" w14:paraId="1E7AD7EB"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8.乙肝病毒再激活的风险：使用奥布替尼过程中需要注意乙肝病毒激活的风险。应在开始本品治疗前确定乙型肝炎病毒状态，对于目前或既往有乙型肝炎病毒感染的患者，建议在开始本品治疗前咨询肝炎专科医生，并在治疗过程中注意监测。</w:t>
      </w:r>
    </w:p>
    <w:p w:rsidRPr="003C684F" w:rsidR="009730C1" w:rsidP="0037660B" w:rsidRDefault="00A315B9" w14:paraId="69BA1D86" w14:textId="77777777">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九、硼替佐米 B</w:t>
      </w:r>
      <w:r w:rsidRPr="003C684F">
        <w:rPr>
          <w:rFonts w:ascii="黑体" w:hAnsi="黑体" w:eastAsia="黑体" w:cs="黑体"/>
          <w:sz w:val="32"/>
          <w:szCs w:val="32"/>
        </w:rPr>
        <w:t>ortezomib</w:t>
      </w:r>
    </w:p>
    <w:p w:rsidRPr="003C684F" w:rsidR="009730C1" w:rsidRDefault="00A315B9" w14:paraId="240B7EA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注射剂：</w:t>
      </w:r>
      <w:r w:rsidRPr="003C684F">
        <w:rPr>
          <w:rFonts w:ascii="仿宋" w:hAnsi="仿宋" w:eastAsia="仿宋" w:cs="仿宋"/>
          <w:sz w:val="32"/>
          <w:szCs w:val="32"/>
        </w:rPr>
        <w:t>1mg</w:t>
      </w:r>
      <w:r w:rsidRPr="003C684F">
        <w:rPr>
          <w:rFonts w:hint="eastAsia" w:ascii="仿宋" w:hAnsi="仿宋" w:eastAsia="仿宋" w:cs="仿宋"/>
          <w:sz w:val="32"/>
          <w:szCs w:val="32"/>
        </w:rPr>
        <w:t>、</w:t>
      </w:r>
      <w:r w:rsidRPr="003C684F">
        <w:rPr>
          <w:rFonts w:ascii="仿宋" w:hAnsi="仿宋" w:eastAsia="仿宋" w:cs="仿宋"/>
          <w:sz w:val="32"/>
          <w:szCs w:val="32"/>
        </w:rPr>
        <w:t>3.5mg</w:t>
      </w:r>
    </w:p>
    <w:p w:rsidRPr="003C684F" w:rsidR="009730C1" w:rsidRDefault="00A315B9" w14:paraId="68060EB3"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4B6EE0E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复发或难治性套细胞淋巴瘤或既往未经治疗的且不适合接受造血干细胞栘植的套细胞淋巴瘤成人患者。</w:t>
      </w:r>
    </w:p>
    <w:p w:rsidRPr="003C684F" w:rsidR="009730C1" w:rsidRDefault="00A315B9" w14:paraId="77B73C75" w14:textId="77777777">
      <w:pPr>
        <w:spacing w:line="360" w:lineRule="auto"/>
        <w:ind w:firstLine="640" w:firstLineChars="200"/>
        <w:rPr>
          <w:rFonts w:ascii="仿宋" w:hAnsi="仿宋" w:eastAsia="仿宋" w:cs="Times New Roman"/>
          <w:b/>
          <w:bCs/>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初治及复发难治性多发性骨髓瘤。</w:t>
      </w:r>
    </w:p>
    <w:p w:rsidRPr="003C684F" w:rsidR="009730C1" w:rsidRDefault="00A315B9" w14:paraId="4B975156"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lastRenderedPageBreak/>
        <w:t>合理用药要点：</w:t>
      </w:r>
    </w:p>
    <w:p w:rsidRPr="003C684F" w:rsidR="009730C1" w:rsidRDefault="00A315B9" w14:paraId="07181B6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bCs/>
          <w:sz w:val="32"/>
          <w:szCs w:val="32"/>
        </w:rPr>
        <w:t>1.</w:t>
      </w:r>
      <w:r w:rsidRPr="003C684F">
        <w:rPr>
          <w:rFonts w:hint="eastAsia" w:ascii="仿宋" w:hAnsi="仿宋" w:eastAsia="仿宋" w:cs="仿宋"/>
          <w:sz w:val="32"/>
          <w:szCs w:val="32"/>
        </w:rPr>
        <w:t>在接受本品治疗的患者中，应考虑抗病毒药物的预防治疗，降低带状疱疹再激活的风险。</w:t>
      </w:r>
    </w:p>
    <w:p w:rsidRPr="003C684F" w:rsidR="009730C1" w:rsidRDefault="00A315B9" w14:paraId="42DFD2A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2.本品含有甘露醇，在患者初次试用药物时，需要询问过敏史及既往病史，警惕高肿瘤负荷患者发生肿瘤溶解综合征。</w:t>
      </w:r>
    </w:p>
    <w:p w:rsidRPr="003C684F" w:rsidR="009730C1" w:rsidRDefault="00A315B9" w14:paraId="55F83885" w14:textId="142A527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3.肾功能损伤患者使用无需减量，进行透析的患者应在透析后使用。</w:t>
      </w:r>
    </w:p>
    <w:p w:rsidRPr="003C684F" w:rsidR="009730C1" w:rsidRDefault="001D102C" w14:paraId="2E9D1CDC" w14:textId="4458B19E">
      <w:pPr>
        <w:spacing w:line="360" w:lineRule="auto"/>
        <w:ind w:firstLine="640" w:firstLineChars="200"/>
        <w:rPr>
          <w:rFonts w:ascii="仿宋" w:hAnsi="仿宋" w:eastAsia="仿宋" w:cs="仿宋"/>
          <w:b/>
          <w:bCs/>
          <w:sz w:val="32"/>
          <w:szCs w:val="32"/>
        </w:rPr>
      </w:pPr>
      <w:r w:rsidRPr="003C684F">
        <w:rPr>
          <w:rFonts w:hint="eastAsia" w:ascii="仿宋" w:hAnsi="仿宋" w:eastAsia="仿宋" w:cs="仿宋"/>
          <w:sz w:val="32"/>
          <w:szCs w:val="32"/>
        </w:rPr>
        <w:t>4</w:t>
      </w:r>
      <w:r w:rsidRPr="003C684F" w:rsidR="00A315B9">
        <w:rPr>
          <w:rFonts w:hint="eastAsia" w:ascii="仿宋" w:hAnsi="仿宋" w:eastAsia="仿宋" w:cs="仿宋"/>
          <w:sz w:val="32"/>
          <w:szCs w:val="32"/>
        </w:rPr>
        <w:t>.不良反应包括神经系统症状（包括</w:t>
      </w:r>
      <w:r w:rsidRPr="003C684F">
        <w:rPr>
          <w:rFonts w:hint="eastAsia" w:ascii="仿宋" w:hAnsi="仿宋" w:eastAsia="仿宋" w:cs="仿宋"/>
          <w:sz w:val="32"/>
          <w:szCs w:val="32"/>
        </w:rPr>
        <w:t>麻痹性</w:t>
      </w:r>
      <w:r w:rsidRPr="003C684F" w:rsidR="00A315B9">
        <w:rPr>
          <w:rFonts w:hint="eastAsia" w:ascii="仿宋" w:hAnsi="仿宋" w:eastAsia="仿宋" w:cs="仿宋"/>
          <w:sz w:val="32"/>
          <w:szCs w:val="32"/>
        </w:rPr>
        <w:t>肠梗阻）、病毒激活、血液系统骨髓抑制等，少见情况还可以出现急性肺损伤、胰腺炎等。</w:t>
      </w:r>
    </w:p>
    <w:p w:rsidRPr="003C684F" w:rsidR="009730C1" w:rsidRDefault="001D102C" w14:paraId="5C68F5E4" w14:textId="19051F32">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不推荐</w:t>
      </w:r>
      <w:r w:rsidRPr="003C684F" w:rsidR="00DE313C">
        <w:rPr>
          <w:rFonts w:hint="eastAsia" w:ascii="仿宋" w:hAnsi="仿宋" w:eastAsia="仿宋" w:cs="仿宋"/>
          <w:sz w:val="32"/>
          <w:szCs w:val="32"/>
        </w:rPr>
        <w:t>联合使用</w:t>
      </w:r>
      <w:r w:rsidRPr="003C684F" w:rsidR="00A315B9">
        <w:rPr>
          <w:rFonts w:ascii="仿宋" w:hAnsi="仿宋" w:eastAsia="仿宋" w:cs="仿宋"/>
          <w:sz w:val="32"/>
          <w:szCs w:val="32"/>
        </w:rPr>
        <w:t>CYP3A4</w:t>
      </w:r>
      <w:r w:rsidRPr="003C684F" w:rsidR="009D028E">
        <w:rPr>
          <w:rFonts w:hint="eastAsia" w:ascii="仿宋" w:hAnsi="仿宋" w:eastAsia="仿宋" w:cs="仿宋"/>
          <w:sz w:val="32"/>
          <w:szCs w:val="32"/>
        </w:rPr>
        <w:t>强效</w:t>
      </w:r>
      <w:r w:rsidRPr="003C684F" w:rsidR="00A315B9">
        <w:rPr>
          <w:rFonts w:hint="eastAsia" w:ascii="仿宋" w:hAnsi="仿宋" w:eastAsia="仿宋" w:cs="仿宋"/>
          <w:sz w:val="32"/>
          <w:szCs w:val="32"/>
        </w:rPr>
        <w:t>抑制剂。如果无法避免</w:t>
      </w:r>
      <w:r w:rsidRPr="003C684F" w:rsidR="00EE6495">
        <w:rPr>
          <w:rFonts w:hint="eastAsia" w:ascii="仿宋" w:hAnsi="仿宋" w:eastAsia="仿宋" w:cs="仿宋"/>
          <w:sz w:val="32"/>
          <w:szCs w:val="32"/>
        </w:rPr>
        <w:t>联合使用</w:t>
      </w:r>
      <w:r w:rsidRPr="003C684F" w:rsidR="00A315B9">
        <w:rPr>
          <w:rFonts w:hint="eastAsia" w:ascii="仿宋" w:hAnsi="仿宋" w:eastAsia="仿宋" w:cs="仿宋"/>
          <w:sz w:val="32"/>
          <w:szCs w:val="32"/>
        </w:rPr>
        <w:t>，则应对毒性反应进行密切监测。</w:t>
      </w:r>
    </w:p>
    <w:p w:rsidRPr="003C684F" w:rsidR="009730C1" w:rsidRDefault="001D102C" w14:paraId="41AE2117" w14:textId="7DDA928F">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6</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硼替佐米皮下注射具有与静脉推注同样的疗效，且神经病变发生率更低。</w:t>
      </w:r>
    </w:p>
    <w:p w:rsidRPr="003C684F" w:rsidR="009730C1" w:rsidRDefault="001D102C" w14:paraId="50385376" w14:textId="2DB71448">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多发性骨髓瘤需要具有治疗指征，即以下其中之一：肾功能异常、血钙升高、贫血及骨质破坏、血清游离轻链比值大于</w:t>
      </w:r>
      <w:r w:rsidRPr="003C684F" w:rsidR="00A315B9">
        <w:rPr>
          <w:rFonts w:ascii="仿宋" w:hAnsi="仿宋" w:eastAsia="仿宋" w:cs="仿宋"/>
          <w:sz w:val="32"/>
          <w:szCs w:val="32"/>
        </w:rPr>
        <w:t>100</w:t>
      </w:r>
      <w:r w:rsidRPr="003C684F" w:rsidR="00A315B9">
        <w:rPr>
          <w:rFonts w:hint="eastAsia" w:ascii="仿宋" w:hAnsi="仿宋" w:eastAsia="仿宋" w:cs="仿宋"/>
          <w:sz w:val="32"/>
          <w:szCs w:val="32"/>
        </w:rPr>
        <w:t>、骨髓中克隆浆细胞大于</w:t>
      </w:r>
      <w:r w:rsidRPr="003C684F" w:rsidR="00A315B9">
        <w:rPr>
          <w:rFonts w:ascii="仿宋" w:hAnsi="仿宋" w:eastAsia="仿宋" w:cs="仿宋"/>
          <w:sz w:val="32"/>
          <w:szCs w:val="32"/>
        </w:rPr>
        <w:t>60%</w:t>
      </w:r>
      <w:r w:rsidRPr="003C684F" w:rsidR="00A315B9">
        <w:rPr>
          <w:rFonts w:hint="eastAsia" w:ascii="仿宋" w:hAnsi="仿宋" w:eastAsia="仿宋" w:cs="仿宋"/>
          <w:sz w:val="32"/>
          <w:szCs w:val="32"/>
        </w:rPr>
        <w:t>、核磁证实</w:t>
      </w:r>
      <w:r w:rsidRPr="003C684F" w:rsidR="00A315B9">
        <w:rPr>
          <w:rFonts w:ascii="仿宋" w:hAnsi="仿宋" w:eastAsia="仿宋" w:cs="仿宋"/>
          <w:sz w:val="32"/>
          <w:szCs w:val="32"/>
        </w:rPr>
        <w:t>2</w:t>
      </w:r>
      <w:r w:rsidRPr="003C684F" w:rsidR="00A315B9">
        <w:rPr>
          <w:rFonts w:hint="eastAsia" w:ascii="仿宋" w:hAnsi="仿宋" w:eastAsia="仿宋" w:cs="仿宋"/>
          <w:sz w:val="32"/>
          <w:szCs w:val="32"/>
        </w:rPr>
        <w:t>处或以上骨质破坏才需要治疗。不符合以上标准的冒烟性多发性骨髓瘤目前不建议进行治疗，包括硼替佐米的治疗。</w:t>
      </w:r>
    </w:p>
    <w:p w:rsidRPr="003C684F" w:rsidR="001D102C" w:rsidRDefault="001D102C" w14:paraId="6391D1E4" w14:textId="13E12210">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8.硼替佐米曾有因不慎鞘内注射而致死亡的病例报告。因此，本品仅用于静脉和皮下给药，严禁鞘内注射。</w:t>
      </w:r>
    </w:p>
    <w:p w:rsidRPr="003C684F" w:rsidR="009730C1" w:rsidRDefault="00A315B9" w14:paraId="1BE6A31F" w14:textId="16FDB195">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lastRenderedPageBreak/>
        <w:t>※</w:t>
      </w:r>
      <w:r w:rsidRPr="003C684F" w:rsidR="001D102C">
        <w:rPr>
          <w:rFonts w:hint="eastAsia" w:ascii="仿宋" w:hAnsi="仿宋" w:eastAsia="仿宋" w:cs="仿宋"/>
          <w:sz w:val="32"/>
          <w:szCs w:val="32"/>
        </w:rPr>
        <w:t>9</w:t>
      </w:r>
      <w:r w:rsidRPr="003C684F">
        <w:rPr>
          <w:rFonts w:ascii="仿宋" w:hAnsi="仿宋" w:eastAsia="仿宋" w:cs="仿宋"/>
          <w:sz w:val="32"/>
          <w:szCs w:val="32"/>
        </w:rPr>
        <w:t>.</w:t>
      </w:r>
      <w:r w:rsidRPr="003C684F">
        <w:rPr>
          <w:rFonts w:hint="eastAsia" w:ascii="仿宋" w:hAnsi="仿宋" w:eastAsia="仿宋" w:cs="仿宋"/>
          <w:sz w:val="32"/>
          <w:szCs w:val="32"/>
        </w:rPr>
        <w:t>硼替佐米应用于初治套细胞淋巴瘤（</w:t>
      </w:r>
      <w:r w:rsidRPr="003C684F">
        <w:rPr>
          <w:rFonts w:ascii="仿宋" w:hAnsi="仿宋" w:eastAsia="仿宋" w:cs="仿宋"/>
          <w:sz w:val="32"/>
          <w:szCs w:val="32"/>
        </w:rPr>
        <w:t>FDA</w:t>
      </w:r>
      <w:r w:rsidRPr="003C684F">
        <w:rPr>
          <w:rFonts w:hint="eastAsia" w:ascii="仿宋" w:hAnsi="仿宋" w:eastAsia="仿宋" w:cs="仿宋"/>
          <w:sz w:val="32"/>
          <w:szCs w:val="32"/>
        </w:rPr>
        <w:t>已获批，基于</w:t>
      </w:r>
      <w:r w:rsidRPr="003C684F">
        <w:rPr>
          <w:rFonts w:ascii="仿宋" w:hAnsi="仿宋" w:eastAsia="仿宋" w:cs="仿宋"/>
          <w:sz w:val="32"/>
          <w:szCs w:val="32"/>
        </w:rPr>
        <w:t>LYM-3002</w:t>
      </w:r>
      <w:r w:rsidRPr="003C684F">
        <w:rPr>
          <w:rFonts w:hint="eastAsia" w:ascii="仿宋" w:hAnsi="仿宋" w:eastAsia="仿宋" w:cs="仿宋"/>
          <w:sz w:val="32"/>
          <w:szCs w:val="32"/>
        </w:rPr>
        <w:t>研究）。</w:t>
      </w:r>
    </w:p>
    <w:p w:rsidRPr="003C684F" w:rsidR="009730C1" w:rsidRDefault="00A315B9" w14:paraId="7A0C9A26" w14:textId="142314B2">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1</w:t>
      </w:r>
      <w:r w:rsidRPr="003C684F" w:rsidR="001D102C">
        <w:rPr>
          <w:rFonts w:hint="eastAsia" w:ascii="仿宋" w:hAnsi="仿宋" w:eastAsia="仿宋" w:cs="仿宋"/>
          <w:sz w:val="32"/>
          <w:szCs w:val="32"/>
        </w:rPr>
        <w:t>0</w:t>
      </w:r>
      <w:r w:rsidRPr="003C684F">
        <w:rPr>
          <w:rFonts w:ascii="仿宋" w:hAnsi="仿宋" w:eastAsia="仿宋" w:cs="仿宋"/>
          <w:sz w:val="32"/>
          <w:szCs w:val="32"/>
        </w:rPr>
        <w:t>.</w:t>
      </w:r>
      <w:r w:rsidRPr="003C684F">
        <w:rPr>
          <w:rFonts w:hint="eastAsia" w:ascii="仿宋" w:hAnsi="仿宋" w:eastAsia="仿宋" w:cs="仿宋"/>
          <w:sz w:val="32"/>
          <w:szCs w:val="32"/>
        </w:rPr>
        <w:t>华氏巨球蛋白血症（</w:t>
      </w:r>
      <w:r w:rsidRPr="003C684F">
        <w:rPr>
          <w:rFonts w:ascii="仿宋" w:hAnsi="仿宋" w:eastAsia="仿宋" w:cs="仿宋"/>
          <w:sz w:val="32"/>
          <w:szCs w:val="32"/>
        </w:rPr>
        <w:t>FDA</w:t>
      </w:r>
      <w:r w:rsidRPr="003C684F">
        <w:rPr>
          <w:rFonts w:hint="eastAsia" w:ascii="仿宋" w:hAnsi="仿宋" w:eastAsia="仿宋" w:cs="仿宋"/>
          <w:sz w:val="32"/>
          <w:szCs w:val="32"/>
        </w:rPr>
        <w:t>已批准）。</w:t>
      </w:r>
    </w:p>
    <w:p w:rsidRPr="003C684F" w:rsidR="009730C1" w:rsidRDefault="00A315B9" w14:paraId="5082A55B" w14:textId="73C91569">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1</w:t>
      </w:r>
      <w:r w:rsidRPr="003C684F" w:rsidR="001D102C">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其他罕见浆细胞病，如轻链淀粉样变性、</w:t>
      </w:r>
      <w:r w:rsidRPr="003C684F">
        <w:rPr>
          <w:rFonts w:ascii="仿宋" w:hAnsi="仿宋" w:eastAsia="仿宋" w:cs="仿宋"/>
          <w:sz w:val="32"/>
          <w:szCs w:val="32"/>
        </w:rPr>
        <w:t>POEMS</w:t>
      </w:r>
      <w:r w:rsidRPr="003C684F">
        <w:rPr>
          <w:rFonts w:hint="eastAsia" w:ascii="仿宋" w:hAnsi="仿宋" w:eastAsia="仿宋" w:cs="仿宋"/>
          <w:sz w:val="32"/>
          <w:szCs w:val="32"/>
        </w:rPr>
        <w:t>（仅Ⅰ～Ⅱ期数据）、</w:t>
      </w:r>
      <w:r w:rsidRPr="003C684F">
        <w:rPr>
          <w:rFonts w:ascii="仿宋" w:hAnsi="仿宋" w:eastAsia="仿宋" w:cs="仿宋"/>
          <w:sz w:val="32"/>
          <w:szCs w:val="32"/>
        </w:rPr>
        <w:t>MGRS</w:t>
      </w:r>
      <w:r w:rsidRPr="003C684F">
        <w:rPr>
          <w:rFonts w:hint="eastAsia" w:ascii="仿宋" w:hAnsi="仿宋" w:eastAsia="仿宋" w:cs="仿宋"/>
          <w:sz w:val="32"/>
          <w:szCs w:val="32"/>
        </w:rPr>
        <w:t>（意义未明单</w:t>
      </w:r>
      <w:r w:rsidRPr="003C684F">
        <w:rPr>
          <w:rFonts w:hint="eastAsia" w:ascii="仿宋" w:hAnsi="仿宋" w:eastAsia="仿宋" w:cs="仿宋"/>
          <w:w w:val="98"/>
          <w:sz w:val="32"/>
          <w:szCs w:val="32"/>
        </w:rPr>
        <w:t>克隆免疫球蛋白血症伴肾脏损伤，仅有Ⅰ～Ⅱ期数据）等治疗。</w:t>
      </w:r>
    </w:p>
    <w:p w:rsidRPr="003C684F" w:rsidR="009730C1" w:rsidRDefault="00A315B9" w14:paraId="3F0E7025"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 xml:space="preserve">十、卡非佐米 </w:t>
      </w:r>
      <w:r w:rsidRPr="003C684F">
        <w:rPr>
          <w:rFonts w:ascii="黑体" w:hAnsi="黑体" w:eastAsia="黑体" w:cs="黑体"/>
          <w:sz w:val="32"/>
          <w:szCs w:val="32"/>
        </w:rPr>
        <w:t xml:space="preserve">Carfilzomib </w:t>
      </w:r>
    </w:p>
    <w:p w:rsidRPr="003C684F" w:rsidR="009730C1" w:rsidRDefault="00A315B9" w14:paraId="27F11E59"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sidR="00642291">
        <w:rPr>
          <w:rFonts w:hint="eastAsia" w:ascii="仿宋" w:hAnsi="仿宋" w:eastAsia="仿宋" w:cs="仿宋"/>
          <w:sz w:val="32"/>
          <w:szCs w:val="32"/>
        </w:rPr>
        <w:t>粉针剂</w:t>
      </w:r>
      <w:r w:rsidRPr="003C684F">
        <w:rPr>
          <w:rFonts w:hint="eastAsia" w:ascii="仿宋" w:hAnsi="仿宋" w:eastAsia="仿宋" w:cs="仿宋"/>
          <w:sz w:val="32"/>
          <w:szCs w:val="32"/>
        </w:rPr>
        <w:t>：</w:t>
      </w:r>
      <w:r w:rsidRPr="003C684F">
        <w:rPr>
          <w:rFonts w:ascii="仿宋" w:hAnsi="仿宋" w:eastAsia="仿宋" w:cs="仿宋"/>
          <w:sz w:val="32"/>
          <w:szCs w:val="32"/>
        </w:rPr>
        <w:t>60mg/</w:t>
      </w:r>
      <w:r w:rsidRPr="003C684F">
        <w:rPr>
          <w:rFonts w:hint="eastAsia" w:ascii="仿宋" w:hAnsi="仿宋" w:eastAsia="仿宋" w:cs="仿宋"/>
          <w:sz w:val="32"/>
          <w:szCs w:val="32"/>
        </w:rPr>
        <w:t>瓶</w:t>
      </w:r>
    </w:p>
    <w:p w:rsidRPr="003C684F" w:rsidR="009730C1" w:rsidRDefault="00A315B9" w14:paraId="68260D2D"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与地塞米松联合适用于治疗复发或难治性多发性骨髓瘤成人患者，患者既往至少接受过</w:t>
      </w:r>
      <w:r w:rsidRPr="003C684F">
        <w:rPr>
          <w:rFonts w:ascii="仿宋" w:hAnsi="仿宋" w:eastAsia="仿宋" w:cs="仿宋"/>
          <w:sz w:val="32"/>
          <w:szCs w:val="32"/>
        </w:rPr>
        <w:t>两种</w:t>
      </w:r>
      <w:r w:rsidRPr="003C684F">
        <w:rPr>
          <w:rFonts w:hint="eastAsia" w:ascii="仿宋" w:hAnsi="仿宋" w:eastAsia="仿宋" w:cs="仿宋"/>
          <w:sz w:val="32"/>
          <w:szCs w:val="32"/>
        </w:rPr>
        <w:t>治疗，包括蛋白酶体抑制剂和免疫调节剂。</w:t>
      </w:r>
    </w:p>
    <w:p w:rsidRPr="003C684F" w:rsidR="009730C1" w:rsidRDefault="00A315B9" w14:paraId="16D4772E"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合理用药要点：</w:t>
      </w:r>
    </w:p>
    <w:p w:rsidRPr="003C684F" w:rsidR="009730C1" w:rsidRDefault="00A315B9" w14:paraId="6FECCE8A" w14:textId="539383D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1.给药剂量、方式和疗程：根据患者基线时的实际体表面积计算卡非佐米的给药剂量。对于</w:t>
      </w:r>
      <w:r w:rsidRPr="003C684F">
        <w:rPr>
          <w:rFonts w:ascii="仿宋" w:hAnsi="仿宋" w:eastAsia="仿宋" w:cs="仿宋"/>
          <w:sz w:val="32"/>
          <w:szCs w:val="32"/>
        </w:rPr>
        <w:t>体表面积</w:t>
      </w:r>
      <w:r w:rsidRPr="003C684F">
        <w:rPr>
          <w:rFonts w:hint="eastAsia" w:ascii="仿宋" w:hAnsi="仿宋" w:eastAsia="仿宋" w:cs="仿宋"/>
          <w:sz w:val="32"/>
          <w:szCs w:val="32"/>
        </w:rPr>
        <w:t>超过</w:t>
      </w:r>
      <w:r w:rsidRPr="003C684F">
        <w:rPr>
          <w:rFonts w:ascii="仿宋" w:hAnsi="仿宋" w:eastAsia="仿宋" w:cs="仿宋"/>
          <w:sz w:val="32"/>
          <w:szCs w:val="32"/>
        </w:rPr>
        <w:t>2.2m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的患者，计算卡非佐米给药剂量时将</w:t>
      </w:r>
      <w:r w:rsidRPr="003C684F">
        <w:rPr>
          <w:rFonts w:ascii="仿宋" w:hAnsi="仿宋" w:eastAsia="仿宋" w:cs="仿宋"/>
          <w:sz w:val="32"/>
          <w:szCs w:val="32"/>
        </w:rPr>
        <w:t>体表面积</w:t>
      </w:r>
      <w:r w:rsidRPr="003C684F">
        <w:rPr>
          <w:rFonts w:hint="eastAsia" w:ascii="仿宋" w:hAnsi="仿宋" w:eastAsia="仿宋" w:cs="仿宋"/>
          <w:sz w:val="32"/>
          <w:szCs w:val="32"/>
        </w:rPr>
        <w:t>算作</w:t>
      </w:r>
      <w:r w:rsidRPr="003C684F">
        <w:rPr>
          <w:rFonts w:ascii="仿宋" w:hAnsi="仿宋" w:eastAsia="仿宋" w:cs="仿宋"/>
          <w:sz w:val="32"/>
          <w:szCs w:val="32"/>
        </w:rPr>
        <w:t>2.2m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。卡非佐米每周连续</w:t>
      </w:r>
      <w:r w:rsidRPr="003C684F">
        <w:rPr>
          <w:rFonts w:ascii="仿宋" w:hAnsi="仿宋" w:eastAsia="仿宋" w:cs="仿宋"/>
          <w:sz w:val="32"/>
          <w:szCs w:val="32"/>
        </w:rPr>
        <w:t>2</w:t>
      </w:r>
      <w:r w:rsidRPr="003C684F">
        <w:rPr>
          <w:rFonts w:hint="eastAsia" w:ascii="仿宋" w:hAnsi="仿宋" w:eastAsia="仿宋" w:cs="仿宋"/>
          <w:sz w:val="32"/>
          <w:szCs w:val="32"/>
        </w:rPr>
        <w:t>天静脉</w:t>
      </w:r>
      <w:r w:rsidRPr="003C684F" w:rsidR="00BD4885">
        <w:rPr>
          <w:rFonts w:hint="eastAsia" w:ascii="仿宋" w:hAnsi="仿宋" w:eastAsia="仿宋" w:cs="仿宋"/>
          <w:sz w:val="32"/>
          <w:szCs w:val="32"/>
        </w:rPr>
        <w:t>输注</w:t>
      </w:r>
      <w:r w:rsidRPr="003C684F">
        <w:rPr>
          <w:rFonts w:hint="eastAsia" w:ascii="仿宋" w:hAnsi="仿宋" w:eastAsia="仿宋" w:cs="仿宋"/>
          <w:sz w:val="32"/>
          <w:szCs w:val="32"/>
        </w:rPr>
        <w:t>，</w:t>
      </w:r>
      <w:r w:rsidRPr="003C684F" w:rsidR="00BD4885">
        <w:rPr>
          <w:rFonts w:hint="eastAsia" w:ascii="仿宋" w:hAnsi="仿宋" w:eastAsia="仿宋" w:cs="仿宋"/>
          <w:sz w:val="32"/>
          <w:szCs w:val="32"/>
        </w:rPr>
        <w:t>每次</w:t>
      </w:r>
      <w:r w:rsidRPr="003C684F">
        <w:rPr>
          <w:rFonts w:hint="eastAsia" w:ascii="仿宋" w:hAnsi="仿宋" w:eastAsia="仿宋" w:cs="仿宋"/>
          <w:sz w:val="32"/>
          <w:szCs w:val="32"/>
        </w:rPr>
        <w:t>时间为</w:t>
      </w:r>
      <w:r w:rsidRPr="003C684F">
        <w:rPr>
          <w:rFonts w:ascii="仿宋" w:hAnsi="仿宋" w:eastAsia="仿宋" w:cs="仿宋"/>
          <w:sz w:val="32"/>
          <w:szCs w:val="32"/>
        </w:rPr>
        <w:t>30</w:t>
      </w:r>
      <w:r w:rsidRPr="003C684F">
        <w:rPr>
          <w:rFonts w:hint="eastAsia" w:ascii="仿宋" w:hAnsi="仿宋" w:eastAsia="仿宋" w:cs="仿宋"/>
          <w:sz w:val="32"/>
          <w:szCs w:val="32"/>
        </w:rPr>
        <w:t>分钟，共</w:t>
      </w:r>
      <w:r w:rsidRPr="003C684F">
        <w:rPr>
          <w:rFonts w:ascii="仿宋" w:hAnsi="仿宋" w:eastAsia="仿宋" w:cs="仿宋"/>
          <w:sz w:val="32"/>
          <w:szCs w:val="32"/>
        </w:rPr>
        <w:t>3</w:t>
      </w:r>
      <w:r w:rsidRPr="003C684F">
        <w:rPr>
          <w:rFonts w:hint="eastAsia" w:ascii="仿宋" w:hAnsi="仿宋" w:eastAsia="仿宋" w:cs="仿宋"/>
          <w:sz w:val="32"/>
          <w:szCs w:val="32"/>
        </w:rPr>
        <w:t>周，之后进入</w:t>
      </w:r>
      <w:r w:rsidRPr="003C684F">
        <w:rPr>
          <w:rFonts w:ascii="仿宋" w:hAnsi="仿宋" w:eastAsia="仿宋" w:cs="仿宋"/>
          <w:sz w:val="32"/>
          <w:szCs w:val="32"/>
        </w:rPr>
        <w:t>12</w:t>
      </w:r>
      <w:r w:rsidRPr="003C684F">
        <w:rPr>
          <w:rFonts w:hint="eastAsia" w:ascii="仿宋" w:hAnsi="仿宋" w:eastAsia="仿宋" w:cs="仿宋"/>
          <w:sz w:val="32"/>
          <w:szCs w:val="32"/>
        </w:rPr>
        <w:t>天的休息期</w:t>
      </w:r>
      <w:r w:rsidRPr="003C684F" w:rsidR="00BD4885">
        <w:rPr>
          <w:rFonts w:hint="eastAsia" w:ascii="仿宋" w:hAnsi="仿宋" w:eastAsia="仿宋" w:cs="仿宋"/>
          <w:sz w:val="32"/>
          <w:szCs w:val="32"/>
        </w:rPr>
        <w:t>，</w:t>
      </w:r>
      <w:r w:rsidRPr="003C684F">
        <w:rPr>
          <w:rFonts w:hint="eastAsia" w:ascii="仿宋" w:hAnsi="仿宋" w:eastAsia="仿宋" w:cs="仿宋"/>
          <w:sz w:val="32"/>
          <w:szCs w:val="32"/>
        </w:rPr>
        <w:t>每</w:t>
      </w:r>
      <w:r w:rsidRPr="003C684F">
        <w:rPr>
          <w:rFonts w:ascii="仿宋" w:hAnsi="仿宋" w:eastAsia="仿宋" w:cs="仿宋"/>
          <w:sz w:val="32"/>
          <w:szCs w:val="32"/>
        </w:rPr>
        <w:t>28</w:t>
      </w:r>
      <w:r w:rsidRPr="003C684F">
        <w:rPr>
          <w:rFonts w:hint="eastAsia" w:ascii="仿宋" w:hAnsi="仿宋" w:eastAsia="仿宋" w:cs="仿宋"/>
          <w:sz w:val="32"/>
          <w:szCs w:val="32"/>
        </w:rPr>
        <w:t>天为</w:t>
      </w:r>
      <w:r w:rsidRPr="003C684F">
        <w:rPr>
          <w:rFonts w:ascii="仿宋" w:hAnsi="仿宋" w:eastAsia="仿宋" w:cs="仿宋"/>
          <w:sz w:val="32"/>
          <w:szCs w:val="32"/>
        </w:rPr>
        <w:t>1</w:t>
      </w:r>
      <w:r w:rsidRPr="003C684F">
        <w:rPr>
          <w:rFonts w:hint="eastAsia" w:ascii="仿宋" w:hAnsi="仿宋" w:eastAsia="仿宋" w:cs="仿宋"/>
          <w:sz w:val="32"/>
          <w:szCs w:val="32"/>
        </w:rPr>
        <w:t>个治疗周期。第</w:t>
      </w:r>
      <w:r w:rsidRPr="003C684F">
        <w:rPr>
          <w:rFonts w:ascii="仿宋" w:hAnsi="仿宋" w:eastAsia="仿宋" w:cs="仿宋"/>
          <w:sz w:val="32"/>
          <w:szCs w:val="32"/>
        </w:rPr>
        <w:t>1</w:t>
      </w:r>
      <w:r w:rsidRPr="003C684F">
        <w:rPr>
          <w:rFonts w:hint="eastAsia" w:ascii="仿宋" w:hAnsi="仿宋" w:eastAsia="仿宋" w:cs="仿宋"/>
          <w:sz w:val="32"/>
          <w:szCs w:val="32"/>
        </w:rPr>
        <w:t>周期的第</w:t>
      </w:r>
      <w:r w:rsidRPr="003C684F">
        <w:rPr>
          <w:rFonts w:ascii="仿宋" w:hAnsi="仿宋" w:eastAsia="仿宋" w:cs="仿宋"/>
          <w:sz w:val="32"/>
          <w:szCs w:val="32"/>
        </w:rPr>
        <w:t>1</w:t>
      </w:r>
      <w:r w:rsidRPr="003C684F">
        <w:rPr>
          <w:rFonts w:hint="eastAsia" w:ascii="仿宋" w:hAnsi="仿宋" w:eastAsia="仿宋" w:cs="仿宋"/>
          <w:sz w:val="32"/>
          <w:szCs w:val="32"/>
        </w:rPr>
        <w:t>天和第</w:t>
      </w:r>
      <w:r w:rsidRPr="003C684F">
        <w:rPr>
          <w:rFonts w:ascii="仿宋" w:hAnsi="仿宋" w:eastAsia="仿宋" w:cs="仿宋"/>
          <w:sz w:val="32"/>
          <w:szCs w:val="32"/>
        </w:rPr>
        <w:t>2</w:t>
      </w:r>
      <w:r w:rsidRPr="003C684F">
        <w:rPr>
          <w:rFonts w:hint="eastAsia" w:ascii="仿宋" w:hAnsi="仿宋" w:eastAsia="仿宋" w:cs="仿宋"/>
          <w:sz w:val="32"/>
          <w:szCs w:val="32"/>
        </w:rPr>
        <w:t>天按</w:t>
      </w:r>
      <w:r w:rsidRPr="003C684F">
        <w:rPr>
          <w:rFonts w:ascii="仿宋" w:hAnsi="仿宋" w:eastAsia="仿宋" w:cs="仿宋"/>
          <w:sz w:val="32"/>
          <w:szCs w:val="32"/>
        </w:rPr>
        <w:t>20mg/m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起始剂量进行卡非佐米给药。如果可以耐受，则在第</w:t>
      </w:r>
      <w:r w:rsidRPr="003C684F">
        <w:rPr>
          <w:rFonts w:ascii="仿宋" w:hAnsi="仿宋" w:eastAsia="仿宋" w:cs="仿宋"/>
          <w:sz w:val="32"/>
          <w:szCs w:val="32"/>
        </w:rPr>
        <w:t>1</w:t>
      </w:r>
      <w:r w:rsidRPr="003C684F">
        <w:rPr>
          <w:rFonts w:hint="eastAsia" w:ascii="仿宋" w:hAnsi="仿宋" w:eastAsia="仿宋" w:cs="仿宋"/>
          <w:sz w:val="32"/>
          <w:szCs w:val="32"/>
        </w:rPr>
        <w:t>周期第</w:t>
      </w:r>
      <w:r w:rsidRPr="003C684F">
        <w:rPr>
          <w:rFonts w:ascii="仿宋" w:hAnsi="仿宋" w:eastAsia="仿宋" w:cs="仿宋"/>
          <w:sz w:val="32"/>
          <w:szCs w:val="32"/>
        </w:rPr>
        <w:t>8</w:t>
      </w:r>
      <w:r w:rsidRPr="003C684F">
        <w:rPr>
          <w:rFonts w:hint="eastAsia" w:ascii="仿宋" w:hAnsi="仿宋" w:eastAsia="仿宋" w:cs="仿宋"/>
          <w:sz w:val="32"/>
          <w:szCs w:val="32"/>
        </w:rPr>
        <w:t>天将剂量升高至</w:t>
      </w:r>
      <w:r w:rsidRPr="003C684F">
        <w:rPr>
          <w:rFonts w:ascii="仿宋" w:hAnsi="仿宋" w:eastAsia="仿宋" w:cs="仿宋"/>
          <w:sz w:val="32"/>
          <w:szCs w:val="32"/>
        </w:rPr>
        <w:t>27mg/m</w:t>
      </w:r>
      <w:r w:rsidRPr="003C684F">
        <w:rPr>
          <w:rFonts w:ascii="仿宋" w:hAnsi="仿宋" w:eastAsia="仿宋" w:cs="仿宋"/>
          <w:sz w:val="32"/>
          <w:szCs w:val="32"/>
          <w:vertAlign w:val="superscript"/>
        </w:rPr>
        <w:t>2</w:t>
      </w:r>
      <w:r w:rsidRPr="003C684F">
        <w:rPr>
          <w:rFonts w:hint="eastAsia" w:ascii="仿宋" w:hAnsi="仿宋" w:eastAsia="仿宋" w:cs="仿宋"/>
          <w:sz w:val="32"/>
          <w:szCs w:val="32"/>
        </w:rPr>
        <w:t>。在卡非佐米给药前30分钟～4小时内给予地塞米松，以减少</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的发生率并降低</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的严重程度。</w:t>
      </w:r>
    </w:p>
    <w:p w:rsidRPr="003C684F" w:rsidR="009730C1" w:rsidRDefault="00A315B9" w14:paraId="6ABC722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2.预防用药：注意预防血栓。血栓预防方案应基于患者</w:t>
      </w:r>
      <w:r w:rsidRPr="003C684F">
        <w:rPr>
          <w:rFonts w:hint="eastAsia" w:ascii="仿宋" w:hAnsi="仿宋" w:eastAsia="仿宋" w:cs="仿宋"/>
          <w:sz w:val="32"/>
          <w:szCs w:val="32"/>
        </w:rPr>
        <w:lastRenderedPageBreak/>
        <w:t>潜在风险的评估结果确定。考虑给予抗病毒预防用药，以降低带状疱疹再激活的风险。</w:t>
      </w:r>
    </w:p>
    <w:p w:rsidRPr="003C684F" w:rsidR="009730C1" w:rsidRDefault="00A315B9" w14:paraId="5A732857"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3.体液补充：在第</w:t>
      </w:r>
      <w:r w:rsidRPr="003C684F">
        <w:rPr>
          <w:rFonts w:ascii="仿宋" w:hAnsi="仿宋" w:eastAsia="仿宋" w:cs="仿宋"/>
          <w:sz w:val="32"/>
          <w:szCs w:val="32"/>
        </w:rPr>
        <w:t>1</w:t>
      </w:r>
      <w:r w:rsidRPr="003C684F">
        <w:rPr>
          <w:rFonts w:hint="eastAsia" w:ascii="仿宋" w:hAnsi="仿宋" w:eastAsia="仿宋" w:cs="仿宋"/>
          <w:sz w:val="32"/>
          <w:szCs w:val="32"/>
        </w:rPr>
        <w:t>周期给药前需充分水化，尤其是有出现肿瘤溶解综合征或肾脏毒性的高风险患者。推荐水化方式包括口服补液（第</w:t>
      </w:r>
      <w:r w:rsidRPr="003C684F">
        <w:rPr>
          <w:rFonts w:ascii="仿宋" w:hAnsi="仿宋" w:eastAsia="仿宋" w:cs="仿宋"/>
          <w:sz w:val="32"/>
          <w:szCs w:val="32"/>
        </w:rPr>
        <w:t>1</w:t>
      </w:r>
      <w:r w:rsidRPr="003C684F">
        <w:rPr>
          <w:rFonts w:hint="eastAsia" w:ascii="仿宋" w:hAnsi="仿宋" w:eastAsia="仿宋" w:cs="仿宋"/>
          <w:sz w:val="32"/>
          <w:szCs w:val="32"/>
        </w:rPr>
        <w:t>周期第</w:t>
      </w:r>
      <w:r w:rsidRPr="003C684F">
        <w:rPr>
          <w:rFonts w:ascii="仿宋" w:hAnsi="仿宋" w:eastAsia="仿宋" w:cs="仿宋"/>
          <w:sz w:val="32"/>
          <w:szCs w:val="32"/>
        </w:rPr>
        <w:t>1</w:t>
      </w:r>
      <w:r w:rsidRPr="003C684F">
        <w:rPr>
          <w:rFonts w:hint="eastAsia" w:ascii="仿宋" w:hAnsi="仿宋" w:eastAsia="仿宋" w:cs="仿宋"/>
          <w:sz w:val="32"/>
          <w:szCs w:val="32"/>
        </w:rPr>
        <w:t>天前至少</w:t>
      </w:r>
      <w:r w:rsidRPr="003C684F">
        <w:rPr>
          <w:rFonts w:ascii="仿宋" w:hAnsi="仿宋" w:eastAsia="仿宋" w:cs="仿宋"/>
          <w:sz w:val="32"/>
          <w:szCs w:val="32"/>
        </w:rPr>
        <w:t>48</w:t>
      </w:r>
      <w:r w:rsidRPr="003C684F">
        <w:rPr>
          <w:rFonts w:hint="eastAsia" w:ascii="仿宋" w:hAnsi="仿宋" w:eastAsia="仿宋" w:cs="仿宋"/>
          <w:sz w:val="32"/>
          <w:szCs w:val="32"/>
        </w:rPr>
        <w:t>小时前按</w:t>
      </w:r>
      <w:r w:rsidRPr="003C684F">
        <w:rPr>
          <w:rFonts w:ascii="仿宋" w:hAnsi="仿宋" w:eastAsia="仿宋" w:cs="仿宋"/>
          <w:sz w:val="32"/>
          <w:szCs w:val="32"/>
        </w:rPr>
        <w:t>30</w:t>
      </w:r>
      <w:r w:rsidRPr="003C684F">
        <w:rPr>
          <w:rFonts w:hint="eastAsia" w:ascii="仿宋" w:hAnsi="仿宋" w:eastAsia="仿宋" w:cs="仿宋"/>
          <w:sz w:val="32"/>
          <w:szCs w:val="32"/>
        </w:rPr>
        <w:t>ml</w:t>
      </w:r>
      <w:r w:rsidRPr="003C684F">
        <w:rPr>
          <w:rFonts w:ascii="仿宋" w:hAnsi="仿宋" w:eastAsia="仿宋" w:cs="仿宋"/>
          <w:sz w:val="32"/>
          <w:szCs w:val="32"/>
        </w:rPr>
        <w:t>/kg</w:t>
      </w:r>
      <w:r w:rsidRPr="003C684F">
        <w:rPr>
          <w:rFonts w:hint="eastAsia" w:ascii="仿宋" w:hAnsi="仿宋" w:eastAsia="仿宋" w:cs="仿宋"/>
          <w:sz w:val="32"/>
          <w:szCs w:val="32"/>
        </w:rPr>
        <w:t>补液）和静脉补液（第</w:t>
      </w:r>
      <w:r w:rsidRPr="003C684F">
        <w:rPr>
          <w:rFonts w:ascii="仿宋" w:hAnsi="仿宋" w:eastAsia="仿宋" w:cs="仿宋"/>
          <w:sz w:val="32"/>
          <w:szCs w:val="32"/>
        </w:rPr>
        <w:t>1</w:t>
      </w:r>
      <w:r w:rsidRPr="003C684F">
        <w:rPr>
          <w:rFonts w:hint="eastAsia" w:ascii="仿宋" w:hAnsi="仿宋" w:eastAsia="仿宋" w:cs="仿宋"/>
          <w:sz w:val="32"/>
          <w:szCs w:val="32"/>
        </w:rPr>
        <w:t>周期每次给药前给予</w:t>
      </w:r>
      <w:r w:rsidRPr="003C684F">
        <w:rPr>
          <w:rFonts w:ascii="仿宋" w:hAnsi="仿宋" w:eastAsia="仿宋" w:cs="仿宋"/>
          <w:sz w:val="32"/>
          <w:szCs w:val="32"/>
        </w:rPr>
        <w:t>250</w:t>
      </w:r>
      <w:r w:rsidRPr="003C684F">
        <w:rPr>
          <w:rFonts w:hint="eastAsia" w:ascii="仿宋" w:hAnsi="仿宋" w:eastAsia="仿宋" w:cs="仿宋"/>
          <w:sz w:val="32"/>
          <w:szCs w:val="32"/>
        </w:rPr>
        <w:t>～</w:t>
      </w:r>
      <w:r w:rsidRPr="003C684F">
        <w:rPr>
          <w:rFonts w:ascii="仿宋" w:hAnsi="仿宋" w:eastAsia="仿宋" w:cs="仿宋"/>
          <w:sz w:val="32"/>
          <w:szCs w:val="32"/>
        </w:rPr>
        <w:t>500</w:t>
      </w:r>
      <w:r w:rsidRPr="003C684F">
        <w:rPr>
          <w:rFonts w:hint="eastAsia" w:ascii="仿宋" w:hAnsi="仿宋" w:eastAsia="仿宋" w:cs="仿宋"/>
          <w:sz w:val="32"/>
          <w:szCs w:val="32"/>
        </w:rPr>
        <w:t>ml适当的静脉用液）。在卡非佐米给药后可根据需要另外给予</w:t>
      </w:r>
      <w:r w:rsidRPr="003C684F">
        <w:rPr>
          <w:rFonts w:ascii="仿宋" w:hAnsi="仿宋" w:eastAsia="仿宋" w:cs="仿宋"/>
          <w:sz w:val="32"/>
          <w:szCs w:val="32"/>
        </w:rPr>
        <w:t>250</w:t>
      </w:r>
      <w:r w:rsidRPr="003C684F">
        <w:rPr>
          <w:rFonts w:hint="eastAsia" w:ascii="仿宋" w:hAnsi="仿宋" w:eastAsia="仿宋" w:cs="仿宋"/>
          <w:sz w:val="32"/>
          <w:szCs w:val="32"/>
        </w:rPr>
        <w:t>～</w:t>
      </w:r>
      <w:r w:rsidRPr="003C684F">
        <w:rPr>
          <w:rFonts w:ascii="仿宋" w:hAnsi="仿宋" w:eastAsia="仿宋" w:cs="仿宋"/>
          <w:sz w:val="32"/>
          <w:szCs w:val="32"/>
        </w:rPr>
        <w:t>500</w:t>
      </w:r>
      <w:r w:rsidRPr="003C684F">
        <w:rPr>
          <w:rFonts w:hint="eastAsia" w:ascii="仿宋" w:hAnsi="仿宋" w:eastAsia="仿宋" w:cs="仿宋"/>
          <w:sz w:val="32"/>
          <w:szCs w:val="32"/>
        </w:rPr>
        <w:t>ml的静脉用液。在后续周期中根据需要继续进行口服和</w:t>
      </w:r>
      <w:r w:rsidRPr="003C684F">
        <w:rPr>
          <w:rFonts w:ascii="仿宋" w:hAnsi="仿宋" w:eastAsia="仿宋" w:cs="仿宋"/>
          <w:sz w:val="32"/>
          <w:szCs w:val="32"/>
        </w:rPr>
        <w:t>/</w:t>
      </w:r>
      <w:r w:rsidRPr="003C684F">
        <w:rPr>
          <w:rFonts w:hint="eastAsia" w:ascii="仿宋" w:hAnsi="仿宋" w:eastAsia="仿宋" w:cs="仿宋"/>
          <w:sz w:val="32"/>
          <w:szCs w:val="32"/>
        </w:rPr>
        <w:t>或静脉补液。监测患者是否存在容量负荷过大，并根据患者需求调整补液方案。</w:t>
      </w:r>
    </w:p>
    <w:p w:rsidRPr="003C684F" w:rsidR="009730C1" w:rsidRDefault="00A315B9" w14:paraId="0EDF6EF8" w14:textId="68F0F09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4.特殊人群：肾功能损伤的患者</w:t>
      </w:r>
      <w:r w:rsidRPr="003C684F" w:rsidR="00BD154E">
        <w:rPr>
          <w:rFonts w:hint="eastAsia" w:ascii="仿宋" w:hAnsi="仿宋" w:eastAsia="仿宋" w:cs="仿宋"/>
          <w:sz w:val="32"/>
          <w:szCs w:val="32"/>
        </w:rPr>
        <w:t>无需</w:t>
      </w:r>
      <w:r w:rsidRPr="003C684F">
        <w:rPr>
          <w:rFonts w:hint="eastAsia" w:ascii="仿宋" w:hAnsi="仿宋" w:eastAsia="仿宋" w:cs="仿宋"/>
          <w:sz w:val="32"/>
          <w:szCs w:val="32"/>
        </w:rPr>
        <w:t>剂量调整。对于接受透析的终末期肾脏疾病患者，在血液透析后使用卡非佐米。对于轻中度肝功能损伤患者，暂不建议调整起始剂量。尚未通过临床研究评价重度肝功能损伤患者的卡非佐米用法用量问题。</w:t>
      </w:r>
    </w:p>
    <w:p w:rsidRPr="003C684F" w:rsidR="009730C1" w:rsidRDefault="00A315B9" w14:paraId="2CB0E002"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5.药物相互作用：卡非佐米主要通过肽酶和环氧化物水解酶代谢，CYP450介导的机制在卡非佐米的整体代谢中发挥很小的作用。因此，卡非佐米的药代动力学特征不太可能受到CYP450抑制剂或诱导剂的影响。</w:t>
      </w:r>
    </w:p>
    <w:p w:rsidRPr="003C684F" w:rsidR="009730C1" w:rsidRDefault="00A315B9" w14:paraId="188E843F"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6.不良反应：心脏不良事件：</w:t>
      </w:r>
      <w:r w:rsidRPr="003C684F">
        <w:rPr>
          <w:rFonts w:ascii="仿宋" w:hAnsi="仿宋" w:eastAsia="仿宋" w:cs="仿宋"/>
          <w:sz w:val="32"/>
          <w:szCs w:val="32"/>
        </w:rPr>
        <w:t>5%</w:t>
      </w:r>
      <w:r w:rsidRPr="003C684F">
        <w:rPr>
          <w:rFonts w:hint="eastAsia" w:ascii="仿宋" w:hAnsi="仿宋" w:eastAsia="仿宋" w:cs="仿宋"/>
          <w:sz w:val="32"/>
          <w:szCs w:val="32"/>
        </w:rPr>
        <w:t>受试者报告心力衰竭（约</w:t>
      </w:r>
      <w:r w:rsidRPr="003C684F">
        <w:rPr>
          <w:rFonts w:ascii="仿宋" w:hAnsi="仿宋" w:eastAsia="仿宋" w:cs="仿宋"/>
          <w:sz w:val="32"/>
          <w:szCs w:val="32"/>
        </w:rPr>
        <w:t>3%</w:t>
      </w:r>
      <w:r w:rsidRPr="003C684F">
        <w:rPr>
          <w:rFonts w:hint="eastAsia" w:ascii="仿宋" w:hAnsi="仿宋" w:eastAsia="仿宋" w:cs="仿宋"/>
          <w:sz w:val="32"/>
          <w:szCs w:val="32"/>
        </w:rPr>
        <w:t>受试者发生≥</w:t>
      </w:r>
      <w:r w:rsidRPr="003C684F">
        <w:rPr>
          <w:rFonts w:ascii="仿宋" w:hAnsi="仿宋" w:eastAsia="仿宋" w:cs="仿宋"/>
          <w:sz w:val="32"/>
          <w:szCs w:val="32"/>
        </w:rPr>
        <w:t>3</w:t>
      </w:r>
      <w:r w:rsidRPr="003C684F">
        <w:rPr>
          <w:rFonts w:hint="eastAsia" w:ascii="仿宋" w:hAnsi="仿宋" w:eastAsia="仿宋" w:cs="仿宋"/>
          <w:sz w:val="32"/>
          <w:szCs w:val="32"/>
        </w:rPr>
        <w:t>级事件，</w:t>
      </w:r>
      <w:r w:rsidRPr="003C684F">
        <w:rPr>
          <w:rFonts w:ascii="仿宋" w:hAnsi="仿宋" w:eastAsia="仿宋" w:cs="仿宋"/>
          <w:sz w:val="32"/>
          <w:szCs w:val="32"/>
        </w:rPr>
        <w:t>0.2%</w:t>
      </w:r>
      <w:r w:rsidRPr="003C684F">
        <w:rPr>
          <w:rFonts w:hint="eastAsia" w:ascii="仿宋" w:hAnsi="仿宋" w:eastAsia="仿宋" w:cs="仿宋"/>
          <w:sz w:val="32"/>
          <w:szCs w:val="32"/>
        </w:rPr>
        <w:t>受试者发生</w:t>
      </w:r>
      <w:r w:rsidRPr="003C684F">
        <w:rPr>
          <w:rFonts w:ascii="仿宋" w:hAnsi="仿宋" w:eastAsia="仿宋" w:cs="仿宋"/>
          <w:sz w:val="32"/>
          <w:szCs w:val="32"/>
        </w:rPr>
        <w:t>5</w:t>
      </w:r>
      <w:r w:rsidRPr="003C684F">
        <w:rPr>
          <w:rFonts w:hint="eastAsia" w:ascii="仿宋" w:hAnsi="仿宋" w:eastAsia="仿宋" w:cs="仿宋"/>
          <w:sz w:val="32"/>
          <w:szCs w:val="32"/>
        </w:rPr>
        <w:t>级事件），约</w:t>
      </w:r>
      <w:r w:rsidRPr="003C684F">
        <w:rPr>
          <w:rFonts w:ascii="仿宋" w:hAnsi="仿宋" w:eastAsia="仿宋" w:cs="仿宋"/>
          <w:sz w:val="32"/>
          <w:szCs w:val="32"/>
        </w:rPr>
        <w:t>1%</w:t>
      </w:r>
      <w:r w:rsidRPr="003C684F">
        <w:rPr>
          <w:rFonts w:hint="eastAsia" w:ascii="仿宋" w:hAnsi="仿宋" w:eastAsia="仿宋" w:cs="仿宋"/>
          <w:sz w:val="32"/>
          <w:szCs w:val="32"/>
        </w:rPr>
        <w:t>受试者报告心肌梗死（约</w:t>
      </w:r>
      <w:r w:rsidRPr="003C684F">
        <w:rPr>
          <w:rFonts w:ascii="仿宋" w:hAnsi="仿宋" w:eastAsia="仿宋" w:cs="仿宋"/>
          <w:sz w:val="32"/>
          <w:szCs w:val="32"/>
        </w:rPr>
        <w:t>1%</w:t>
      </w:r>
      <w:r w:rsidRPr="003C684F">
        <w:rPr>
          <w:rFonts w:hint="eastAsia" w:ascii="仿宋" w:hAnsi="仿宋" w:eastAsia="仿宋" w:cs="仿宋"/>
          <w:sz w:val="32"/>
          <w:szCs w:val="32"/>
        </w:rPr>
        <w:t>受试者发生≥</w:t>
      </w:r>
      <w:r w:rsidRPr="003C684F">
        <w:rPr>
          <w:rFonts w:ascii="仿宋" w:hAnsi="仿宋" w:eastAsia="仿宋" w:cs="仿宋"/>
          <w:sz w:val="32"/>
          <w:szCs w:val="32"/>
        </w:rPr>
        <w:t>3</w:t>
      </w:r>
      <w:r w:rsidRPr="003C684F">
        <w:rPr>
          <w:rFonts w:hint="eastAsia" w:ascii="仿宋" w:hAnsi="仿宋" w:eastAsia="仿宋" w:cs="仿宋"/>
          <w:sz w:val="32"/>
          <w:szCs w:val="32"/>
        </w:rPr>
        <w:t>级事件，</w:t>
      </w:r>
      <w:r w:rsidRPr="003C684F">
        <w:rPr>
          <w:rFonts w:ascii="仿宋" w:hAnsi="仿宋" w:eastAsia="仿宋" w:cs="仿宋"/>
          <w:sz w:val="32"/>
          <w:szCs w:val="32"/>
        </w:rPr>
        <w:t>0.2%</w:t>
      </w:r>
      <w:r w:rsidRPr="003C684F">
        <w:rPr>
          <w:rFonts w:hint="eastAsia" w:ascii="仿宋" w:hAnsi="仿宋" w:eastAsia="仿宋" w:cs="仿宋"/>
          <w:sz w:val="32"/>
          <w:szCs w:val="32"/>
        </w:rPr>
        <w:lastRenderedPageBreak/>
        <w:t>受试者发生</w:t>
      </w:r>
      <w:r w:rsidRPr="003C684F">
        <w:rPr>
          <w:rFonts w:ascii="仿宋" w:hAnsi="仿宋" w:eastAsia="仿宋" w:cs="仿宋"/>
          <w:sz w:val="32"/>
          <w:szCs w:val="32"/>
        </w:rPr>
        <w:t>5</w:t>
      </w:r>
      <w:r w:rsidRPr="003C684F">
        <w:rPr>
          <w:rFonts w:hint="eastAsia" w:ascii="仿宋" w:hAnsi="仿宋" w:eastAsia="仿宋" w:cs="仿宋"/>
          <w:sz w:val="32"/>
          <w:szCs w:val="32"/>
        </w:rPr>
        <w:t>级事件），</w:t>
      </w:r>
      <w:r w:rsidRPr="003C684F">
        <w:rPr>
          <w:rFonts w:ascii="仿宋" w:hAnsi="仿宋" w:eastAsia="仿宋" w:cs="仿宋"/>
          <w:sz w:val="32"/>
          <w:szCs w:val="32"/>
        </w:rPr>
        <w:t>＜1%</w:t>
      </w:r>
      <w:r w:rsidRPr="003C684F">
        <w:rPr>
          <w:rFonts w:hint="eastAsia" w:ascii="仿宋" w:hAnsi="仿宋" w:eastAsia="仿宋" w:cs="仿宋"/>
          <w:sz w:val="32"/>
          <w:szCs w:val="32"/>
        </w:rPr>
        <w:t>受试者报告心肌缺血（</w:t>
      </w:r>
      <w:r w:rsidRPr="003C684F">
        <w:rPr>
          <w:rFonts w:ascii="仿宋" w:hAnsi="仿宋" w:eastAsia="仿宋" w:cs="仿宋"/>
          <w:sz w:val="32"/>
          <w:szCs w:val="32"/>
        </w:rPr>
        <w:t>＜1%</w:t>
      </w:r>
      <w:r w:rsidRPr="003C684F">
        <w:rPr>
          <w:rFonts w:hint="eastAsia" w:ascii="仿宋" w:hAnsi="仿宋" w:eastAsia="仿宋" w:cs="仿宋"/>
          <w:sz w:val="32"/>
          <w:szCs w:val="32"/>
        </w:rPr>
        <w:t>受试者发生≥</w:t>
      </w:r>
      <w:r w:rsidRPr="003C684F">
        <w:rPr>
          <w:rFonts w:ascii="仿宋" w:hAnsi="仿宋" w:eastAsia="仿宋" w:cs="仿宋"/>
          <w:sz w:val="32"/>
          <w:szCs w:val="32"/>
        </w:rPr>
        <w:t>3</w:t>
      </w:r>
      <w:r w:rsidRPr="003C684F">
        <w:rPr>
          <w:rFonts w:hint="eastAsia" w:ascii="仿宋" w:hAnsi="仿宋" w:eastAsia="仿宋" w:cs="仿宋"/>
          <w:sz w:val="32"/>
          <w:szCs w:val="32"/>
        </w:rPr>
        <w:t>级事件，没有受试者发生</w:t>
      </w:r>
      <w:r w:rsidRPr="003C684F">
        <w:rPr>
          <w:rFonts w:ascii="仿宋" w:hAnsi="仿宋" w:eastAsia="仿宋" w:cs="仿宋"/>
          <w:sz w:val="32"/>
          <w:szCs w:val="32"/>
        </w:rPr>
        <w:t>5</w:t>
      </w:r>
      <w:r w:rsidRPr="003C684F">
        <w:rPr>
          <w:rFonts w:hint="eastAsia" w:ascii="仿宋" w:hAnsi="仿宋" w:eastAsia="仿宋" w:cs="仿宋"/>
          <w:sz w:val="32"/>
          <w:szCs w:val="32"/>
        </w:rPr>
        <w:t>级事件）。≥</w:t>
      </w:r>
      <w:r w:rsidRPr="003C684F">
        <w:rPr>
          <w:rFonts w:ascii="仿宋" w:hAnsi="仿宋" w:eastAsia="仿宋" w:cs="仿宋"/>
          <w:sz w:val="32"/>
          <w:szCs w:val="32"/>
        </w:rPr>
        <w:t>75</w:t>
      </w:r>
      <w:r w:rsidRPr="003C684F">
        <w:rPr>
          <w:rFonts w:hint="eastAsia" w:ascii="仿宋" w:hAnsi="仿宋" w:eastAsia="仿宋" w:cs="仿宋"/>
          <w:sz w:val="32"/>
          <w:szCs w:val="32"/>
        </w:rPr>
        <w:t>岁患者的心力衰竭风险增加。建议在开始治疗前彻底评估心血管危险因素，治疗期间监测患者的心力衰竭或心肌缺血的症状和体征。高血压：在临床研究中，约</w:t>
      </w:r>
      <w:r w:rsidRPr="003C684F">
        <w:rPr>
          <w:rFonts w:ascii="仿宋" w:hAnsi="仿宋" w:eastAsia="仿宋" w:cs="仿宋"/>
          <w:sz w:val="32"/>
          <w:szCs w:val="32"/>
        </w:rPr>
        <w:t>21%</w:t>
      </w:r>
      <w:r w:rsidRPr="003C684F">
        <w:rPr>
          <w:rFonts w:hint="eastAsia" w:ascii="仿宋" w:hAnsi="仿宋" w:eastAsia="仿宋" w:cs="仿宋"/>
          <w:sz w:val="32"/>
          <w:szCs w:val="32"/>
        </w:rPr>
        <w:t>的受试者发生高血压不良事件，</w:t>
      </w:r>
      <w:r w:rsidRPr="003C684F">
        <w:rPr>
          <w:rFonts w:ascii="仿宋" w:hAnsi="仿宋" w:eastAsia="仿宋" w:cs="仿宋"/>
          <w:sz w:val="32"/>
          <w:szCs w:val="32"/>
        </w:rPr>
        <w:t>8%</w:t>
      </w:r>
      <w:r w:rsidRPr="003C684F">
        <w:rPr>
          <w:rFonts w:hint="eastAsia" w:ascii="仿宋" w:hAnsi="仿宋" w:eastAsia="仿宋" w:cs="仿宋"/>
          <w:sz w:val="32"/>
          <w:szCs w:val="32"/>
        </w:rPr>
        <w:t>的受试者发生≥</w:t>
      </w:r>
      <w:r w:rsidRPr="003C684F">
        <w:rPr>
          <w:rFonts w:ascii="仿宋" w:hAnsi="仿宋" w:eastAsia="仿宋" w:cs="仿宋"/>
          <w:sz w:val="32"/>
          <w:szCs w:val="32"/>
        </w:rPr>
        <w:t>3</w:t>
      </w:r>
      <w:r w:rsidRPr="003C684F">
        <w:rPr>
          <w:rFonts w:hint="eastAsia" w:ascii="仿宋" w:hAnsi="仿宋" w:eastAsia="仿宋" w:cs="仿宋"/>
          <w:sz w:val="32"/>
          <w:szCs w:val="32"/>
        </w:rPr>
        <w:t>级高血压事件。</w:t>
      </w:r>
      <w:r w:rsidRPr="003C684F">
        <w:rPr>
          <w:rFonts w:ascii="仿宋" w:hAnsi="仿宋" w:eastAsia="仿宋" w:cs="仿宋"/>
          <w:sz w:val="32"/>
          <w:szCs w:val="32"/>
        </w:rPr>
        <w:t>＜0.5%</w:t>
      </w:r>
      <w:r w:rsidRPr="003C684F">
        <w:rPr>
          <w:rFonts w:hint="eastAsia" w:ascii="仿宋" w:hAnsi="仿宋" w:eastAsia="仿宋" w:cs="仿宋"/>
          <w:sz w:val="32"/>
          <w:szCs w:val="32"/>
        </w:rPr>
        <w:t>的受试者发生高血压危象。</w:t>
      </w:r>
    </w:p>
    <w:p w:rsidRPr="003C684F" w:rsidR="009730C1" w:rsidRDefault="00A315B9" w14:paraId="2E741E5C" w14:textId="05401541">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7.其他治疗：美国</w:t>
      </w:r>
      <w:r w:rsidRPr="003C684F">
        <w:rPr>
          <w:rFonts w:ascii="仿宋" w:hAnsi="仿宋" w:eastAsia="仿宋" w:cs="仿宋"/>
          <w:sz w:val="32"/>
          <w:szCs w:val="32"/>
        </w:rPr>
        <w:t>FDA</w:t>
      </w:r>
      <w:r w:rsidRPr="003C684F">
        <w:rPr>
          <w:rFonts w:hint="eastAsia" w:ascii="仿宋" w:hAnsi="仿宋" w:eastAsia="仿宋" w:cs="仿宋"/>
          <w:sz w:val="32"/>
          <w:szCs w:val="32"/>
        </w:rPr>
        <w:t>已获批的适应证包括：卡非佐米可与地塞米松（</w:t>
      </w:r>
      <w:r w:rsidRPr="003C684F">
        <w:rPr>
          <w:rFonts w:ascii="仿宋" w:hAnsi="仿宋" w:eastAsia="仿宋" w:cs="仿宋"/>
          <w:sz w:val="32"/>
          <w:szCs w:val="32"/>
        </w:rPr>
        <w:t>Kd</w:t>
      </w:r>
      <w:r w:rsidRPr="003C684F">
        <w:rPr>
          <w:rFonts w:hint="eastAsia" w:ascii="仿宋" w:hAnsi="仿宋" w:eastAsia="仿宋" w:cs="仿宋"/>
          <w:sz w:val="32"/>
          <w:szCs w:val="32"/>
        </w:rPr>
        <w:t>）或来那度胺</w:t>
      </w:r>
      <w:r w:rsidRPr="003C684F">
        <w:rPr>
          <w:rFonts w:ascii="仿宋" w:hAnsi="仿宋" w:eastAsia="仿宋" w:cs="仿宋"/>
          <w:sz w:val="32"/>
          <w:szCs w:val="32"/>
        </w:rPr>
        <w:t>+</w:t>
      </w:r>
      <w:r w:rsidRPr="003C684F">
        <w:rPr>
          <w:rFonts w:hint="eastAsia" w:ascii="仿宋" w:hAnsi="仿宋" w:eastAsia="仿宋" w:cs="仿宋"/>
          <w:sz w:val="32"/>
          <w:szCs w:val="32"/>
        </w:rPr>
        <w:t>地塞米松（</w:t>
      </w:r>
      <w:r w:rsidRPr="003C684F">
        <w:rPr>
          <w:rFonts w:ascii="仿宋" w:hAnsi="仿宋" w:eastAsia="仿宋" w:cs="仿宋"/>
          <w:sz w:val="32"/>
          <w:szCs w:val="32"/>
        </w:rPr>
        <w:t>KRd</w:t>
      </w:r>
      <w:r w:rsidRPr="003C684F">
        <w:rPr>
          <w:rFonts w:hint="eastAsia" w:ascii="仿宋" w:hAnsi="仿宋" w:eastAsia="仿宋" w:cs="仿宋"/>
          <w:sz w:val="32"/>
          <w:szCs w:val="32"/>
        </w:rPr>
        <w:t>）或达雷妥尤单抗</w:t>
      </w:r>
      <w:r w:rsidRPr="003C684F">
        <w:rPr>
          <w:rFonts w:ascii="仿宋" w:hAnsi="仿宋" w:eastAsia="仿宋" w:cs="仿宋"/>
          <w:sz w:val="32"/>
          <w:szCs w:val="32"/>
        </w:rPr>
        <w:t>+</w:t>
      </w:r>
      <w:r w:rsidRPr="003C684F">
        <w:rPr>
          <w:rFonts w:hint="eastAsia" w:ascii="仿宋" w:hAnsi="仿宋" w:eastAsia="仿宋" w:cs="仿宋"/>
          <w:sz w:val="32"/>
          <w:szCs w:val="32"/>
        </w:rPr>
        <w:t>地塞米松（</w:t>
      </w:r>
      <w:r w:rsidRPr="003C684F">
        <w:rPr>
          <w:rFonts w:ascii="仿宋" w:hAnsi="仿宋" w:eastAsia="仿宋" w:cs="仿宋"/>
          <w:sz w:val="32"/>
          <w:szCs w:val="32"/>
        </w:rPr>
        <w:t>KDd</w:t>
      </w:r>
      <w:r w:rsidRPr="003C684F">
        <w:rPr>
          <w:rFonts w:hint="eastAsia" w:ascii="仿宋" w:hAnsi="仿宋" w:eastAsia="仿宋" w:cs="仿宋"/>
          <w:sz w:val="32"/>
          <w:szCs w:val="32"/>
        </w:rPr>
        <w:t>）</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，治疗复发或难治性多发性骨髓瘤成人患者，患者既往接受过</w:t>
      </w:r>
      <w:r w:rsidRPr="003C684F">
        <w:rPr>
          <w:rFonts w:ascii="仿宋" w:hAnsi="仿宋" w:eastAsia="仿宋" w:cs="仿宋"/>
          <w:sz w:val="32"/>
          <w:szCs w:val="32"/>
        </w:rPr>
        <w:t>1</w:t>
      </w:r>
      <w:r w:rsidRPr="003C684F">
        <w:rPr>
          <w:rFonts w:hint="eastAsia" w:ascii="仿宋" w:hAnsi="仿宋" w:eastAsia="仿宋" w:cs="仿宋"/>
          <w:sz w:val="32"/>
          <w:szCs w:val="32"/>
        </w:rPr>
        <w:t>～</w:t>
      </w:r>
      <w:r w:rsidRPr="003C684F">
        <w:rPr>
          <w:rFonts w:ascii="仿宋" w:hAnsi="仿宋" w:eastAsia="仿宋" w:cs="仿宋"/>
          <w:sz w:val="32"/>
          <w:szCs w:val="32"/>
        </w:rPr>
        <w:t>3</w:t>
      </w:r>
      <w:r w:rsidRPr="003C684F">
        <w:rPr>
          <w:rFonts w:hint="eastAsia" w:ascii="仿宋" w:hAnsi="仿宋" w:eastAsia="仿宋" w:cs="仿宋"/>
          <w:sz w:val="32"/>
          <w:szCs w:val="32"/>
        </w:rPr>
        <w:t>线治疗；卡非佐米也可单独用药，治疗既往接受过</w:t>
      </w:r>
      <w:r w:rsidRPr="003C684F">
        <w:rPr>
          <w:rFonts w:ascii="仿宋" w:hAnsi="仿宋" w:eastAsia="仿宋" w:cs="仿宋"/>
          <w:sz w:val="32"/>
          <w:szCs w:val="32"/>
        </w:rPr>
        <w:t>1</w:t>
      </w:r>
      <w:r w:rsidRPr="003C684F">
        <w:rPr>
          <w:rFonts w:hint="eastAsia" w:ascii="仿宋" w:hAnsi="仿宋" w:eastAsia="仿宋" w:cs="仿宋"/>
          <w:sz w:val="32"/>
          <w:szCs w:val="32"/>
        </w:rPr>
        <w:t>线治疗以上的复发或难治性多发性骨髓瘤成人患者。其他使用剂量包括：20mg/m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或27mg/m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每周两次静脉输注10分钟给药；20mg/m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或56mg/m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每周两次静脉输注30分钟给药，或20mg/m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或70mg/m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每周一次静脉输注30分钟给药。</w:t>
      </w:r>
    </w:p>
    <w:p w:rsidRPr="003C684F" w:rsidR="009730C1" w:rsidP="0037660B" w:rsidRDefault="00A315B9" w14:paraId="37BD6F1D"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十一、伊沙佐米 I</w:t>
      </w:r>
      <w:r w:rsidRPr="003C684F">
        <w:rPr>
          <w:rFonts w:ascii="黑体" w:hAnsi="黑体" w:eastAsia="黑体"/>
          <w:color w:val="000000"/>
          <w:sz w:val="32"/>
          <w:szCs w:val="32"/>
        </w:rPr>
        <w:t>xazomib</w:t>
      </w:r>
    </w:p>
    <w:p w:rsidRPr="003C684F" w:rsidR="009730C1" w:rsidRDefault="00A315B9" w14:paraId="795C6E25"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胶囊：2.3mg、3mg、4mg</w:t>
      </w:r>
    </w:p>
    <w:p w:rsidRPr="003C684F" w:rsidR="009730C1" w:rsidRDefault="00A315B9" w14:paraId="69FA6DA3" w14:textId="067C1CBC">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与来那度胺和地塞米松</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，治疗已接受过至少一种既往治疗的多发性骨髓瘤成人患者。</w:t>
      </w:r>
    </w:p>
    <w:p w:rsidRPr="003C684F" w:rsidR="009730C1" w:rsidRDefault="00A315B9" w14:paraId="474CEB25"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CE5B79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1.本品的给药途径为口服。患者应该在每个治疗周期第</w:t>
      </w:r>
      <w:r w:rsidRPr="003C684F">
        <w:rPr>
          <w:rFonts w:hint="eastAsia" w:ascii="仿宋" w:hAnsi="仿宋" w:eastAsia="仿宋"/>
          <w:color w:val="000000"/>
          <w:sz w:val="32"/>
          <w:szCs w:val="32"/>
        </w:rPr>
        <w:lastRenderedPageBreak/>
        <w:t>1、8和15天大致相同的时间服药，在进餐前至少1小时或进餐后至少2小时服用本品，应用水送服整粒胶囊。请勿压碎、咀嚼或打开胶囊。</w:t>
      </w:r>
    </w:p>
    <w:p w:rsidRPr="003C684F" w:rsidR="009730C1" w:rsidRDefault="00A315B9" w14:paraId="43C205A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2.在开始一个新的治疗周期前应满足：中性粒细胞绝对计数应≥1×</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olor w:val="000000"/>
          <w:sz w:val="32"/>
          <w:szCs w:val="32"/>
        </w:rPr>
        <w:t>、血小板计数应≥75×</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olor w:val="000000"/>
          <w:sz w:val="32"/>
          <w:szCs w:val="32"/>
        </w:rPr>
        <w:t>，非血液学毒性一般应恢复至患者的基线状况或≤1级。</w:t>
      </w:r>
    </w:p>
    <w:p w:rsidRPr="003C684F" w:rsidR="009730C1" w:rsidRDefault="00A315B9" w14:paraId="0560E9F6" w14:textId="238A269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3.治疗应持续至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由于24个周期之后的耐受性和毒性相关数据有限，因此对于需要长于24个周期的联合</w:t>
      </w:r>
      <w:r w:rsidRPr="003C684F" w:rsidR="004B1BA5">
        <w:rPr>
          <w:rFonts w:hint="eastAsia" w:ascii="仿宋" w:hAnsi="仿宋" w:eastAsia="仿宋"/>
          <w:color w:val="000000"/>
          <w:sz w:val="32"/>
          <w:szCs w:val="32"/>
        </w:rPr>
        <w:t>使用药物</w:t>
      </w:r>
      <w:r w:rsidRPr="003C684F">
        <w:rPr>
          <w:rFonts w:hint="eastAsia" w:ascii="仿宋" w:hAnsi="仿宋" w:eastAsia="仿宋"/>
          <w:color w:val="000000"/>
          <w:sz w:val="32"/>
          <w:szCs w:val="32"/>
        </w:rPr>
        <w:t>治疗，应基于患者个体获益风险评估结果。</w:t>
      </w:r>
    </w:p>
    <w:p w:rsidRPr="003C684F" w:rsidR="009730C1" w:rsidRDefault="00A315B9" w14:paraId="71FC3E9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如果延误或漏服一剂本品，只有当距离下次计划给药时间≥72小时，方可补服漏服剂量。距离在下次计划给药的72小时内不得补服漏服剂量。不得服用双倍剂量以弥补漏服的剂量。如果患者在服药后呕吐，不应重复服药，而应在下次计划给药时恢复给药。</w:t>
      </w:r>
    </w:p>
    <w:p w:rsidRPr="003C684F" w:rsidR="009730C1" w:rsidRDefault="00A315B9" w14:paraId="74FAC202"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5.在接受本品治疗的患者中，应考虑抗病毒药物的预防治疗，降低带状疱疹病毒再激活的风险。在伊沙佐米研究中，接受抗病毒药物预防治疗患者的带状疱疹感染发生率低于未接受预防治疗的患者。</w:t>
      </w:r>
    </w:p>
    <w:p w:rsidRPr="003C684F" w:rsidR="009730C1" w:rsidRDefault="00A315B9" w14:paraId="52F1B0C0" w14:textId="3C9941C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6.对于伊沙佐米和来那度胺</w:t>
      </w:r>
      <w:r w:rsidRPr="003C684F" w:rsidR="001D102C">
        <w:rPr>
          <w:rFonts w:hint="eastAsia" w:ascii="仿宋" w:hAnsi="仿宋" w:eastAsia="仿宋"/>
          <w:color w:val="000000"/>
          <w:sz w:val="32"/>
          <w:szCs w:val="32"/>
        </w:rPr>
        <w:t>引起的</w:t>
      </w:r>
      <w:r w:rsidRPr="003C684F" w:rsidR="00701C08">
        <w:rPr>
          <w:rFonts w:hint="eastAsia" w:ascii="仿宋" w:hAnsi="仿宋" w:eastAsia="仿宋"/>
          <w:color w:val="000000"/>
          <w:sz w:val="32"/>
          <w:szCs w:val="32"/>
        </w:rPr>
        <w:t>血小板减少症</w:t>
      </w:r>
      <w:r w:rsidRPr="003C684F">
        <w:rPr>
          <w:rFonts w:hint="eastAsia" w:ascii="仿宋" w:hAnsi="仿宋" w:eastAsia="仿宋"/>
          <w:color w:val="000000"/>
          <w:sz w:val="32"/>
          <w:szCs w:val="32"/>
        </w:rPr>
        <w:t>、</w:t>
      </w:r>
      <w:r w:rsidRPr="003C684F" w:rsidR="00691EDE">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和皮疹的重叠毒性，建议交替调整伊沙佐米和来那度胺的剂量。对于这些毒性，剂量调整的第1步是停用</w:t>
      </w:r>
      <w:r w:rsidRPr="003C684F">
        <w:rPr>
          <w:rFonts w:hint="eastAsia" w:ascii="仿宋" w:hAnsi="仿宋" w:eastAsia="仿宋"/>
          <w:color w:val="000000"/>
          <w:sz w:val="32"/>
          <w:szCs w:val="32"/>
        </w:rPr>
        <w:lastRenderedPageBreak/>
        <w:t>/降低来那度胺剂量，关于这些毒性的剂量降低步骤，参见来那度胺药品说明书。</w:t>
      </w:r>
    </w:p>
    <w:p w:rsidRPr="003C684F" w:rsidR="009730C1" w:rsidRDefault="00A315B9" w14:paraId="1D16907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对于轻度肝功能损伤患者（总胆红素≤ULN和AST＞ULN，或总胆红素＞1～1.5倍ULN和AST任何水平），无需调整本品的剂量。对于中度（总胆红素＞1.5～3倍ULN）或重度（总胆红素＞3倍ULN）肝功能损伤患者，建议减量至3mg。</w:t>
      </w:r>
    </w:p>
    <w:p w:rsidRPr="003C684F" w:rsidR="009730C1" w:rsidRDefault="00A315B9" w14:paraId="05B1E3F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对于轻中度肾功能损伤患者（肌酐清除率≥30ml/min），无需调整本品的剂量。对于重度肾功能损伤（肌酐清除率＜30ml/min）或需透析的终末期肾病患者，建议减量至3mg。伊沙佐米不能通过透析清除，因此给药时可以无需考虑透析时间。</w:t>
      </w:r>
    </w:p>
    <w:p w:rsidRPr="003C684F" w:rsidR="009730C1" w:rsidRDefault="00A315B9" w14:paraId="1483BC20" w14:textId="6C6853D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9.对于</w:t>
      </w:r>
      <w:r w:rsidRPr="003C684F" w:rsidR="005E0F98">
        <w:rPr>
          <w:rFonts w:hint="eastAsia" w:ascii="仿宋" w:hAnsi="仿宋" w:eastAsia="仿宋"/>
          <w:color w:val="000000"/>
          <w:sz w:val="32"/>
          <w:szCs w:val="32"/>
        </w:rPr>
        <w:t>老年患者（≥65岁）</w:t>
      </w:r>
      <w:r w:rsidRPr="003C684F">
        <w:rPr>
          <w:rFonts w:hint="eastAsia" w:ascii="仿宋" w:hAnsi="仿宋" w:eastAsia="仿宋"/>
          <w:color w:val="000000"/>
          <w:sz w:val="32"/>
          <w:szCs w:val="32"/>
        </w:rPr>
        <w:t>，无需调整本品的剂量。</w:t>
      </w:r>
    </w:p>
    <w:p w:rsidRPr="003C684F" w:rsidR="009730C1" w:rsidRDefault="00A315B9" w14:paraId="1CD4C3FC"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10.伊沙佐米常见不良反应（＞20%）包括腹泻、便秘、</w:t>
      </w:r>
      <w:r w:rsidRPr="003C684F" w:rsidR="00701C08">
        <w:rPr>
          <w:rFonts w:hint="eastAsia" w:ascii="仿宋" w:hAnsi="仿宋" w:eastAsia="仿宋"/>
          <w:color w:val="000000"/>
          <w:sz w:val="32"/>
          <w:szCs w:val="32"/>
        </w:rPr>
        <w:t>血小板减少症</w:t>
      </w:r>
      <w:r w:rsidRPr="003C684F">
        <w:rPr>
          <w:rFonts w:hint="eastAsia" w:ascii="仿宋" w:hAnsi="仿宋" w:eastAsia="仿宋"/>
          <w:color w:val="000000"/>
          <w:sz w:val="32"/>
          <w:szCs w:val="32"/>
        </w:rPr>
        <w:t>、周围神经病变、恶心、外周水肿、呕吐和背痛。周围神经病变发生率低于硼替佐米。</w:t>
      </w:r>
    </w:p>
    <w:p w:rsidRPr="003C684F" w:rsidR="009730C1" w:rsidRDefault="00A315B9" w14:paraId="296F6268" w14:textId="38A15F2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11.</w:t>
      </w:r>
      <w:r w:rsidRPr="003C684F" w:rsidR="00DF377B">
        <w:rPr>
          <w:rFonts w:hint="eastAsia" w:ascii="仿宋" w:hAnsi="仿宋" w:eastAsia="仿宋"/>
          <w:color w:val="000000"/>
          <w:sz w:val="32"/>
          <w:szCs w:val="32"/>
        </w:rPr>
        <w:t>不建议伊沙佐米与CYP3A强效诱导剂联合</w:t>
      </w:r>
      <w:r w:rsidRPr="003C684F" w:rsidR="004B1BA5">
        <w:rPr>
          <w:rFonts w:hint="eastAsia" w:ascii="仿宋" w:hAnsi="仿宋" w:eastAsia="仿宋"/>
          <w:color w:val="000000"/>
          <w:sz w:val="32"/>
          <w:szCs w:val="32"/>
        </w:rPr>
        <w:t>使用</w:t>
      </w:r>
      <w:r w:rsidRPr="003C684F" w:rsidR="00DF377B">
        <w:rPr>
          <w:rFonts w:hint="eastAsia" w:ascii="仿宋" w:hAnsi="仿宋" w:eastAsia="仿宋"/>
          <w:color w:val="000000"/>
          <w:sz w:val="32"/>
          <w:szCs w:val="32"/>
        </w:rPr>
        <w:t>。伊莎佐米与CYP1A2强效抑制剂联合</w:t>
      </w:r>
      <w:r w:rsidRPr="003C684F" w:rsidR="004B1BA5">
        <w:rPr>
          <w:rFonts w:hint="eastAsia" w:ascii="仿宋" w:hAnsi="仿宋" w:eastAsia="仿宋"/>
          <w:color w:val="000000"/>
          <w:sz w:val="32"/>
          <w:szCs w:val="32"/>
        </w:rPr>
        <w:t>使用</w:t>
      </w:r>
      <w:r w:rsidRPr="003C684F" w:rsidR="00DF377B">
        <w:rPr>
          <w:rFonts w:hint="eastAsia" w:ascii="仿宋" w:hAnsi="仿宋" w:eastAsia="仿宋"/>
          <w:color w:val="000000"/>
          <w:sz w:val="32"/>
          <w:szCs w:val="32"/>
        </w:rPr>
        <w:t>无需进行剂量调整。</w:t>
      </w:r>
    </w:p>
    <w:p w:rsidRPr="003C684F" w:rsidR="009730C1" w:rsidRDefault="00A315B9" w14:paraId="311EEAAD" w14:textId="237BC7C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12.当伊沙佐米与地塞米松联合</w:t>
      </w:r>
      <w:r w:rsidRPr="003C684F" w:rsidR="004B1BA5">
        <w:rPr>
          <w:rFonts w:hint="eastAsia" w:ascii="仿宋" w:hAnsi="仿宋" w:eastAsia="仿宋"/>
          <w:color w:val="000000"/>
          <w:sz w:val="32"/>
          <w:szCs w:val="32"/>
        </w:rPr>
        <w:t>使用</w:t>
      </w:r>
      <w:r w:rsidRPr="003C684F">
        <w:rPr>
          <w:rFonts w:hint="eastAsia" w:ascii="仿宋" w:hAnsi="仿宋" w:eastAsia="仿宋"/>
          <w:color w:val="000000"/>
          <w:sz w:val="32"/>
          <w:szCs w:val="32"/>
        </w:rPr>
        <w:t>时，需考虑口服避孕药疗效降低的风险。使用激素避孕的女性还需采用屏障避孕。</w:t>
      </w:r>
    </w:p>
    <w:p w:rsidRPr="003C684F" w:rsidR="009730C1" w:rsidP="00A62E58" w:rsidRDefault="00A62E58" w14:paraId="0A1DBFD9"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t>※</w:t>
      </w:r>
      <w:r w:rsidRPr="003C684F" w:rsidR="00A315B9">
        <w:rPr>
          <w:rFonts w:hint="eastAsia" w:ascii="仿宋" w:hAnsi="仿宋" w:eastAsia="仿宋"/>
          <w:color w:val="000000"/>
          <w:sz w:val="32"/>
          <w:szCs w:val="32"/>
        </w:rPr>
        <w:t>13.新诊断的多发性骨髓瘤、淀粉样变性、华氏巨球蛋</w:t>
      </w:r>
      <w:r w:rsidRPr="003C684F" w:rsidR="00A315B9">
        <w:rPr>
          <w:rFonts w:hint="eastAsia" w:ascii="仿宋" w:hAnsi="仿宋" w:eastAsia="仿宋"/>
          <w:color w:val="000000"/>
          <w:sz w:val="32"/>
          <w:szCs w:val="32"/>
        </w:rPr>
        <w:lastRenderedPageBreak/>
        <w:t>白血症（仅有I～Ⅱ期临床数据）。</w:t>
      </w:r>
    </w:p>
    <w:p w:rsidRPr="003C684F" w:rsidR="009730C1" w:rsidP="0037660B" w:rsidRDefault="00A315B9" w14:paraId="3255A8DF" w14:textId="77777777">
      <w:pPr>
        <w:spacing w:line="360" w:lineRule="auto"/>
        <w:ind w:firstLine="640" w:firstLineChars="200"/>
        <w:outlineLvl w:val="0"/>
        <w:rPr>
          <w:rFonts w:ascii="仿宋" w:hAnsi="仿宋" w:eastAsia="仿宋" w:cs="Times New Roman"/>
          <w:sz w:val="32"/>
          <w:szCs w:val="32"/>
        </w:rPr>
      </w:pPr>
      <w:r w:rsidRPr="003C684F">
        <w:rPr>
          <w:rFonts w:hint="eastAsia" w:ascii="黑体" w:hAnsi="黑体" w:eastAsia="黑体" w:cs="黑体"/>
          <w:sz w:val="32"/>
          <w:szCs w:val="32"/>
        </w:rPr>
        <w:t>十二、沙利度胺 T</w:t>
      </w:r>
      <w:r w:rsidRPr="003C684F">
        <w:rPr>
          <w:rFonts w:ascii="黑体" w:hAnsi="黑体" w:eastAsia="黑体" w:cs="黑体"/>
          <w:sz w:val="32"/>
          <w:szCs w:val="32"/>
        </w:rPr>
        <w:t>halidomide</w:t>
      </w:r>
    </w:p>
    <w:p w:rsidRPr="003C684F" w:rsidR="009730C1" w:rsidRDefault="00A315B9" w14:paraId="1B3C3FF7"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w:t>
      </w:r>
      <w:r w:rsidRPr="003C684F">
        <w:rPr>
          <w:rFonts w:ascii="仿宋" w:hAnsi="仿宋" w:eastAsia="仿宋" w:cs="仿宋"/>
          <w:sz w:val="32"/>
          <w:szCs w:val="32"/>
        </w:rPr>
        <w:t>1</w:t>
      </w:r>
      <w:r w:rsidRPr="003C684F">
        <w:rPr>
          <w:rFonts w:hint="eastAsia" w:ascii="仿宋" w:hAnsi="仿宋" w:eastAsia="仿宋" w:cs="仿宋"/>
          <w:sz w:val="32"/>
          <w:szCs w:val="32"/>
        </w:rPr>
        <w:t>）片剂：</w:t>
      </w:r>
      <w:r w:rsidRPr="003C684F">
        <w:rPr>
          <w:rFonts w:ascii="仿宋" w:hAnsi="仿宋" w:eastAsia="仿宋" w:cs="仿宋"/>
          <w:sz w:val="32"/>
          <w:szCs w:val="32"/>
        </w:rPr>
        <w:t>25mg</w:t>
      </w:r>
      <w:r w:rsidRPr="003C684F" w:rsidR="00A62E58">
        <w:rPr>
          <w:rFonts w:hint="eastAsia" w:ascii="仿宋" w:hAnsi="仿宋" w:eastAsia="仿宋" w:cs="仿宋"/>
          <w:sz w:val="32"/>
          <w:szCs w:val="32"/>
        </w:rPr>
        <w:t>、50</w:t>
      </w:r>
      <w:r w:rsidRPr="003C684F" w:rsidR="00A62E58">
        <w:rPr>
          <w:rFonts w:ascii="仿宋" w:hAnsi="仿宋" w:eastAsia="仿宋" w:cs="仿宋"/>
          <w:sz w:val="32"/>
          <w:szCs w:val="32"/>
        </w:rPr>
        <w:t>mg</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）胶囊：</w:t>
      </w:r>
      <w:r w:rsidRPr="003C684F">
        <w:rPr>
          <w:rFonts w:ascii="仿宋" w:hAnsi="仿宋" w:eastAsia="仿宋" w:cs="仿宋"/>
          <w:sz w:val="32"/>
          <w:szCs w:val="32"/>
        </w:rPr>
        <w:t>25mg</w:t>
      </w:r>
    </w:p>
    <w:p w:rsidRPr="003C684F" w:rsidR="009730C1" w:rsidRDefault="00A315B9" w14:paraId="716EAF1C"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瘤型麻风病。</w:t>
      </w:r>
    </w:p>
    <w:p w:rsidRPr="003C684F" w:rsidR="009730C1" w:rsidRDefault="00A315B9" w14:paraId="3E40B0D8"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57213D" w:rsidP="0057213D" w:rsidRDefault="0057213D" w14:paraId="04C4B9A3" w14:textId="0CB56274">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1.沙利度胺虽然适应证是麻风病，但广泛应用于多发性骨髓瘤的治疗。</w:t>
      </w:r>
    </w:p>
    <w:p w:rsidRPr="003C684F" w:rsidR="009730C1" w:rsidRDefault="0057213D" w14:paraId="52CD290E" w14:textId="717209D9">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2</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沙利度胺可以引起心率减慢，严重者出现三度房室传导阻滞。</w:t>
      </w:r>
    </w:p>
    <w:p w:rsidRPr="003C684F" w:rsidR="009730C1" w:rsidRDefault="0057213D" w14:paraId="23ACEF14" w14:textId="341988BF">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对本品有过敏反应的患者</w:t>
      </w:r>
      <w:r w:rsidRPr="003C684F" w:rsidR="00A62E58">
        <w:rPr>
          <w:rFonts w:hint="eastAsia" w:ascii="仿宋" w:hAnsi="仿宋" w:eastAsia="仿宋" w:cs="仿宋"/>
          <w:sz w:val="32"/>
          <w:szCs w:val="32"/>
        </w:rPr>
        <w:t>禁</w:t>
      </w:r>
      <w:r w:rsidRPr="003C684F" w:rsidR="00A315B9">
        <w:rPr>
          <w:rFonts w:hint="eastAsia" w:ascii="仿宋" w:hAnsi="仿宋" w:eastAsia="仿宋" w:cs="仿宋"/>
          <w:sz w:val="32"/>
          <w:szCs w:val="32"/>
        </w:rPr>
        <w:t>用。沙利度胺具有致畸性，孕妇及哺乳期妇女、儿童禁用。其他不良反应包括心率减慢、皮疹、便秘、周围神经病变、嗜睡及深静脉血栓等，可通过减量以及辅助用药缓解。</w:t>
      </w:r>
    </w:p>
    <w:p w:rsidRPr="003C684F" w:rsidR="009730C1" w:rsidRDefault="0057213D" w14:paraId="3C5CA8CF" w14:textId="5B0BDA2E">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硼替佐米与沙利度胺具有协同作用。</w:t>
      </w:r>
    </w:p>
    <w:p w:rsidRPr="003C684F" w:rsidR="009730C1" w:rsidRDefault="0057213D" w14:paraId="49C4DF2C" w14:textId="43E16A74">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对于接受沙利度胺与地塞米松联合治疗的多发性骨髓瘤患者，深静脉血栓和肺栓塞的风险显著升高。需要密切注意血栓导致的症状和体征，合并高危血栓风险时建议给予预防性抗凝。</w:t>
      </w:r>
    </w:p>
    <w:p w:rsidRPr="003C684F" w:rsidR="009730C1" w:rsidRDefault="0057213D" w14:paraId="20B269E3" w14:textId="3D622C8C">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6</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细胞遗传学高危</w:t>
      </w:r>
      <w:r w:rsidRPr="003C684F" w:rsidR="005F69C7">
        <w:rPr>
          <w:rFonts w:hint="eastAsia" w:ascii="仿宋" w:hAnsi="仿宋" w:eastAsia="仿宋" w:cs="仿宋"/>
          <w:sz w:val="32"/>
          <w:szCs w:val="32"/>
        </w:rPr>
        <w:t>的多发性骨髓瘤</w:t>
      </w:r>
      <w:r w:rsidRPr="003C684F" w:rsidR="00A315B9">
        <w:rPr>
          <w:rFonts w:hint="eastAsia" w:ascii="仿宋" w:hAnsi="仿宋" w:eastAsia="仿宋" w:cs="仿宋"/>
          <w:sz w:val="32"/>
          <w:szCs w:val="32"/>
        </w:rPr>
        <w:t>患者不建议单独使用沙利度胺进行维持治疗。</w:t>
      </w:r>
    </w:p>
    <w:p w:rsidRPr="003C684F" w:rsidR="009730C1" w:rsidRDefault="0057213D" w14:paraId="7794E734" w14:textId="7D7CE90E">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7</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服用后会出现嗜睡，眩晕，不建议开车，应临睡前服用。</w:t>
      </w:r>
    </w:p>
    <w:p w:rsidRPr="003C684F" w:rsidR="009730C1" w:rsidRDefault="00A315B9" w14:paraId="2676A982" w14:textId="4539596C">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lastRenderedPageBreak/>
        <w:t>※</w:t>
      </w:r>
      <w:r w:rsidRPr="003C684F" w:rsidR="0057213D">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沙利度胺可以用于初治及难治复发多发性骨髓瘤病人（在国外大多数国家都已经批准用于初治以及难治复发骨髓瘤治疗）。</w:t>
      </w:r>
    </w:p>
    <w:p w:rsidRPr="003C684F" w:rsidR="009730C1" w:rsidP="0037660B" w:rsidRDefault="00A315B9" w14:paraId="31519E32" w14:textId="77777777">
      <w:pPr>
        <w:spacing w:line="360" w:lineRule="auto"/>
        <w:ind w:firstLine="640" w:firstLineChars="200"/>
        <w:outlineLvl w:val="0"/>
        <w:rPr>
          <w:rFonts w:ascii="黑体" w:hAnsi="黑体" w:eastAsia="黑体" w:cs="Times New Roman"/>
          <w:sz w:val="32"/>
          <w:szCs w:val="32"/>
          <w:lang w:val="fr-FR"/>
        </w:rPr>
      </w:pPr>
      <w:r w:rsidRPr="003C684F">
        <w:rPr>
          <w:rFonts w:hint="eastAsia" w:ascii="黑体" w:hAnsi="黑体" w:eastAsia="黑体" w:cs="黑体"/>
          <w:sz w:val="32"/>
          <w:szCs w:val="32"/>
        </w:rPr>
        <w:t>十三、来那度胺 L</w:t>
      </w:r>
      <w:r w:rsidRPr="003C684F">
        <w:rPr>
          <w:rFonts w:ascii="黑体" w:hAnsi="黑体" w:eastAsia="黑体" w:cs="黑体"/>
          <w:sz w:val="32"/>
          <w:szCs w:val="32"/>
        </w:rPr>
        <w:t>enalidomide</w:t>
      </w:r>
    </w:p>
    <w:p w:rsidRPr="003C684F" w:rsidR="009730C1" w:rsidRDefault="00A315B9" w14:paraId="232E9FF5" w14:textId="77777777">
      <w:pPr>
        <w:spacing w:line="360" w:lineRule="auto"/>
        <w:ind w:firstLine="643" w:firstLineChars="200"/>
        <w:rPr>
          <w:rFonts w:ascii="仿宋" w:hAnsi="仿宋" w:eastAsia="仿宋" w:cs="Times New Roman"/>
          <w:b/>
          <w:bCs/>
          <w:sz w:val="32"/>
          <w:szCs w:val="32"/>
          <w:lang w:val="fr-FR"/>
        </w:rPr>
      </w:pPr>
      <w:r w:rsidRPr="003C684F">
        <w:rPr>
          <w:rFonts w:hint="eastAsia" w:ascii="仿宋" w:hAnsi="仿宋" w:eastAsia="仿宋" w:cs="仿宋"/>
          <w:b/>
          <w:bCs/>
          <w:sz w:val="32"/>
          <w:szCs w:val="32"/>
        </w:rPr>
        <w:t>制剂与规格</w:t>
      </w:r>
      <w:r w:rsidRPr="003C684F">
        <w:rPr>
          <w:rFonts w:hint="eastAsia" w:ascii="仿宋" w:hAnsi="仿宋" w:eastAsia="仿宋" w:cs="仿宋"/>
          <w:b/>
          <w:bCs/>
          <w:sz w:val="32"/>
          <w:szCs w:val="32"/>
          <w:lang w:val="fr-FR"/>
        </w:rPr>
        <w:t>：</w:t>
      </w:r>
      <w:r w:rsidRPr="003C684F">
        <w:rPr>
          <w:rFonts w:hint="eastAsia" w:ascii="仿宋" w:hAnsi="仿宋" w:eastAsia="仿宋" w:cs="仿宋"/>
          <w:sz w:val="32"/>
          <w:szCs w:val="32"/>
        </w:rPr>
        <w:t>胶囊：</w:t>
      </w:r>
      <w:r w:rsidRPr="003C684F" w:rsidR="005F69C7">
        <w:rPr>
          <w:rFonts w:hint="eastAsia" w:ascii="仿宋" w:hAnsi="仿宋" w:eastAsia="仿宋" w:cs="仿宋"/>
          <w:sz w:val="32"/>
          <w:szCs w:val="32"/>
          <w:lang w:val="fr-FR"/>
        </w:rPr>
        <w:t>5mg、10mg、15mg、25mg</w:t>
      </w:r>
    </w:p>
    <w:p w:rsidRPr="003C684F" w:rsidR="009730C1" w:rsidRDefault="00A315B9" w14:paraId="4EBB51E5"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r w:rsidRPr="003C684F" w:rsidR="005F69C7">
        <w:rPr>
          <w:rFonts w:hint="eastAsia" w:ascii="仿宋" w:hAnsi="仿宋" w:eastAsia="仿宋" w:cs="仿宋"/>
          <w:bCs/>
          <w:sz w:val="32"/>
          <w:szCs w:val="32"/>
        </w:rPr>
        <w:t>与地塞米松联合使用，治疗</w:t>
      </w:r>
      <w:r w:rsidRPr="003C684F">
        <w:rPr>
          <w:rFonts w:hint="eastAsia" w:ascii="仿宋" w:hAnsi="仿宋" w:eastAsia="仿宋" w:cs="仿宋"/>
          <w:sz w:val="32"/>
          <w:szCs w:val="32"/>
        </w:rPr>
        <w:t>初治及复发难治性多发性骨髓瘤。</w:t>
      </w:r>
    </w:p>
    <w:p w:rsidRPr="003C684F" w:rsidR="009730C1" w:rsidRDefault="00A315B9" w14:paraId="03419A82"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06D11850"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药物具有骨髓抑制作用，应用后需要监测患者血常规。</w:t>
      </w:r>
    </w:p>
    <w:p w:rsidRPr="003C684F" w:rsidR="009730C1" w:rsidRDefault="00A315B9" w14:paraId="1E9E798D"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对于适合接收自体干细胞移植的病人，移植前建议接受不要超过</w:t>
      </w:r>
      <w:r w:rsidRPr="003C684F">
        <w:rPr>
          <w:rFonts w:ascii="仿宋" w:hAnsi="仿宋" w:eastAsia="仿宋" w:cs="仿宋"/>
          <w:sz w:val="32"/>
          <w:szCs w:val="32"/>
        </w:rPr>
        <w:t>4</w:t>
      </w:r>
      <w:r w:rsidRPr="003C684F">
        <w:rPr>
          <w:rFonts w:hint="eastAsia" w:ascii="仿宋" w:hAnsi="仿宋" w:eastAsia="仿宋" w:cs="仿宋"/>
          <w:sz w:val="32"/>
          <w:szCs w:val="32"/>
        </w:rPr>
        <w:t>个疗程含有来那度胺的治疗。</w:t>
      </w:r>
    </w:p>
    <w:p w:rsidRPr="003C684F" w:rsidR="009730C1" w:rsidRDefault="00A315B9" w14:paraId="40A9E171"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硼替佐米与来那度胺具有协同作用。</w:t>
      </w:r>
    </w:p>
    <w:p w:rsidRPr="003C684F" w:rsidR="009730C1" w:rsidRDefault="00A315B9" w14:paraId="503A84B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肾功能损伤的骨髓瘤患者需要减量。</w:t>
      </w:r>
    </w:p>
    <w:p w:rsidRPr="003C684F" w:rsidR="009730C1" w:rsidRDefault="00A315B9" w14:paraId="7002BF77"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长期应用会增加第2肿瘤的风险。</w:t>
      </w:r>
    </w:p>
    <w:p w:rsidRPr="003C684F" w:rsidR="009730C1" w:rsidRDefault="00A315B9" w14:paraId="347827A6" w14:textId="77777777">
      <w:pPr>
        <w:spacing w:line="360" w:lineRule="auto"/>
        <w:ind w:firstLine="640" w:firstLineChars="200"/>
        <w:rPr>
          <w:rFonts w:ascii="仿宋" w:hAnsi="仿宋" w:eastAsia="仿宋" w:cs="仿宋"/>
          <w:b/>
          <w:bCs/>
          <w:sz w:val="32"/>
          <w:szCs w:val="32"/>
        </w:rPr>
      </w:pPr>
      <w:r w:rsidRPr="003C684F">
        <w:rPr>
          <w:rFonts w:hint="eastAsia" w:ascii="仿宋" w:hAnsi="仿宋" w:eastAsia="仿宋" w:cs="仿宋"/>
          <w:sz w:val="32"/>
          <w:szCs w:val="32"/>
        </w:rPr>
        <w:t>6.血细胞减少、皮疹为来那度胺常见的不良反应，其余包括深静脉血栓。</w:t>
      </w:r>
    </w:p>
    <w:p w:rsidRPr="003C684F" w:rsidR="009730C1" w:rsidRDefault="00A315B9" w14:paraId="0095E90B"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仿宋"/>
          <w:sz w:val="32"/>
          <w:szCs w:val="32"/>
        </w:rPr>
        <w:t>对于接受来那度胺与地塞米松联合治疗的多发性骨髓瘤患者，深静脉血栓和肺栓塞的风险显著升高。需要密切注意血栓导致的症状和体征，合并高危血栓风险时建议给予预防性抗凝。</w:t>
      </w:r>
    </w:p>
    <w:p w:rsidRPr="003C684F" w:rsidR="009730C1" w:rsidRDefault="00A315B9" w14:paraId="121A0764"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可能会有胚胎</w:t>
      </w:r>
      <w:r w:rsidRPr="003C684F">
        <w:rPr>
          <w:rFonts w:ascii="仿宋" w:hAnsi="仿宋" w:eastAsia="仿宋" w:cs="仿宋"/>
          <w:sz w:val="32"/>
          <w:szCs w:val="32"/>
        </w:rPr>
        <w:t>-</w:t>
      </w:r>
      <w:r w:rsidRPr="003C684F">
        <w:rPr>
          <w:rFonts w:hint="eastAsia" w:ascii="仿宋" w:hAnsi="仿宋" w:eastAsia="仿宋" w:cs="仿宋"/>
          <w:sz w:val="32"/>
          <w:szCs w:val="32"/>
        </w:rPr>
        <w:t>生殖毒性，使用期间注意避孕。对儿童生长发育会有潜在影响。</w:t>
      </w:r>
    </w:p>
    <w:p w:rsidRPr="003C684F" w:rsidR="009730C1" w:rsidRDefault="00A315B9" w14:paraId="0B9A4A3E"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lastRenderedPageBreak/>
        <w:t>※</w:t>
      </w:r>
      <w:r w:rsidRPr="003C684F">
        <w:rPr>
          <w:rFonts w:hint="eastAsia" w:ascii="仿宋" w:hAnsi="仿宋" w:eastAsia="仿宋" w:cs="仿宋"/>
          <w:sz w:val="32"/>
          <w:szCs w:val="32"/>
        </w:rPr>
        <w:t>9</w:t>
      </w:r>
      <w:r w:rsidRPr="003C684F">
        <w:rPr>
          <w:rFonts w:ascii="仿宋" w:hAnsi="仿宋" w:eastAsia="仿宋" w:cs="仿宋"/>
          <w:sz w:val="32"/>
          <w:szCs w:val="32"/>
        </w:rPr>
        <w:t>.</w:t>
      </w:r>
      <w:r w:rsidRPr="003C684F">
        <w:rPr>
          <w:rFonts w:hint="eastAsia" w:ascii="仿宋" w:hAnsi="仿宋" w:eastAsia="仿宋" w:cs="仿宋"/>
          <w:sz w:val="32"/>
          <w:szCs w:val="32"/>
        </w:rPr>
        <w:t>滤泡细胞淋巴瘤（全球其他国家已批准的适应证）。</w:t>
      </w:r>
    </w:p>
    <w:p w:rsidRPr="003C684F" w:rsidR="009730C1" w:rsidRDefault="00A315B9" w14:paraId="391EF35E"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cs="仿宋"/>
          <w:sz w:val="32"/>
          <w:szCs w:val="32"/>
        </w:rPr>
        <w:t>10</w:t>
      </w:r>
      <w:r w:rsidRPr="003C684F">
        <w:rPr>
          <w:rFonts w:ascii="仿宋" w:hAnsi="仿宋" w:eastAsia="仿宋" w:cs="仿宋"/>
          <w:sz w:val="32"/>
          <w:szCs w:val="32"/>
        </w:rPr>
        <w:t>.POEMS</w:t>
      </w:r>
      <w:r w:rsidRPr="003C684F">
        <w:rPr>
          <w:rFonts w:hint="eastAsia" w:ascii="仿宋" w:hAnsi="仿宋" w:eastAsia="仿宋" w:cs="仿宋"/>
          <w:sz w:val="32"/>
          <w:szCs w:val="32"/>
        </w:rPr>
        <w:t>综合征（仅有Ⅰ～Ⅱ期临床研究数据）。</w:t>
      </w:r>
    </w:p>
    <w:p w:rsidRPr="003C684F" w:rsidR="009730C1" w:rsidRDefault="00A315B9" w14:paraId="736B403D"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ascii="仿宋" w:hAnsi="仿宋" w:eastAsia="仿宋" w:cs="仿宋"/>
          <w:sz w:val="32"/>
          <w:szCs w:val="32"/>
        </w:rPr>
        <w:t>1</w:t>
      </w: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轻链淀粉样变性（仅有Ⅰ～Ⅱ期临床研究数据）。</w:t>
      </w:r>
    </w:p>
    <w:p w:rsidRPr="003C684F" w:rsidR="009730C1" w:rsidRDefault="00A315B9" w14:paraId="748C59A5"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vertAlign w:val="superscript"/>
        </w:rPr>
        <w:t>※</w:t>
      </w:r>
      <w:r w:rsidRPr="003C684F">
        <w:rPr>
          <w:rFonts w:ascii="仿宋" w:hAnsi="仿宋" w:eastAsia="仿宋" w:cs="仿宋"/>
          <w:sz w:val="32"/>
          <w:szCs w:val="32"/>
        </w:rPr>
        <w:t>1</w:t>
      </w:r>
      <w:r w:rsidRPr="003C684F">
        <w:rPr>
          <w:rFonts w:hint="eastAsia" w:ascii="仿宋" w:hAnsi="仿宋" w:eastAsia="仿宋" w:cs="仿宋"/>
          <w:sz w:val="32"/>
          <w:szCs w:val="32"/>
        </w:rPr>
        <w:t>2</w:t>
      </w:r>
      <w:r w:rsidRPr="003C684F">
        <w:rPr>
          <w:rFonts w:ascii="仿宋" w:hAnsi="仿宋" w:eastAsia="仿宋" w:cs="仿宋"/>
          <w:sz w:val="32"/>
          <w:szCs w:val="32"/>
        </w:rPr>
        <w:t>.MGRS</w:t>
      </w:r>
      <w:r w:rsidRPr="003C684F">
        <w:rPr>
          <w:rFonts w:hint="eastAsia" w:ascii="仿宋" w:hAnsi="仿宋" w:eastAsia="仿宋" w:cs="仿宋"/>
          <w:sz w:val="32"/>
          <w:szCs w:val="32"/>
        </w:rPr>
        <w:t>（仅有Ⅰ～Ⅱ期临床研究数据）。</w:t>
      </w:r>
    </w:p>
    <w:p w:rsidRPr="003C684F" w:rsidR="009730C1" w:rsidRDefault="00A315B9" w14:paraId="475807F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vertAlign w:val="superscript"/>
        </w:rPr>
        <w:t>※</w:t>
      </w:r>
      <w:r w:rsidRPr="003C684F">
        <w:rPr>
          <w:rFonts w:ascii="仿宋" w:hAnsi="仿宋" w:eastAsia="仿宋" w:cs="仿宋"/>
          <w:sz w:val="32"/>
          <w:szCs w:val="32"/>
        </w:rPr>
        <w:t>1</w:t>
      </w:r>
      <w:r w:rsidRPr="003C684F">
        <w:rPr>
          <w:rFonts w:hint="eastAsia" w:ascii="仿宋" w:hAnsi="仿宋" w:eastAsia="仿宋" w:cs="仿宋"/>
          <w:sz w:val="32"/>
          <w:szCs w:val="32"/>
        </w:rPr>
        <w:t>3</w:t>
      </w:r>
      <w:r w:rsidRPr="003C684F">
        <w:rPr>
          <w:rFonts w:ascii="仿宋" w:hAnsi="仿宋" w:eastAsia="仿宋" w:cs="仿宋"/>
          <w:sz w:val="32"/>
          <w:szCs w:val="32"/>
        </w:rPr>
        <w:t>.del</w:t>
      </w:r>
      <w:r w:rsidRPr="003C684F">
        <w:rPr>
          <w:rFonts w:hint="eastAsia" w:ascii="仿宋" w:hAnsi="仿宋" w:eastAsia="仿宋" w:cs="仿宋"/>
          <w:sz w:val="32"/>
          <w:szCs w:val="32"/>
        </w:rPr>
        <w:t>（</w:t>
      </w:r>
      <w:r w:rsidRPr="003C684F">
        <w:rPr>
          <w:rFonts w:ascii="仿宋" w:hAnsi="仿宋" w:eastAsia="仿宋" w:cs="仿宋"/>
          <w:sz w:val="32"/>
          <w:szCs w:val="32"/>
        </w:rPr>
        <w:t>5q</w:t>
      </w:r>
      <w:r w:rsidRPr="003C684F">
        <w:rPr>
          <w:rFonts w:hint="eastAsia" w:ascii="仿宋" w:hAnsi="仿宋" w:eastAsia="仿宋" w:cs="仿宋"/>
          <w:sz w:val="32"/>
          <w:szCs w:val="32"/>
        </w:rPr>
        <w:t>）的IPSS评分低危</w:t>
      </w:r>
      <w:r w:rsidRPr="003C684F">
        <w:rPr>
          <w:rFonts w:ascii="仿宋" w:hAnsi="仿宋" w:eastAsia="仿宋" w:cs="仿宋"/>
          <w:sz w:val="32"/>
          <w:szCs w:val="32"/>
        </w:rPr>
        <w:t>/</w:t>
      </w:r>
      <w:r w:rsidRPr="003C684F">
        <w:rPr>
          <w:rFonts w:hint="eastAsia" w:ascii="仿宋" w:hAnsi="仿宋" w:eastAsia="仿宋" w:cs="仿宋"/>
          <w:sz w:val="32"/>
          <w:szCs w:val="32"/>
        </w:rPr>
        <w:t>中危</w:t>
      </w:r>
      <w:r w:rsidRPr="003C684F">
        <w:rPr>
          <w:rFonts w:ascii="仿宋" w:hAnsi="仿宋" w:eastAsia="仿宋" w:cs="仿宋"/>
          <w:sz w:val="32"/>
          <w:szCs w:val="32"/>
        </w:rPr>
        <w:t>1</w:t>
      </w:r>
      <w:r w:rsidRPr="003C684F">
        <w:rPr>
          <w:rFonts w:hint="eastAsia" w:ascii="仿宋" w:hAnsi="仿宋" w:eastAsia="仿宋" w:cs="仿宋"/>
          <w:sz w:val="32"/>
          <w:szCs w:val="32"/>
        </w:rPr>
        <w:t>骨髓增生异常综合征（全球其他国家已批准的适应证）。</w:t>
      </w:r>
    </w:p>
    <w:p w:rsidRPr="003C684F" w:rsidR="009730C1" w:rsidP="0037660B" w:rsidRDefault="00A315B9" w14:paraId="1735DC9B" w14:textId="77777777">
      <w:pPr>
        <w:spacing w:line="360" w:lineRule="auto"/>
        <w:ind w:firstLine="640" w:firstLineChars="200"/>
        <w:contextualSpacing/>
        <w:outlineLvl w:val="0"/>
        <w:rPr>
          <w:rFonts w:ascii="黑体" w:hAnsi="黑体" w:eastAsia="黑体"/>
          <w:sz w:val="32"/>
          <w:szCs w:val="32"/>
        </w:rPr>
      </w:pPr>
      <w:r w:rsidRPr="003C684F">
        <w:rPr>
          <w:rFonts w:hint="eastAsia" w:ascii="黑体" w:hAnsi="黑体" w:eastAsia="黑体"/>
          <w:sz w:val="32"/>
          <w:szCs w:val="32"/>
        </w:rPr>
        <w:t>十四、泊马度胺 Pomalidomide</w:t>
      </w:r>
    </w:p>
    <w:p w:rsidRPr="003C684F" w:rsidR="009730C1" w:rsidRDefault="00A315B9" w14:paraId="085CEC4C"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胶囊：1mg、4mg</w:t>
      </w:r>
    </w:p>
    <w:p w:rsidRPr="003C684F" w:rsidR="009730C1" w:rsidRDefault="00A315B9" w14:paraId="6FE1C5BF" w14:textId="5628F9CD">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sz w:val="32"/>
          <w:szCs w:val="32"/>
        </w:rPr>
        <w:t>复发难治性多发性骨髓瘤：泊马度胺与地塞米松</w:t>
      </w:r>
      <w:r w:rsidRPr="003C684F" w:rsidR="00DE313C">
        <w:rPr>
          <w:rFonts w:hint="eastAsia" w:ascii="仿宋" w:hAnsi="仿宋" w:eastAsia="仿宋"/>
          <w:sz w:val="32"/>
          <w:szCs w:val="32"/>
        </w:rPr>
        <w:t>联合使用</w:t>
      </w:r>
      <w:r w:rsidRPr="003C684F">
        <w:rPr>
          <w:rFonts w:hint="eastAsia" w:ascii="仿宋" w:hAnsi="仿宋" w:eastAsia="仿宋"/>
          <w:sz w:val="32"/>
          <w:szCs w:val="32"/>
        </w:rPr>
        <w:t>，适用于既往接受过至少两种治疗（包括来那度胺和一种蛋白酶体抑制剂），且在最后一次治疗期间或治疗结束后60天内</w:t>
      </w:r>
      <w:r w:rsidRPr="003C684F" w:rsidR="004B304F">
        <w:rPr>
          <w:rFonts w:hint="eastAsia" w:ascii="仿宋" w:hAnsi="仿宋" w:eastAsia="仿宋"/>
          <w:sz w:val="32"/>
          <w:szCs w:val="32"/>
        </w:rPr>
        <w:t>出现</w:t>
      </w:r>
      <w:r w:rsidRPr="003C684F">
        <w:rPr>
          <w:rFonts w:hint="eastAsia" w:ascii="仿宋" w:hAnsi="仿宋" w:eastAsia="仿宋"/>
          <w:sz w:val="32"/>
          <w:szCs w:val="32"/>
        </w:rPr>
        <w:t>疾病进展的成年多发性骨髓瘤患者。</w:t>
      </w:r>
    </w:p>
    <w:p w:rsidRPr="003C684F" w:rsidR="009730C1" w:rsidRDefault="00A315B9" w14:paraId="436C1BAF" w14:textId="77777777">
      <w:pPr>
        <w:spacing w:line="360" w:lineRule="auto"/>
        <w:ind w:firstLine="643" w:firstLineChars="200"/>
        <w:contextualSpacing/>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256EE69C"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1.药物具有骨髓抑制作用，应用后需要监测患者血常规。</w:t>
      </w:r>
    </w:p>
    <w:p w:rsidRPr="003C684F" w:rsidR="009730C1" w:rsidRDefault="00A315B9" w14:paraId="2A91C6F0"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2.对于适合接受自体干细胞移植的病人，移植前建议接受不要超过4个疗程含有泊马度胺的治疗。</w:t>
      </w:r>
    </w:p>
    <w:p w:rsidRPr="003C684F" w:rsidR="009730C1" w:rsidRDefault="00A315B9" w14:paraId="3589BDFA"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3.硼替佐米与泊马度胺具有协同作用。</w:t>
      </w:r>
    </w:p>
    <w:p w:rsidRPr="003C684F" w:rsidR="009730C1" w:rsidRDefault="00A315B9" w14:paraId="004A0308"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4.对于需要透析的重度肾功能损伤患者，推荐的起始剂量是3mg/d（降低25%）。在接受血液透析的当天，应在完成透析之后服用泊马度胺。其他肾功能损伤患者无需调整剂量。</w:t>
      </w:r>
    </w:p>
    <w:p w:rsidRPr="003C684F" w:rsidR="009730C1" w:rsidRDefault="00A315B9" w14:paraId="3262E9E7" w14:textId="2F31BFE5">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5.对于轻中度肝功能损伤患者（Child-Pugh A级或B级），</w:t>
      </w:r>
      <w:r w:rsidRPr="003C684F">
        <w:rPr>
          <w:rFonts w:hint="eastAsia" w:ascii="仿宋" w:hAnsi="仿宋" w:eastAsia="仿宋"/>
          <w:sz w:val="32"/>
          <w:szCs w:val="32"/>
        </w:rPr>
        <w:lastRenderedPageBreak/>
        <w:t>推荐起始剂量是3mg/d（降低25%）。对于重度肝功能损伤患者（Child-Pugh C级），推荐给药剂量是2mg</w:t>
      </w:r>
      <w:r w:rsidRPr="003C684F" w:rsidR="00BD4885">
        <w:rPr>
          <w:rFonts w:hint="eastAsia" w:ascii="仿宋" w:hAnsi="仿宋" w:eastAsia="仿宋"/>
          <w:sz w:val="32"/>
          <w:szCs w:val="32"/>
        </w:rPr>
        <w:t>/d</w:t>
      </w:r>
      <w:r w:rsidRPr="003C684F">
        <w:rPr>
          <w:rFonts w:hint="eastAsia" w:ascii="仿宋" w:hAnsi="仿宋" w:eastAsia="仿宋"/>
          <w:sz w:val="32"/>
          <w:szCs w:val="32"/>
        </w:rPr>
        <w:t>（降低50%）。</w:t>
      </w:r>
    </w:p>
    <w:p w:rsidRPr="003C684F" w:rsidR="009730C1" w:rsidRDefault="00A315B9" w14:paraId="17B40BE7"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6.泊马度胺常见不良反应（</w:t>
      </w:r>
      <w:r w:rsidRPr="003C684F">
        <w:rPr>
          <w:rFonts w:hint="eastAsia" w:ascii="仿宋" w:hAnsi="仿宋" w:eastAsia="仿宋"/>
          <w:color w:val="000000"/>
          <w:sz w:val="32"/>
          <w:szCs w:val="32"/>
        </w:rPr>
        <w:t>＞</w:t>
      </w:r>
      <w:r w:rsidRPr="003C684F">
        <w:rPr>
          <w:rFonts w:hint="eastAsia" w:ascii="仿宋" w:hAnsi="仿宋" w:eastAsia="仿宋"/>
          <w:sz w:val="32"/>
          <w:szCs w:val="32"/>
        </w:rPr>
        <w:t>30%）包括疲劳乏力、中性粒细胞减少症、贫血、便秘、恶心、腹泻、呼吸困难、上呼吸道感染、背痛和发热。</w:t>
      </w:r>
    </w:p>
    <w:p w:rsidRPr="003C684F" w:rsidR="009730C1" w:rsidRDefault="00A315B9" w14:paraId="71395BA1"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7.对于接受泊马度胺治疗的多发性骨髓瘤患者，治疗期间有发生深静脉血栓和肺栓塞的风险。对于有已知风险因素（包括血栓史）的病人，发生静脉和动脉血栓栓塞事件的风险更高。推荐进行血栓的预防治疗，应基于对患者潜在风险因素的评估选择治疗方案。</w:t>
      </w:r>
    </w:p>
    <w:p w:rsidRPr="003C684F" w:rsidR="009730C1" w:rsidRDefault="00A315B9" w14:paraId="407D30F7" w14:textId="093F0F3C">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8.可能会有胚胎-生殖毒性，</w:t>
      </w:r>
      <w:r w:rsidRPr="003C684F" w:rsidR="0057213D">
        <w:rPr>
          <w:rFonts w:hint="eastAsia" w:ascii="仿宋" w:hAnsi="仿宋" w:eastAsia="仿宋"/>
          <w:sz w:val="32"/>
          <w:szCs w:val="32"/>
        </w:rPr>
        <w:t>使用期间建议避孕。有生育能力的女性避孕必须从使用本品治疗前4周开始、治疗期间、暂停治疗期间持续避孕，并持续至完成治疗后4周；男性患者在服用本品期间及停用本品4周内采取避孕措施。</w:t>
      </w:r>
    </w:p>
    <w:p w:rsidRPr="003C684F" w:rsidR="009730C1" w:rsidRDefault="00A315B9" w14:paraId="1DCC48C7" w14:textId="08E4AD60">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9.与CYP1A2</w:t>
      </w:r>
      <w:r w:rsidRPr="003C684F" w:rsidR="009D028E">
        <w:rPr>
          <w:rFonts w:hint="eastAsia" w:ascii="仿宋" w:hAnsi="仿宋" w:eastAsia="仿宋"/>
          <w:sz w:val="32"/>
          <w:szCs w:val="32"/>
        </w:rPr>
        <w:t>强效</w:t>
      </w:r>
      <w:r w:rsidRPr="003C684F">
        <w:rPr>
          <w:rFonts w:hint="eastAsia" w:ascii="仿宋" w:hAnsi="仿宋" w:eastAsia="仿宋"/>
          <w:sz w:val="32"/>
          <w:szCs w:val="32"/>
        </w:rPr>
        <w:t>抑制剂</w:t>
      </w:r>
      <w:r w:rsidRPr="003C684F" w:rsidR="00DE313C">
        <w:rPr>
          <w:rFonts w:hint="eastAsia" w:ascii="仿宋" w:hAnsi="仿宋" w:eastAsia="仿宋"/>
          <w:sz w:val="32"/>
          <w:szCs w:val="32"/>
        </w:rPr>
        <w:t>联合使用</w:t>
      </w:r>
      <w:r w:rsidRPr="003C684F">
        <w:rPr>
          <w:rFonts w:hint="eastAsia" w:ascii="仿宋" w:hAnsi="仿宋" w:eastAsia="仿宋"/>
          <w:sz w:val="32"/>
          <w:szCs w:val="32"/>
        </w:rPr>
        <w:t>（环丙沙星、氟伏沙明），考虑其他替代疗法。如无法避免与CYP1A2</w:t>
      </w:r>
      <w:r w:rsidRPr="003C684F" w:rsidR="009D028E">
        <w:rPr>
          <w:rFonts w:hint="eastAsia" w:ascii="仿宋" w:hAnsi="仿宋" w:eastAsia="仿宋"/>
          <w:sz w:val="32"/>
          <w:szCs w:val="32"/>
        </w:rPr>
        <w:t>强效</w:t>
      </w:r>
      <w:r w:rsidRPr="003C684F">
        <w:rPr>
          <w:rFonts w:hint="eastAsia" w:ascii="仿宋" w:hAnsi="仿宋" w:eastAsia="仿宋"/>
          <w:sz w:val="32"/>
          <w:szCs w:val="32"/>
        </w:rPr>
        <w:t>抑制剂联合使用，则起始剂量应减少至2mg。</w:t>
      </w:r>
    </w:p>
    <w:p w:rsidRPr="003C684F" w:rsidR="009730C1" w:rsidRDefault="00A315B9" w14:paraId="4110B3FD"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vertAlign w:val="superscript"/>
        </w:rPr>
        <w:t>※</w:t>
      </w:r>
      <w:r w:rsidRPr="003C684F">
        <w:rPr>
          <w:rFonts w:hint="eastAsia" w:ascii="仿宋" w:hAnsi="仿宋" w:eastAsia="仿宋"/>
          <w:sz w:val="32"/>
          <w:szCs w:val="32"/>
        </w:rPr>
        <w:t>10.卡波西肉瘤（美国已批准的适应证）。</w:t>
      </w:r>
    </w:p>
    <w:p w:rsidRPr="003C684F" w:rsidR="009730C1" w:rsidRDefault="00A315B9" w14:paraId="38D5C581" w14:textId="47DC042E">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vertAlign w:val="superscript"/>
        </w:rPr>
        <w:t>※</w:t>
      </w:r>
      <w:r w:rsidRPr="003C684F">
        <w:rPr>
          <w:rFonts w:hint="eastAsia" w:ascii="仿宋" w:hAnsi="仿宋" w:eastAsia="仿宋"/>
          <w:sz w:val="32"/>
          <w:szCs w:val="32"/>
        </w:rPr>
        <w:t>11.泊马度胺联合硼替佐米以及地塞米松治疗复发难治性多发性骨髓瘤：泊马度胺与硼替佐米、地塞米松</w:t>
      </w:r>
      <w:r w:rsidRPr="003C684F" w:rsidR="00DE313C">
        <w:rPr>
          <w:rFonts w:hint="eastAsia" w:ascii="仿宋" w:hAnsi="仿宋" w:eastAsia="仿宋"/>
          <w:sz w:val="32"/>
          <w:szCs w:val="32"/>
        </w:rPr>
        <w:t>联合使用</w:t>
      </w:r>
      <w:r w:rsidRPr="003C684F">
        <w:rPr>
          <w:rFonts w:hint="eastAsia" w:ascii="仿宋" w:hAnsi="仿宋" w:eastAsia="仿宋"/>
          <w:sz w:val="32"/>
          <w:szCs w:val="32"/>
        </w:rPr>
        <w:t>，适用于既往已接受至少一种治疗方案（包括来那度胺）的多发性骨髓瘤成人患者（欧洲已批准的适应证）。</w:t>
      </w:r>
    </w:p>
    <w:p w:rsidRPr="003C684F" w:rsidR="009730C1" w:rsidRDefault="00A315B9" w14:paraId="7C06C279"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vertAlign w:val="superscript"/>
        </w:rPr>
        <w:lastRenderedPageBreak/>
        <w:t>※</w:t>
      </w:r>
      <w:r w:rsidRPr="003C684F">
        <w:rPr>
          <w:rFonts w:hint="eastAsia" w:ascii="仿宋" w:hAnsi="仿宋" w:eastAsia="仿宋"/>
          <w:sz w:val="32"/>
          <w:szCs w:val="32"/>
        </w:rPr>
        <w:t>12.轻链淀粉样变性：有Ⅰ～Ⅱ期临床研究数据，并被轻链淀粉样变性2021V2版NCCN指南推荐（2A）。</w:t>
      </w:r>
    </w:p>
    <w:p w:rsidRPr="003C684F" w:rsidR="009730C1" w:rsidRDefault="00A315B9" w14:paraId="2A5F8947" w14:textId="07BE1F19">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vertAlign w:val="superscript"/>
        </w:rPr>
        <w:t>※</w:t>
      </w:r>
      <w:r w:rsidRPr="003C684F">
        <w:rPr>
          <w:rFonts w:hint="eastAsia" w:ascii="仿宋" w:hAnsi="仿宋" w:eastAsia="仿宋"/>
          <w:sz w:val="32"/>
          <w:szCs w:val="32"/>
        </w:rPr>
        <w:t>13.原发性中枢神经系统淋巴瘤：有Ⅰ期临床研究数据，并被</w:t>
      </w:r>
      <w:r w:rsidRPr="003C684F" w:rsidR="00D552E9">
        <w:rPr>
          <w:rFonts w:hint="eastAsia" w:ascii="仿宋" w:hAnsi="仿宋" w:eastAsia="仿宋"/>
          <w:sz w:val="32"/>
          <w:szCs w:val="32"/>
        </w:rPr>
        <w:t>原发性</w:t>
      </w:r>
      <w:r w:rsidRPr="003C684F">
        <w:rPr>
          <w:rFonts w:hint="eastAsia" w:ascii="仿宋" w:hAnsi="仿宋" w:eastAsia="仿宋"/>
          <w:sz w:val="32"/>
          <w:szCs w:val="32"/>
        </w:rPr>
        <w:t>中枢神经系统淋巴瘤202</w:t>
      </w:r>
      <w:r w:rsidRPr="003C684F" w:rsidR="00D552E9">
        <w:rPr>
          <w:rFonts w:hint="eastAsia" w:ascii="仿宋" w:hAnsi="仿宋" w:eastAsia="仿宋"/>
          <w:sz w:val="32"/>
          <w:szCs w:val="32"/>
        </w:rPr>
        <w:t>2</w:t>
      </w:r>
      <w:r w:rsidRPr="003C684F">
        <w:rPr>
          <w:rFonts w:hint="eastAsia" w:ascii="仿宋" w:hAnsi="仿宋" w:eastAsia="仿宋"/>
          <w:sz w:val="32"/>
          <w:szCs w:val="32"/>
        </w:rPr>
        <w:t>版NCCN指南推荐（2A）。</w:t>
      </w:r>
    </w:p>
    <w:p w:rsidRPr="003C684F" w:rsidR="009730C1" w:rsidRDefault="00A315B9" w14:paraId="2E22433C"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十五、达雷妥尤单抗 Daratumumab</w:t>
      </w:r>
    </w:p>
    <w:p w:rsidRPr="003C684F" w:rsidR="009730C1" w:rsidRDefault="00A315B9" w14:paraId="737A117C" w14:textId="77777777">
      <w:pPr>
        <w:spacing w:line="360" w:lineRule="auto"/>
        <w:ind w:firstLine="643" w:firstLineChars="200"/>
        <w:rPr>
          <w:rFonts w:ascii="仿宋" w:hAnsi="仿宋" w:eastAsia="仿宋"/>
          <w:bCs/>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bCs/>
          <w:color w:val="000000"/>
          <w:sz w:val="32"/>
          <w:szCs w:val="32"/>
        </w:rPr>
        <w:t>注射</w:t>
      </w:r>
      <w:r w:rsidRPr="003C684F" w:rsidR="00864FE8">
        <w:rPr>
          <w:rFonts w:hint="eastAsia" w:ascii="仿宋" w:hAnsi="仿宋" w:eastAsia="仿宋"/>
          <w:bCs/>
          <w:color w:val="000000"/>
          <w:sz w:val="32"/>
          <w:szCs w:val="32"/>
        </w:rPr>
        <w:t>剂</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100mg</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5ml</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/瓶</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400mg</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20ml</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/瓶</w:t>
      </w:r>
      <w:r w:rsidRPr="003C684F" w:rsidR="00EB298A">
        <w:rPr>
          <w:rFonts w:hint="eastAsia" w:ascii="仿宋" w:hAnsi="仿宋" w:eastAsia="仿宋"/>
          <w:bCs/>
          <w:color w:val="000000"/>
          <w:sz w:val="32"/>
          <w:szCs w:val="32"/>
        </w:rPr>
        <w:t>；皮下注射制剂：1800mg（15ml）/瓶</w:t>
      </w:r>
    </w:p>
    <w:p w:rsidRPr="003C684F" w:rsidR="0019092B" w:rsidRDefault="00A315B9" w14:paraId="2CFDC732"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P="0019092B" w:rsidRDefault="0019092B" w14:paraId="1ECF9A77"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color w:val="000000"/>
          <w:sz w:val="32"/>
          <w:szCs w:val="32"/>
        </w:rPr>
        <w:t>1.</w:t>
      </w:r>
      <w:r w:rsidRPr="003C684F" w:rsidR="00A315B9">
        <w:rPr>
          <w:rFonts w:hint="eastAsia" w:ascii="仿宋" w:hAnsi="仿宋" w:eastAsia="仿宋"/>
          <w:bCs/>
          <w:color w:val="000000"/>
          <w:sz w:val="32"/>
          <w:szCs w:val="32"/>
        </w:rPr>
        <w:t>单药治疗复发和难治性多发性骨髓瘤成年患者，患者既往接受过包括蛋白酶体抑制剂和免疫调节剂的治疗且最后一次治疗时出现疾病进展。</w:t>
      </w:r>
    </w:p>
    <w:p w:rsidRPr="003C684F" w:rsidR="0019092B" w:rsidP="0019092B" w:rsidRDefault="0019092B" w14:paraId="1D657DC8" w14:textId="1D1132FA">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2.与来那度胺和地塞米松</w:t>
      </w:r>
      <w:r w:rsidRPr="003C684F" w:rsidR="00F92328">
        <w:rPr>
          <w:rFonts w:hint="eastAsia" w:ascii="仿宋" w:hAnsi="仿宋" w:eastAsia="仿宋"/>
          <w:bCs/>
          <w:color w:val="000000"/>
          <w:sz w:val="32"/>
          <w:szCs w:val="32"/>
        </w:rPr>
        <w:t>联合使用</w:t>
      </w:r>
      <w:r w:rsidRPr="003C684F">
        <w:rPr>
          <w:rFonts w:hint="eastAsia" w:ascii="仿宋" w:hAnsi="仿宋" w:eastAsia="仿宋"/>
          <w:bCs/>
          <w:color w:val="000000"/>
          <w:sz w:val="32"/>
          <w:szCs w:val="32"/>
        </w:rPr>
        <w:t>或与硼替佐米和地塞米松</w:t>
      </w:r>
      <w:r w:rsidRPr="003C684F" w:rsidR="00F92328">
        <w:rPr>
          <w:rFonts w:hint="eastAsia" w:ascii="仿宋" w:hAnsi="仿宋" w:eastAsia="仿宋"/>
          <w:bCs/>
          <w:color w:val="000000"/>
          <w:sz w:val="32"/>
          <w:szCs w:val="32"/>
        </w:rPr>
        <w:t>联合使用</w:t>
      </w:r>
      <w:r w:rsidRPr="003C684F">
        <w:rPr>
          <w:rFonts w:hint="eastAsia" w:ascii="仿宋" w:hAnsi="仿宋" w:eastAsia="仿宋"/>
          <w:bCs/>
          <w:color w:val="000000"/>
          <w:sz w:val="32"/>
          <w:szCs w:val="32"/>
        </w:rPr>
        <w:t>治疗既往至少接受过一线治疗的多发性骨髓瘤成年患者。</w:t>
      </w:r>
    </w:p>
    <w:p w:rsidRPr="003C684F" w:rsidR="00805590" w:rsidP="00805590" w:rsidRDefault="00805590" w14:paraId="176E0DC8" w14:textId="6C2AF0DA">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3.与来那度胺和地塞米松联合用药或与硼替佐米、美法仑和泼尼松联合用药治疗不适合自体干细胞移植的新诊断的多发性骨髓瘤成年患者。</w:t>
      </w:r>
    </w:p>
    <w:p w:rsidRPr="003C684F" w:rsidR="009730C1" w:rsidRDefault="00A315B9" w14:paraId="59971E1F"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56B7B82" w14:textId="443BCB3D">
      <w:pPr>
        <w:spacing w:line="360" w:lineRule="auto"/>
        <w:ind w:firstLine="640" w:firstLineChars="200"/>
        <w:rPr>
          <w:rFonts w:ascii="仿宋" w:hAnsi="仿宋" w:eastAsia="仿宋"/>
          <w:bCs/>
          <w:color w:val="000000"/>
          <w:sz w:val="32"/>
          <w:szCs w:val="32"/>
        </w:rPr>
      </w:pPr>
      <w:r w:rsidRPr="003C684F">
        <w:rPr>
          <w:rFonts w:hint="eastAsia" w:ascii="仿宋" w:hAnsi="仿宋" w:eastAsia="仿宋"/>
          <w:color w:val="000000"/>
          <w:sz w:val="32"/>
          <w:szCs w:val="32"/>
        </w:rPr>
        <w:t>1.</w:t>
      </w:r>
      <w:r w:rsidRPr="003C684F">
        <w:rPr>
          <w:rFonts w:hint="eastAsia" w:ascii="仿宋" w:hAnsi="仿宋" w:eastAsia="仿宋"/>
          <w:bCs/>
          <w:color w:val="000000"/>
          <w:sz w:val="32"/>
          <w:szCs w:val="32"/>
        </w:rPr>
        <w:t>即刻输注相关反应的处理：达雷妥尤单抗是一种生物制剂，作为一种外源性蛋白与其他靶向性单抗一样，有输注相关反应（</w:t>
      </w:r>
      <w:r w:rsidRPr="003C684F">
        <w:rPr>
          <w:rFonts w:ascii="仿宋" w:hAnsi="仿宋" w:eastAsia="仿宋"/>
          <w:bCs/>
          <w:color w:val="000000"/>
          <w:sz w:val="32"/>
          <w:szCs w:val="32"/>
        </w:rPr>
        <w:t>IRR）。IRR主要表现为鼻塞、咳嗽、咽喉</w:t>
      </w:r>
      <w:r w:rsidRPr="003C684F">
        <w:rPr>
          <w:rFonts w:hint="eastAsia" w:ascii="仿宋" w:hAnsi="仿宋" w:eastAsia="仿宋"/>
          <w:bCs/>
          <w:color w:val="000000"/>
          <w:sz w:val="32"/>
          <w:szCs w:val="32"/>
        </w:rPr>
        <w:t>部刺激感、寒战、恶心和呕吐，严重的</w:t>
      </w:r>
      <w:r w:rsidRPr="003C684F">
        <w:rPr>
          <w:rFonts w:ascii="仿宋" w:hAnsi="仿宋" w:eastAsia="仿宋"/>
          <w:bCs/>
          <w:color w:val="000000"/>
          <w:sz w:val="32"/>
          <w:szCs w:val="32"/>
        </w:rPr>
        <w:t>IRR表现为支气管痉挛，呼</w:t>
      </w:r>
      <w:r w:rsidRPr="003C684F">
        <w:rPr>
          <w:rFonts w:ascii="仿宋" w:hAnsi="仿宋" w:eastAsia="仿宋"/>
          <w:bCs/>
          <w:color w:val="000000"/>
          <w:sz w:val="32"/>
          <w:szCs w:val="32"/>
        </w:rPr>
        <w:lastRenderedPageBreak/>
        <w:t>吸困难，喉头水肿，肺水肿和高血压。</w:t>
      </w:r>
      <w:r w:rsidRPr="003C684F" w:rsidR="00AE0FA2">
        <w:rPr>
          <w:rFonts w:hint="eastAsia" w:ascii="仿宋" w:hAnsi="仿宋" w:eastAsia="仿宋"/>
          <w:bCs/>
          <w:color w:val="000000"/>
          <w:sz w:val="32"/>
          <w:szCs w:val="32"/>
        </w:rPr>
        <w:t>输注</w:t>
      </w:r>
      <w:r w:rsidRPr="003C684F">
        <w:rPr>
          <w:rFonts w:ascii="仿宋" w:hAnsi="仿宋" w:eastAsia="仿宋"/>
          <w:bCs/>
          <w:color w:val="000000"/>
          <w:sz w:val="32"/>
          <w:szCs w:val="32"/>
        </w:rPr>
        <w:t>达雷</w:t>
      </w:r>
      <w:r w:rsidRPr="003C684F">
        <w:rPr>
          <w:rFonts w:hint="eastAsia" w:ascii="仿宋" w:hAnsi="仿宋" w:eastAsia="仿宋"/>
          <w:bCs/>
          <w:color w:val="000000"/>
          <w:sz w:val="32"/>
          <w:szCs w:val="32"/>
        </w:rPr>
        <w:t>妥尤单抗时应严格遵守规定的输注速率以降低输注相关反应的发生风险。对于任何等级</w:t>
      </w:r>
      <w:r w:rsidRPr="003C684F">
        <w:rPr>
          <w:rFonts w:ascii="仿宋" w:hAnsi="仿宋" w:eastAsia="仿宋"/>
          <w:bCs/>
          <w:color w:val="000000"/>
          <w:sz w:val="32"/>
          <w:szCs w:val="32"/>
        </w:rPr>
        <w:t>/严重程度的IRR，应立即中断本品输注并对症治疗。达雷</w:t>
      </w:r>
      <w:r w:rsidRPr="003C684F">
        <w:rPr>
          <w:rFonts w:hint="eastAsia" w:ascii="仿宋" w:hAnsi="仿宋" w:eastAsia="仿宋"/>
          <w:bCs/>
          <w:color w:val="000000"/>
          <w:sz w:val="32"/>
          <w:szCs w:val="32"/>
        </w:rPr>
        <w:t>妥尤单抗</w:t>
      </w:r>
      <w:r w:rsidRPr="003C684F">
        <w:rPr>
          <w:rFonts w:ascii="仿宋" w:hAnsi="仿宋" w:eastAsia="仿宋"/>
          <w:bCs/>
          <w:color w:val="000000"/>
          <w:sz w:val="32"/>
          <w:szCs w:val="32"/>
        </w:rPr>
        <w:t>IRR主要发生在首次输注后约为46%</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发生IRR的中位时间为1.5小时，由于反应引起的输注中断发生率为35%。输液中断后达雷</w:t>
      </w:r>
      <w:r w:rsidRPr="003C684F">
        <w:rPr>
          <w:rFonts w:hint="eastAsia" w:ascii="仿宋" w:hAnsi="仿宋" w:eastAsia="仿宋"/>
          <w:bCs/>
          <w:color w:val="000000"/>
          <w:sz w:val="32"/>
          <w:szCs w:val="32"/>
        </w:rPr>
        <w:t>妥尤单抗可在室温下保存</w:t>
      </w:r>
      <w:r w:rsidRPr="003C684F">
        <w:rPr>
          <w:rFonts w:ascii="仿宋" w:hAnsi="仿宋" w:eastAsia="仿宋"/>
          <w:bCs/>
          <w:color w:val="000000"/>
          <w:sz w:val="32"/>
          <w:szCs w:val="32"/>
        </w:rPr>
        <w:t>15小时（包括输注时间）。发生1</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2级（轻中度）输</w:t>
      </w:r>
      <w:r w:rsidRPr="003C684F">
        <w:rPr>
          <w:rFonts w:hint="eastAsia" w:ascii="仿宋" w:hAnsi="仿宋" w:eastAsia="仿宋"/>
          <w:bCs/>
          <w:color w:val="000000"/>
          <w:sz w:val="32"/>
          <w:szCs w:val="32"/>
        </w:rPr>
        <w:t>注相关反应的症状消退后，可以考虑重新开始输注，但是速率不得大于发生</w:t>
      </w:r>
      <w:r w:rsidRPr="003C684F">
        <w:rPr>
          <w:rFonts w:ascii="仿宋" w:hAnsi="仿宋" w:eastAsia="仿宋"/>
          <w:bCs/>
          <w:color w:val="000000"/>
          <w:sz w:val="32"/>
          <w:szCs w:val="32"/>
        </w:rPr>
        <w:t>IRR</w:t>
      </w:r>
      <w:r w:rsidRPr="003C684F">
        <w:rPr>
          <w:rFonts w:hint="eastAsia" w:ascii="仿宋" w:hAnsi="仿宋" w:eastAsia="仿宋"/>
          <w:bCs/>
          <w:color w:val="000000"/>
          <w:sz w:val="32"/>
          <w:szCs w:val="32"/>
        </w:rPr>
        <w:t>时输注速率的一半。如果患者未发生任何进一步的</w:t>
      </w:r>
      <w:r w:rsidRPr="003C684F">
        <w:rPr>
          <w:rFonts w:ascii="仿宋" w:hAnsi="仿宋" w:eastAsia="仿宋"/>
          <w:bCs/>
          <w:color w:val="000000"/>
          <w:sz w:val="32"/>
          <w:szCs w:val="32"/>
        </w:rPr>
        <w:t>IRR</w:t>
      </w:r>
      <w:r w:rsidRPr="003C684F">
        <w:rPr>
          <w:rFonts w:hint="eastAsia" w:ascii="仿宋" w:hAnsi="仿宋" w:eastAsia="仿宋"/>
          <w:bCs/>
          <w:color w:val="000000"/>
          <w:sz w:val="32"/>
          <w:szCs w:val="32"/>
        </w:rPr>
        <w:t>症状，可以继续递增输注速率，增量和间隔视临床情况而定，直至最大速率</w:t>
      </w:r>
      <w:r w:rsidRPr="003C684F">
        <w:rPr>
          <w:rFonts w:ascii="仿宋" w:hAnsi="仿宋" w:eastAsia="仿宋"/>
          <w:bCs/>
          <w:color w:val="000000"/>
          <w:sz w:val="32"/>
          <w:szCs w:val="32"/>
        </w:rPr>
        <w:t>200ml</w:t>
      </w:r>
      <w:r w:rsidR="00557541">
        <w:rPr>
          <w:rFonts w:ascii="仿宋" w:hAnsi="仿宋" w:eastAsia="仿宋"/>
          <w:bCs/>
          <w:color w:val="000000"/>
          <w:sz w:val="32"/>
          <w:szCs w:val="32"/>
        </w:rPr>
        <w:t>/h</w:t>
      </w:r>
      <w:r w:rsidRPr="003C684F">
        <w:rPr>
          <w:rFonts w:ascii="仿宋" w:hAnsi="仿宋" w:eastAsia="仿宋"/>
          <w:bCs/>
          <w:color w:val="000000"/>
          <w:sz w:val="32"/>
          <w:szCs w:val="32"/>
        </w:rPr>
        <w:t>。发生3级（重度）输</w:t>
      </w:r>
      <w:r w:rsidRPr="003C684F">
        <w:rPr>
          <w:rFonts w:hint="eastAsia" w:ascii="仿宋" w:hAnsi="仿宋" w:eastAsia="仿宋"/>
          <w:bCs/>
          <w:color w:val="000000"/>
          <w:sz w:val="32"/>
          <w:szCs w:val="32"/>
        </w:rPr>
        <w:t>注相关反应的症状消退后，可以考虑重新开始输注，但是速率不得大于发生</w:t>
      </w:r>
      <w:r w:rsidRPr="003C684F">
        <w:rPr>
          <w:rFonts w:ascii="仿宋" w:hAnsi="仿宋" w:eastAsia="仿宋"/>
          <w:bCs/>
          <w:color w:val="000000"/>
          <w:sz w:val="32"/>
          <w:szCs w:val="32"/>
        </w:rPr>
        <w:t>IRR</w:t>
      </w:r>
      <w:r w:rsidRPr="003C684F">
        <w:rPr>
          <w:rFonts w:hint="eastAsia" w:ascii="仿宋" w:hAnsi="仿宋" w:eastAsia="仿宋"/>
          <w:bCs/>
          <w:color w:val="000000"/>
          <w:sz w:val="32"/>
          <w:szCs w:val="32"/>
        </w:rPr>
        <w:t>时输注速率的一半。如果患者没有出现其他症状，可以重新开始递增输注速率，增量和间隔视临床情况而定。如果再次发生</w:t>
      </w:r>
      <w:r w:rsidRPr="003C684F">
        <w:rPr>
          <w:rFonts w:ascii="仿宋" w:hAnsi="仿宋" w:eastAsia="仿宋"/>
          <w:bCs/>
          <w:color w:val="000000"/>
          <w:sz w:val="32"/>
          <w:szCs w:val="32"/>
        </w:rPr>
        <w:t>3级症状，应重复上述步骤。第3次发生≥3级输</w:t>
      </w:r>
      <w:r w:rsidRPr="003C684F">
        <w:rPr>
          <w:rFonts w:hint="eastAsia" w:ascii="仿宋" w:hAnsi="仿宋" w:eastAsia="仿宋"/>
          <w:bCs/>
          <w:color w:val="000000"/>
          <w:sz w:val="32"/>
          <w:szCs w:val="32"/>
        </w:rPr>
        <w:t>注相关反应时，应永久</w:t>
      </w:r>
      <w:r w:rsidRPr="003C684F" w:rsidR="00080B1E">
        <w:rPr>
          <w:rFonts w:hint="eastAsia" w:ascii="仿宋" w:hAnsi="仿宋" w:eastAsia="仿宋"/>
          <w:bCs/>
          <w:color w:val="000000"/>
          <w:sz w:val="32"/>
          <w:szCs w:val="32"/>
        </w:rPr>
        <w:t>停用</w:t>
      </w:r>
      <w:r w:rsidRPr="003C684F">
        <w:rPr>
          <w:rFonts w:hint="eastAsia" w:ascii="仿宋" w:hAnsi="仿宋" w:eastAsia="仿宋"/>
          <w:bCs/>
          <w:color w:val="000000"/>
          <w:sz w:val="32"/>
          <w:szCs w:val="32"/>
        </w:rPr>
        <w:t>。发生</w:t>
      </w:r>
      <w:r w:rsidRPr="003C684F">
        <w:rPr>
          <w:rFonts w:ascii="仿宋" w:hAnsi="仿宋" w:eastAsia="仿宋"/>
          <w:bCs/>
          <w:color w:val="000000"/>
          <w:sz w:val="32"/>
          <w:szCs w:val="32"/>
        </w:rPr>
        <w:t>4级（危及生命）IRR，应永久</w:t>
      </w:r>
      <w:r w:rsidRPr="003C684F" w:rsidR="00080B1E">
        <w:rPr>
          <w:rFonts w:hint="eastAsia" w:ascii="仿宋" w:hAnsi="仿宋" w:eastAsia="仿宋"/>
          <w:bCs/>
          <w:color w:val="000000"/>
          <w:sz w:val="32"/>
          <w:szCs w:val="32"/>
        </w:rPr>
        <w:t>停用</w:t>
      </w:r>
      <w:r w:rsidRPr="003C684F">
        <w:rPr>
          <w:rFonts w:ascii="仿宋" w:hAnsi="仿宋" w:eastAsia="仿宋"/>
          <w:bCs/>
          <w:color w:val="000000"/>
          <w:sz w:val="32"/>
          <w:szCs w:val="32"/>
        </w:rPr>
        <w:t>。每次输注本品前1</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3小时给予所有患者以下输注前用药，可以降低IRR风险：</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1）</w:t>
      </w:r>
      <w:r w:rsidRPr="003C684F">
        <w:rPr>
          <w:rFonts w:hint="eastAsia" w:ascii="仿宋" w:hAnsi="仿宋" w:eastAsia="仿宋"/>
          <w:bCs/>
          <w:color w:val="000000"/>
          <w:sz w:val="32"/>
          <w:szCs w:val="32"/>
        </w:rPr>
        <w:t>糖皮质激素（长效或中效）：静脉输注</w:t>
      </w:r>
      <w:r w:rsidRPr="003C684F">
        <w:rPr>
          <w:rFonts w:ascii="仿宋" w:hAnsi="仿宋" w:eastAsia="仿宋"/>
          <w:bCs/>
          <w:color w:val="000000"/>
          <w:sz w:val="32"/>
          <w:szCs w:val="32"/>
        </w:rPr>
        <w:t>100mg甲泼尼龙或等效药物。在第2次输注后，可以减少糖皮质激素剂量（口服或静脉内给予甲泼尼龙60mg）。</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2）退热剂（口服对乙酰氨基</w:t>
      </w:r>
      <w:r w:rsidRPr="003C684F">
        <w:rPr>
          <w:rFonts w:hint="eastAsia" w:ascii="仿宋" w:hAnsi="仿宋" w:eastAsia="仿宋"/>
          <w:bCs/>
          <w:color w:val="000000"/>
          <w:sz w:val="32"/>
          <w:szCs w:val="32"/>
        </w:rPr>
        <w:t>酚</w:t>
      </w:r>
      <w:r w:rsidRPr="003C684F">
        <w:rPr>
          <w:rFonts w:ascii="仿宋" w:hAnsi="仿宋" w:eastAsia="仿宋"/>
          <w:bCs/>
          <w:color w:val="000000"/>
          <w:sz w:val="32"/>
          <w:szCs w:val="32"/>
        </w:rPr>
        <w:t>650</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1000mg）。</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3）</w:t>
      </w:r>
      <w:r w:rsidR="00033474">
        <w:rPr>
          <w:rFonts w:ascii="仿宋" w:hAnsi="仿宋" w:eastAsia="仿宋"/>
          <w:bCs/>
          <w:color w:val="000000"/>
          <w:sz w:val="32"/>
          <w:szCs w:val="32"/>
        </w:rPr>
        <w:t>H</w:t>
      </w:r>
      <w:r w:rsidRPr="00033474" w:rsidR="00033474">
        <w:rPr>
          <w:rFonts w:ascii="仿宋" w:hAnsi="仿宋" w:eastAsia="仿宋"/>
          <w:bCs/>
          <w:color w:val="000000"/>
          <w:sz w:val="32"/>
          <w:szCs w:val="32"/>
          <w:vertAlign w:val="subscript"/>
        </w:rPr>
        <w:t>1</w:t>
      </w:r>
      <w:r w:rsidR="00033474">
        <w:rPr>
          <w:rFonts w:ascii="仿宋" w:hAnsi="仿宋" w:eastAsia="仿宋"/>
          <w:bCs/>
          <w:color w:val="000000"/>
          <w:sz w:val="32"/>
          <w:szCs w:val="32"/>
        </w:rPr>
        <w:t>受体阻滞剂</w:t>
      </w:r>
      <w:r w:rsidRPr="003C684F">
        <w:rPr>
          <w:rFonts w:ascii="仿宋" w:hAnsi="仿宋" w:eastAsia="仿宋"/>
          <w:bCs/>
          <w:color w:val="000000"/>
          <w:sz w:val="32"/>
          <w:szCs w:val="32"/>
        </w:rPr>
        <w:t>（口服或静脉内给予苯海拉明</w:t>
      </w:r>
      <w:r w:rsidRPr="003C684F">
        <w:rPr>
          <w:rFonts w:ascii="仿宋" w:hAnsi="仿宋" w:eastAsia="仿宋"/>
          <w:bCs/>
          <w:color w:val="000000"/>
          <w:sz w:val="32"/>
          <w:szCs w:val="32"/>
        </w:rPr>
        <w:lastRenderedPageBreak/>
        <w:t>25</w:t>
      </w:r>
      <w:r w:rsidRPr="003C684F">
        <w:rPr>
          <w:rFonts w:hint="eastAsia" w:ascii="仿宋" w:hAnsi="仿宋" w:eastAsia="仿宋"/>
          <w:bCs/>
          <w:color w:val="000000"/>
          <w:sz w:val="32"/>
          <w:szCs w:val="32"/>
        </w:rPr>
        <w:t>～</w:t>
      </w:r>
      <w:r w:rsidRPr="003C684F">
        <w:rPr>
          <w:rFonts w:ascii="仿宋" w:hAnsi="仿宋" w:eastAsia="仿宋"/>
          <w:bCs/>
          <w:color w:val="000000"/>
          <w:sz w:val="32"/>
          <w:szCs w:val="32"/>
        </w:rPr>
        <w:t>50mg或等效药物）。</w:t>
      </w:r>
    </w:p>
    <w:p w:rsidRPr="003C684F" w:rsidR="009730C1" w:rsidRDefault="00A315B9" w14:paraId="576DE173" w14:textId="09C49904">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2.迟发性输注相关反应：表现为延迟发热。可在每次输注本品后</w:t>
      </w:r>
      <w:r w:rsidRPr="003C684F">
        <w:rPr>
          <w:rFonts w:ascii="仿宋" w:hAnsi="仿宋" w:eastAsia="仿宋"/>
          <w:bCs/>
          <w:color w:val="000000"/>
          <w:sz w:val="32"/>
          <w:szCs w:val="32"/>
        </w:rPr>
        <w:t>2天（从输注后次日开始）每天给予口服糖皮质激素（20mg甲泼尼龙或等效剂量的糖皮质激素，视当地标准而定）降低迟发性输</w:t>
      </w:r>
      <w:r w:rsidRPr="003C684F">
        <w:rPr>
          <w:rFonts w:hint="eastAsia" w:ascii="仿宋" w:hAnsi="仿宋" w:eastAsia="仿宋"/>
          <w:bCs/>
          <w:color w:val="000000"/>
          <w:sz w:val="32"/>
          <w:szCs w:val="32"/>
        </w:rPr>
        <w:t>注相关反应的风险。另外，对于患有慢性阻塞性肺疾病病史的患者，应考虑使用包括短效和长效支气管扩张剂以及吸入性糖皮质激素在内的输注后用药。在前四次输注之后，如果患者没有发生重大</w:t>
      </w:r>
      <w:r w:rsidRPr="003C684F">
        <w:rPr>
          <w:rFonts w:ascii="仿宋" w:hAnsi="仿宋" w:eastAsia="仿宋"/>
          <w:bCs/>
          <w:color w:val="000000"/>
          <w:sz w:val="32"/>
          <w:szCs w:val="32"/>
        </w:rPr>
        <w:t>IRR，则可以由医师自行决定停用这些吸入性输注后药物。</w:t>
      </w:r>
    </w:p>
    <w:p w:rsidRPr="003C684F" w:rsidR="009730C1" w:rsidRDefault="00A315B9" w14:paraId="2D6ECD99"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3.对血型判定的影响以及输血策略：达雷妥尤单抗可以与红细胞膜表面低水平表达的</w:t>
      </w:r>
      <w:r w:rsidRPr="003C684F">
        <w:rPr>
          <w:rFonts w:ascii="仿宋" w:hAnsi="仿宋" w:eastAsia="仿宋"/>
          <w:bCs/>
          <w:color w:val="000000"/>
          <w:sz w:val="32"/>
          <w:szCs w:val="32"/>
        </w:rPr>
        <w:t>CD38抗原结合，造成交叉配血过程中的间接抗人球蛋白试验假阳性，干扰配血，这种假阳性可能持续到末次输注达雷</w:t>
      </w:r>
      <w:r w:rsidRPr="003C684F">
        <w:rPr>
          <w:rFonts w:hint="eastAsia" w:ascii="仿宋" w:hAnsi="仿宋" w:eastAsia="仿宋"/>
          <w:bCs/>
          <w:color w:val="000000"/>
          <w:sz w:val="32"/>
          <w:szCs w:val="32"/>
        </w:rPr>
        <w:t>妥尤单抗后</w:t>
      </w:r>
      <w:r w:rsidRPr="003C684F">
        <w:rPr>
          <w:rFonts w:ascii="仿宋" w:hAnsi="仿宋" w:eastAsia="仿宋"/>
          <w:bCs/>
          <w:color w:val="000000"/>
          <w:sz w:val="32"/>
          <w:szCs w:val="32"/>
        </w:rPr>
        <w:t>6个月。应在患者开始达雷</w:t>
      </w:r>
      <w:r w:rsidRPr="003C684F">
        <w:rPr>
          <w:rFonts w:hint="eastAsia" w:ascii="仿宋" w:hAnsi="仿宋" w:eastAsia="仿宋"/>
          <w:bCs/>
          <w:color w:val="000000"/>
          <w:sz w:val="32"/>
          <w:szCs w:val="32"/>
        </w:rPr>
        <w:t>妥尤单抗治疗前完成血型判定并进行抗体筛查。在计划输血的情况下，应通知输血中心这一间接抗球蛋白试验的干扰因素。应用二硫苏糖醇</w:t>
      </w:r>
      <w:r w:rsidRPr="003C684F">
        <w:rPr>
          <w:rFonts w:ascii="仿宋" w:hAnsi="仿宋" w:eastAsia="仿宋"/>
          <w:bCs/>
          <w:color w:val="000000"/>
          <w:sz w:val="32"/>
          <w:szCs w:val="32"/>
        </w:rPr>
        <w:t>处理待检患者红细胞是处理方法之一。红细胞基因分型不受达雷</w:t>
      </w:r>
      <w:r w:rsidRPr="003C684F">
        <w:rPr>
          <w:rFonts w:hint="eastAsia" w:ascii="仿宋" w:hAnsi="仿宋" w:eastAsia="仿宋"/>
          <w:bCs/>
          <w:color w:val="000000"/>
          <w:sz w:val="32"/>
          <w:szCs w:val="32"/>
        </w:rPr>
        <w:t>妥尤单抗的影响，可以随时进行。</w:t>
      </w:r>
    </w:p>
    <w:p w:rsidRPr="003C684F" w:rsidR="009730C1" w:rsidRDefault="00A315B9" w14:paraId="0ED231BD"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4.达雷妥尤单抗有骨髓抑制，应用后需要注意血常规的监测。</w:t>
      </w:r>
    </w:p>
    <w:p w:rsidRPr="003C684F" w:rsidR="009730C1" w:rsidRDefault="00A315B9" w14:paraId="30CADA41" w14:textId="37DD756A">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5.达雷妥尤单抗可能会引起带状疱疹感染风险增加，约</w:t>
      </w:r>
      <w:r w:rsidRPr="003C684F" w:rsidR="00547D1C">
        <w:rPr>
          <w:rFonts w:hint="eastAsia" w:ascii="仿宋" w:hAnsi="仿宋" w:eastAsia="仿宋"/>
          <w:bCs/>
          <w:color w:val="000000"/>
          <w:sz w:val="32"/>
          <w:szCs w:val="32"/>
        </w:rPr>
        <w:t>4</w:t>
      </w:r>
      <w:r w:rsidRPr="003C684F">
        <w:rPr>
          <w:rFonts w:ascii="仿宋" w:hAnsi="仿宋" w:eastAsia="仿宋"/>
          <w:bCs/>
          <w:color w:val="000000"/>
          <w:sz w:val="32"/>
          <w:szCs w:val="32"/>
        </w:rPr>
        <w:t>%的患者报告了带状疱疹再激活。无论单药使用还是与其他</w:t>
      </w:r>
      <w:r w:rsidRPr="003C684F">
        <w:rPr>
          <w:rFonts w:ascii="仿宋" w:hAnsi="仿宋" w:eastAsia="仿宋"/>
          <w:bCs/>
          <w:color w:val="000000"/>
          <w:sz w:val="32"/>
          <w:szCs w:val="32"/>
        </w:rPr>
        <w:lastRenderedPageBreak/>
        <w:t>任意方案</w:t>
      </w:r>
      <w:r w:rsidRPr="003C684F" w:rsidR="00DE313C">
        <w:rPr>
          <w:rFonts w:ascii="仿宋" w:hAnsi="仿宋" w:eastAsia="仿宋"/>
          <w:bCs/>
          <w:color w:val="000000"/>
          <w:sz w:val="32"/>
          <w:szCs w:val="32"/>
        </w:rPr>
        <w:t>联合使用</w:t>
      </w:r>
      <w:r w:rsidRPr="003C684F">
        <w:rPr>
          <w:rFonts w:ascii="仿宋" w:hAnsi="仿宋" w:eastAsia="仿宋"/>
          <w:bCs/>
          <w:color w:val="000000"/>
          <w:sz w:val="32"/>
          <w:szCs w:val="32"/>
        </w:rPr>
        <w:t>，都推荐使用抗病毒预防性治疗来预防带状疱疹病毒再激活。</w:t>
      </w:r>
    </w:p>
    <w:p w:rsidRPr="003C684F" w:rsidR="009730C1" w:rsidRDefault="00A315B9" w14:paraId="7123CB19" w14:textId="7E49DA8A">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6.在伴有肝肾功能损伤患者中</w:t>
      </w:r>
      <w:r w:rsidRPr="003C684F" w:rsidR="00BD154E">
        <w:rPr>
          <w:rFonts w:hint="eastAsia" w:ascii="仿宋" w:hAnsi="仿宋" w:eastAsia="仿宋"/>
          <w:bCs/>
          <w:color w:val="000000"/>
          <w:sz w:val="32"/>
          <w:szCs w:val="32"/>
        </w:rPr>
        <w:t>无需</w:t>
      </w:r>
      <w:r w:rsidRPr="003C684F">
        <w:rPr>
          <w:rFonts w:hint="eastAsia" w:ascii="仿宋" w:hAnsi="仿宋" w:eastAsia="仿宋"/>
          <w:bCs/>
          <w:color w:val="000000"/>
          <w:sz w:val="32"/>
          <w:szCs w:val="32"/>
        </w:rPr>
        <w:t>调整达雷妥尤单抗剂量。</w:t>
      </w:r>
    </w:p>
    <w:p w:rsidRPr="003C684F" w:rsidR="009730C1" w:rsidRDefault="00A315B9" w14:paraId="053375F9" w14:textId="77777777">
      <w:pPr>
        <w:spacing w:line="360" w:lineRule="auto"/>
        <w:ind w:firstLine="640" w:firstLineChars="200"/>
        <w:rPr>
          <w:rFonts w:ascii="仿宋" w:hAnsi="仿宋" w:eastAsia="仿宋"/>
          <w:bCs/>
          <w:color w:val="000000"/>
          <w:sz w:val="32"/>
          <w:szCs w:val="32"/>
        </w:rPr>
      </w:pPr>
      <w:r w:rsidRPr="003C684F">
        <w:rPr>
          <w:rFonts w:hint="eastAsia" w:ascii="仿宋" w:hAnsi="仿宋" w:eastAsia="仿宋"/>
          <w:bCs/>
          <w:color w:val="000000"/>
          <w:sz w:val="32"/>
          <w:szCs w:val="32"/>
        </w:rPr>
        <w:t>7.在接受本品治疗的患者中，有乙肝病毒再</w:t>
      </w:r>
      <w:r w:rsidRPr="003C684F" w:rsidR="00547D1C">
        <w:rPr>
          <w:rFonts w:hint="eastAsia" w:ascii="仿宋" w:hAnsi="仿宋" w:eastAsia="仿宋"/>
          <w:bCs/>
          <w:color w:val="000000"/>
          <w:sz w:val="32"/>
          <w:szCs w:val="32"/>
        </w:rPr>
        <w:t>激活</w:t>
      </w:r>
      <w:r w:rsidRPr="003C684F">
        <w:rPr>
          <w:rFonts w:hint="eastAsia" w:ascii="仿宋" w:hAnsi="仿宋" w:eastAsia="仿宋"/>
          <w:bCs/>
          <w:color w:val="000000"/>
          <w:sz w:val="32"/>
          <w:szCs w:val="32"/>
        </w:rPr>
        <w:t>的风险。在使用达雷妥尤单抗治疗前应进行</w:t>
      </w:r>
      <w:r w:rsidRPr="003C684F">
        <w:rPr>
          <w:rFonts w:ascii="仿宋" w:hAnsi="仿宋" w:eastAsia="仿宋"/>
          <w:bCs/>
          <w:color w:val="000000"/>
          <w:sz w:val="32"/>
          <w:szCs w:val="32"/>
        </w:rPr>
        <w:t>乙肝病毒筛查，乙肝病毒携带者应预防性使用抑制病毒复制的药物及监测病毒载量；在达雷</w:t>
      </w:r>
      <w:r w:rsidRPr="003C684F">
        <w:rPr>
          <w:rFonts w:hint="eastAsia" w:ascii="仿宋" w:hAnsi="仿宋" w:eastAsia="仿宋"/>
          <w:bCs/>
          <w:color w:val="000000"/>
          <w:sz w:val="32"/>
          <w:szCs w:val="32"/>
        </w:rPr>
        <w:t>妥尤单抗治疗中，若出现</w:t>
      </w:r>
      <w:r w:rsidRPr="003C684F">
        <w:rPr>
          <w:rFonts w:ascii="仿宋" w:hAnsi="仿宋" w:eastAsia="仿宋"/>
          <w:bCs/>
          <w:color w:val="000000"/>
          <w:sz w:val="32"/>
          <w:szCs w:val="32"/>
        </w:rPr>
        <w:t>乙肝病毒再激活的患者，应停止使用达雷</w:t>
      </w:r>
      <w:r w:rsidRPr="003C684F">
        <w:rPr>
          <w:rFonts w:hint="eastAsia" w:ascii="仿宋" w:hAnsi="仿宋" w:eastAsia="仿宋"/>
          <w:bCs/>
          <w:color w:val="000000"/>
          <w:sz w:val="32"/>
          <w:szCs w:val="32"/>
        </w:rPr>
        <w:t>妥尤单抗及任何联合激素、化疗，并给予适当的治疗。对于</w:t>
      </w:r>
      <w:r w:rsidRPr="003C684F">
        <w:rPr>
          <w:rFonts w:ascii="仿宋" w:hAnsi="仿宋" w:eastAsia="仿宋"/>
          <w:bCs/>
          <w:color w:val="000000"/>
          <w:sz w:val="32"/>
          <w:szCs w:val="32"/>
        </w:rPr>
        <w:t>乙肝病毒血清学检测结果呈阳性的患者，应在本品治疗期间以及治疗结束后至少6个月内监测乙肝病毒再激活的临床和实验室指征。</w:t>
      </w:r>
    </w:p>
    <w:p w:rsidRPr="003C684F" w:rsidR="009730C1" w:rsidRDefault="00A315B9" w14:paraId="2241768C"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bCs/>
          <w:color w:val="000000"/>
          <w:sz w:val="32"/>
          <w:szCs w:val="32"/>
        </w:rPr>
        <w:t>8.其他治疗：达雷妥尤单抗联合地塞米松及硼替佐米用于初诊的系统性轻链型淀粉样变中的</w:t>
      </w:r>
      <w:r w:rsidRPr="003C684F">
        <w:rPr>
          <w:rFonts w:hint="eastAsia" w:ascii="仿宋" w:hAnsi="仿宋" w:eastAsia="仿宋"/>
          <w:color w:val="000000"/>
          <w:sz w:val="32"/>
          <w:szCs w:val="32"/>
        </w:rPr>
        <w:t>Ⅲ</w:t>
      </w:r>
      <w:r w:rsidRPr="003C684F">
        <w:rPr>
          <w:rFonts w:ascii="仿宋" w:hAnsi="仿宋" w:eastAsia="仿宋"/>
          <w:bCs/>
          <w:color w:val="000000"/>
          <w:sz w:val="32"/>
          <w:szCs w:val="32"/>
        </w:rPr>
        <w:t>期临床试验在进行中，中期分析含达雷</w:t>
      </w:r>
      <w:r w:rsidRPr="003C684F">
        <w:rPr>
          <w:rFonts w:hint="eastAsia" w:ascii="仿宋" w:hAnsi="仿宋" w:eastAsia="仿宋"/>
          <w:bCs/>
          <w:color w:val="000000"/>
          <w:sz w:val="32"/>
          <w:szCs w:val="32"/>
        </w:rPr>
        <w:t>妥尤单抗组较对照组血液学缓解率明显增加。</w:t>
      </w:r>
      <w:r w:rsidRPr="003C684F">
        <w:rPr>
          <w:rFonts w:ascii="仿宋" w:hAnsi="仿宋" w:eastAsia="仿宋"/>
          <w:bCs/>
          <w:color w:val="000000"/>
          <w:sz w:val="32"/>
          <w:szCs w:val="32"/>
        </w:rPr>
        <w:t>达雷</w:t>
      </w:r>
      <w:r w:rsidRPr="003C684F">
        <w:rPr>
          <w:rFonts w:hint="eastAsia" w:ascii="仿宋" w:hAnsi="仿宋" w:eastAsia="仿宋"/>
          <w:bCs/>
          <w:color w:val="000000"/>
          <w:sz w:val="32"/>
          <w:szCs w:val="32"/>
        </w:rPr>
        <w:t>妥尤单抗联合其他药物在</w:t>
      </w:r>
      <w:r w:rsidRPr="003C684F">
        <w:rPr>
          <w:rFonts w:ascii="仿宋" w:hAnsi="仿宋" w:eastAsia="仿宋"/>
          <w:bCs/>
          <w:color w:val="000000"/>
          <w:sz w:val="32"/>
          <w:szCs w:val="32"/>
        </w:rPr>
        <w:t>NCCN指南已经获</w:t>
      </w:r>
      <w:r w:rsidRPr="003C684F">
        <w:rPr>
          <w:rFonts w:hint="eastAsia" w:ascii="仿宋" w:hAnsi="仿宋" w:eastAsia="仿宋"/>
          <w:bCs/>
          <w:color w:val="000000"/>
          <w:sz w:val="32"/>
          <w:szCs w:val="32"/>
        </w:rPr>
        <w:t>批用于难治复发以及初治多发性骨髓瘤</w:t>
      </w:r>
      <w:r w:rsidRPr="003C684F">
        <w:rPr>
          <w:rFonts w:ascii="仿宋" w:hAnsi="仿宋" w:eastAsia="仿宋"/>
          <w:bCs/>
          <w:color w:val="000000"/>
          <w:sz w:val="32"/>
          <w:szCs w:val="32"/>
        </w:rPr>
        <w:t>患者治疗，</w:t>
      </w:r>
      <w:r w:rsidRPr="003C684F" w:rsidR="00D077CD">
        <w:rPr>
          <w:rFonts w:hint="eastAsia" w:ascii="仿宋" w:hAnsi="仿宋" w:eastAsia="仿宋"/>
          <w:bCs/>
          <w:color w:val="000000"/>
          <w:sz w:val="32"/>
          <w:szCs w:val="32"/>
        </w:rPr>
        <w:t>还</w:t>
      </w:r>
      <w:r w:rsidRPr="003C684F">
        <w:rPr>
          <w:rFonts w:ascii="仿宋" w:hAnsi="仿宋" w:eastAsia="仿宋"/>
          <w:bCs/>
          <w:color w:val="000000"/>
          <w:sz w:val="32"/>
          <w:szCs w:val="32"/>
        </w:rPr>
        <w:t>包括</w:t>
      </w:r>
      <w:r w:rsidRPr="003C684F">
        <w:rPr>
          <w:rFonts w:hint="eastAsia" w:ascii="仿宋" w:hAnsi="仿宋" w:eastAsia="仿宋"/>
          <w:bCs/>
          <w:color w:val="000000"/>
          <w:sz w:val="32"/>
          <w:szCs w:val="32"/>
        </w:rPr>
        <w:t>达雷妥尤单抗联合硼替佐米、美法仑及醋酸泼尼松用于老年初治患者，达雷妥尤单抗联合硼替佐米、沙利度胺及地塞米松用于年轻初治患者。</w:t>
      </w:r>
    </w:p>
    <w:p w:rsidRPr="003C684F" w:rsidR="009730C1" w:rsidP="0037660B" w:rsidRDefault="00A315B9" w14:paraId="446DAF54" w14:textId="77777777">
      <w:pPr>
        <w:spacing w:line="360" w:lineRule="auto"/>
        <w:ind w:firstLine="640" w:firstLineChars="200"/>
        <w:outlineLvl w:val="0"/>
        <w:rPr>
          <w:rFonts w:ascii="黑体" w:hAnsi="黑体" w:eastAsia="黑体"/>
          <w:sz w:val="32"/>
          <w:szCs w:val="32"/>
        </w:rPr>
      </w:pPr>
      <w:r w:rsidRPr="003C684F">
        <w:rPr>
          <w:rFonts w:hint="eastAsia" w:ascii="黑体" w:hAnsi="黑体" w:eastAsia="黑体"/>
          <w:sz w:val="32"/>
          <w:szCs w:val="32"/>
        </w:rPr>
        <w:t xml:space="preserve">十六、塞利尼索 </w:t>
      </w:r>
      <w:r w:rsidRPr="003C684F">
        <w:rPr>
          <w:rFonts w:ascii="黑体" w:hAnsi="黑体" w:eastAsia="黑体"/>
          <w:sz w:val="32"/>
          <w:szCs w:val="32"/>
        </w:rPr>
        <w:t xml:space="preserve">Selinexor </w:t>
      </w:r>
    </w:p>
    <w:p w:rsidRPr="003C684F" w:rsidR="009730C1" w:rsidRDefault="00A315B9" w14:paraId="3EEBF485"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20</w:t>
      </w:r>
      <w:r w:rsidRPr="003C684F">
        <w:rPr>
          <w:rFonts w:hint="eastAsia" w:ascii="仿宋" w:hAnsi="仿宋" w:eastAsia="仿宋" w:cs="仿宋"/>
          <w:sz w:val="32"/>
          <w:szCs w:val="32"/>
        </w:rPr>
        <w:t>mg</w:t>
      </w:r>
    </w:p>
    <w:p w:rsidRPr="003C684F" w:rsidR="009730C1" w:rsidRDefault="00A315B9" w14:paraId="7D106555" w14:textId="675A59EA">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lastRenderedPageBreak/>
        <w:t>适应证：</w:t>
      </w:r>
      <w:r w:rsidRPr="003C684F">
        <w:rPr>
          <w:rFonts w:hint="eastAsia" w:ascii="仿宋" w:hAnsi="仿宋" w:eastAsia="仿宋" w:cs="仿宋"/>
          <w:sz w:val="32"/>
          <w:szCs w:val="32"/>
        </w:rPr>
        <w:t>本品与地塞米松</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，适用于既往接受过治疗且对至少</w:t>
      </w:r>
      <w:r w:rsidRPr="003C684F" w:rsidR="006239E3">
        <w:rPr>
          <w:rFonts w:hint="eastAsia" w:ascii="仿宋" w:hAnsi="仿宋" w:eastAsia="仿宋" w:cs="仿宋"/>
          <w:sz w:val="32"/>
          <w:szCs w:val="32"/>
        </w:rPr>
        <w:t>应用</w:t>
      </w:r>
      <w:r w:rsidRPr="003C684F">
        <w:rPr>
          <w:rFonts w:hint="eastAsia" w:ascii="仿宋" w:hAnsi="仿宋" w:eastAsia="仿宋" w:cs="仿宋"/>
          <w:sz w:val="32"/>
          <w:szCs w:val="32"/>
        </w:rPr>
        <w:t>一种蛋白酶体抑制剂、一种免疫调节剂以及一种抗</w:t>
      </w:r>
      <w:r w:rsidRPr="003C684F">
        <w:rPr>
          <w:rFonts w:ascii="仿宋" w:hAnsi="仿宋" w:eastAsia="仿宋" w:cs="仿宋"/>
          <w:sz w:val="32"/>
          <w:szCs w:val="32"/>
        </w:rPr>
        <w:t>CD38单抗难治的复发或难治性多发性骨髓瘤成人患者。</w:t>
      </w:r>
    </w:p>
    <w:p w:rsidRPr="003C684F" w:rsidR="009730C1" w:rsidRDefault="00A315B9" w14:paraId="790C77F8"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合理用药要点：</w:t>
      </w:r>
    </w:p>
    <w:p w:rsidRPr="003C684F" w:rsidR="00A52852" w:rsidP="00A52852" w:rsidRDefault="00A52852" w14:paraId="78A91A20" w14:textId="65BFE06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1.本品推荐剂量为80mg/次，每周第1和第3天</w:t>
      </w:r>
      <w:r w:rsidRPr="003C684F" w:rsidR="00C8227F">
        <w:rPr>
          <w:rFonts w:hint="eastAsia" w:ascii="仿宋" w:hAnsi="仿宋" w:eastAsia="仿宋" w:cs="仿宋"/>
          <w:sz w:val="32"/>
          <w:szCs w:val="32"/>
        </w:rPr>
        <w:t>，</w:t>
      </w:r>
      <w:r w:rsidRPr="003C684F">
        <w:rPr>
          <w:rFonts w:hint="eastAsia" w:ascii="仿宋" w:hAnsi="仿宋" w:eastAsia="仿宋" w:cs="仿宋"/>
          <w:sz w:val="32"/>
          <w:szCs w:val="32"/>
        </w:rPr>
        <w:t>口服。应在每个服药日大致相同时间服用，片剂应整片吞服</w:t>
      </w:r>
      <w:r w:rsidRPr="003C684F" w:rsidR="00B673E1">
        <w:rPr>
          <w:rFonts w:hint="eastAsia" w:ascii="仿宋" w:hAnsi="仿宋" w:eastAsia="仿宋" w:cs="仿宋"/>
          <w:sz w:val="32"/>
          <w:szCs w:val="32"/>
        </w:rPr>
        <w:t>，</w:t>
      </w:r>
      <w:r w:rsidRPr="003C684F">
        <w:rPr>
          <w:rFonts w:hint="eastAsia" w:ascii="仿宋" w:hAnsi="仿宋" w:eastAsia="仿宋" w:cs="仿宋"/>
          <w:sz w:val="32"/>
          <w:szCs w:val="32"/>
        </w:rPr>
        <w:t>可以餐后或空腹服用。</w:t>
      </w:r>
    </w:p>
    <w:p w:rsidRPr="003C684F" w:rsidR="009730C1" w:rsidRDefault="00B673E1" w14:paraId="6E635C4D" w14:textId="54CF686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塞利尼索与化疗药物、蛋白酶体抑制剂、免疫调节剂和C</w:t>
      </w:r>
      <w:r w:rsidRPr="003C684F" w:rsidR="00A315B9">
        <w:rPr>
          <w:rFonts w:ascii="仿宋" w:hAnsi="仿宋" w:eastAsia="仿宋" w:cs="仿宋"/>
          <w:sz w:val="32"/>
          <w:szCs w:val="32"/>
        </w:rPr>
        <w:t>D38</w:t>
      </w:r>
      <w:r w:rsidRPr="003C684F" w:rsidR="00A315B9">
        <w:rPr>
          <w:rFonts w:hint="eastAsia" w:ascii="仿宋" w:hAnsi="仿宋" w:eastAsia="仿宋" w:cs="仿宋"/>
          <w:sz w:val="32"/>
          <w:szCs w:val="32"/>
        </w:rPr>
        <w:t>单抗有协同增效作用</w:t>
      </w:r>
      <w:r w:rsidRPr="003C684F" w:rsidR="00A315B9">
        <w:rPr>
          <w:rFonts w:ascii="仿宋" w:hAnsi="仿宋" w:eastAsia="仿宋" w:cs="仿宋"/>
          <w:sz w:val="32"/>
          <w:szCs w:val="32"/>
        </w:rPr>
        <w:t>。</w:t>
      </w:r>
    </w:p>
    <w:p w:rsidRPr="003C684F" w:rsidR="009730C1" w:rsidRDefault="00B673E1" w14:paraId="74D8F5DF" w14:textId="062A467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塞利尼索不良事件的发生主要集中在前</w:t>
      </w:r>
      <w:r w:rsidRPr="003C684F" w:rsidR="00A315B9">
        <w:rPr>
          <w:rFonts w:ascii="仿宋" w:hAnsi="仿宋" w:eastAsia="仿宋" w:cs="仿宋"/>
          <w:sz w:val="32"/>
          <w:szCs w:val="32"/>
        </w:rPr>
        <w:t>2个治疗周期内，应当密切关注和监测，建议每周需要监测全血细胞计数、血生化（电解质）、体重等，严重情况下每周监测两次。</w:t>
      </w:r>
    </w:p>
    <w:p w:rsidRPr="003C684F" w:rsidR="009730C1" w:rsidRDefault="00B673E1" w14:paraId="425D6E9D" w14:textId="5F43F8E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对于恶心、呕吐的临床处理，预防大于治疗，建议在用药前给予积极预防抗恶心、呕吐治疗。</w:t>
      </w:r>
      <w:r w:rsidRPr="003C684F" w:rsidR="00A315B9">
        <w:rPr>
          <w:rFonts w:ascii="仿宋" w:hAnsi="仿宋" w:eastAsia="仿宋" w:cs="仿宋"/>
          <w:sz w:val="32"/>
          <w:szCs w:val="32"/>
        </w:rPr>
        <w:t>BOSTON研究中发现约1/3患者在第1个治疗周期会有恶心发生，但是在第2个周期发生率会降低50%，完成前2个治疗周期后超过90%的患者不会再经历恶心</w:t>
      </w:r>
      <w:r w:rsidRPr="003C684F" w:rsidR="00A315B9">
        <w:rPr>
          <w:rFonts w:hint="eastAsia" w:ascii="仿宋" w:hAnsi="仿宋" w:eastAsia="仿宋" w:cs="仿宋"/>
          <w:sz w:val="32"/>
          <w:szCs w:val="32"/>
        </w:rPr>
        <w:t>，</w:t>
      </w:r>
      <w:r w:rsidRPr="003C684F" w:rsidR="00A315B9">
        <w:rPr>
          <w:rFonts w:ascii="仿宋" w:hAnsi="仿宋" w:eastAsia="仿宋" w:cs="仿宋"/>
          <w:sz w:val="32"/>
          <w:szCs w:val="32"/>
        </w:rPr>
        <w:t>症状也会在后续治疗中明显改善</w:t>
      </w:r>
      <w:r w:rsidRPr="003C684F" w:rsidR="00A315B9">
        <w:rPr>
          <w:rFonts w:hint="eastAsia" w:ascii="仿宋" w:hAnsi="仿宋" w:eastAsia="仿宋" w:cs="仿宋"/>
          <w:sz w:val="32"/>
          <w:szCs w:val="32"/>
        </w:rPr>
        <w:t>，</w:t>
      </w:r>
      <w:r w:rsidRPr="003C684F" w:rsidR="00A315B9">
        <w:rPr>
          <w:rFonts w:ascii="仿宋" w:hAnsi="仿宋" w:eastAsia="仿宋" w:cs="仿宋"/>
          <w:sz w:val="32"/>
          <w:szCs w:val="32"/>
        </w:rPr>
        <w:t>建议给予患者积极支持治疗和教育，而非在第1个治疗周期后停药。</w:t>
      </w:r>
    </w:p>
    <w:p w:rsidRPr="003C684F" w:rsidR="009730C1" w:rsidRDefault="00B673E1" w14:paraId="15694797" w14:textId="1B2BABFB">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服药期间建议保证充足的液体摄入（≥2</w:t>
      </w:r>
      <w:r w:rsidRPr="003C684F" w:rsidR="00A315B9">
        <w:rPr>
          <w:rFonts w:ascii="仿宋" w:hAnsi="仿宋" w:eastAsia="仿宋" w:cs="仿宋"/>
          <w:sz w:val="32"/>
          <w:szCs w:val="32"/>
        </w:rPr>
        <w:t>L/d</w:t>
      </w:r>
      <w:r w:rsidRPr="003C684F" w:rsidR="00A315B9">
        <w:rPr>
          <w:rFonts w:hint="eastAsia" w:ascii="仿宋" w:hAnsi="仿宋" w:eastAsia="仿宋" w:cs="仿宋"/>
          <w:sz w:val="32"/>
          <w:szCs w:val="32"/>
        </w:rPr>
        <w:t>），</w:t>
      </w:r>
      <w:r w:rsidRPr="003C684F" w:rsidR="00A315B9">
        <w:rPr>
          <w:rFonts w:ascii="仿宋" w:hAnsi="仿宋" w:eastAsia="仿宋" w:cs="仿宋"/>
          <w:sz w:val="32"/>
          <w:szCs w:val="32"/>
        </w:rPr>
        <w:t>并鼓励</w:t>
      </w:r>
      <w:r w:rsidRPr="003C684F" w:rsidR="00A315B9">
        <w:rPr>
          <w:rFonts w:hint="eastAsia" w:ascii="仿宋" w:hAnsi="仿宋" w:eastAsia="仿宋" w:cs="仿宋"/>
          <w:sz w:val="32"/>
          <w:szCs w:val="32"/>
        </w:rPr>
        <w:t>高热量或高盐饮食</w:t>
      </w:r>
      <w:r w:rsidRPr="003C684F" w:rsidR="00A315B9">
        <w:rPr>
          <w:rFonts w:ascii="仿宋" w:hAnsi="仿宋" w:eastAsia="仿宋" w:cs="仿宋"/>
          <w:sz w:val="32"/>
          <w:szCs w:val="32"/>
        </w:rPr>
        <w:t>。</w:t>
      </w:r>
    </w:p>
    <w:p w:rsidRPr="003C684F" w:rsidR="009730C1" w:rsidRDefault="00B673E1" w14:paraId="02EC3B6F" w14:textId="295D193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lastRenderedPageBreak/>
        <w:t>6</w:t>
      </w:r>
      <w:r w:rsidRPr="003C684F" w:rsidR="00A315B9">
        <w:rPr>
          <w:rFonts w:ascii="仿宋" w:hAnsi="仿宋" w:eastAsia="仿宋" w:cs="仿宋"/>
          <w:sz w:val="32"/>
          <w:szCs w:val="32"/>
        </w:rPr>
        <w:t>.</w:t>
      </w:r>
      <w:r w:rsidRPr="003C684F" w:rsidR="00A315B9">
        <w:rPr>
          <w:rFonts w:hint="eastAsia" w:ascii="仿宋" w:hAnsi="仿宋" w:eastAsia="仿宋" w:cs="仿宋"/>
          <w:sz w:val="32"/>
          <w:szCs w:val="32"/>
        </w:rPr>
        <w:t>特殊人群用药的建议，老年患者通常无需调整起始治疗剂量，但需关注</w:t>
      </w:r>
      <w:r w:rsidRPr="003C684F" w:rsidR="00A315B9">
        <w:rPr>
          <w:rFonts w:ascii="仿宋" w:hAnsi="仿宋" w:eastAsia="仿宋" w:cs="仿宋"/>
          <w:sz w:val="32"/>
          <w:szCs w:val="32"/>
        </w:rPr>
        <w:t>75岁以上人群治疗中的耐受性，适时调整剂量；塞利尼索主要是通过肝脏代谢，肝胆排泄，经肾脏排泄量小于总剂量的1%，因此对于肾功能损伤的患者无需调整剂量。对于终末期肾病（肌酐清除率＜15m</w:t>
      </w:r>
      <w:r w:rsidRPr="003C684F" w:rsidR="00A315B9">
        <w:rPr>
          <w:rFonts w:hint="eastAsia" w:ascii="仿宋" w:hAnsi="仿宋" w:eastAsia="仿宋" w:cs="仿宋"/>
          <w:sz w:val="32"/>
          <w:szCs w:val="32"/>
        </w:rPr>
        <w:t>l</w:t>
      </w:r>
      <w:r w:rsidRPr="003C684F" w:rsidR="00A315B9">
        <w:rPr>
          <w:rFonts w:ascii="仿宋" w:hAnsi="仿宋" w:eastAsia="仿宋" w:cs="仿宋"/>
          <w:sz w:val="32"/>
          <w:szCs w:val="32"/>
        </w:rPr>
        <w:t>/min）及透析患者尚不明确。轻度肝功能损伤（总胆红素≥1.5</w:t>
      </w:r>
      <w:r w:rsidRPr="003C684F" w:rsidR="00A315B9">
        <w:rPr>
          <w:rFonts w:hint="eastAsia" w:ascii="仿宋" w:hAnsi="仿宋" w:eastAsia="仿宋" w:cs="仿宋"/>
          <w:sz w:val="32"/>
          <w:szCs w:val="32"/>
        </w:rPr>
        <w:t>倍</w:t>
      </w:r>
      <w:r w:rsidRPr="003C684F" w:rsidR="00A315B9">
        <w:rPr>
          <w:rFonts w:ascii="仿宋" w:hAnsi="仿宋" w:eastAsia="仿宋" w:cs="仿宋"/>
          <w:sz w:val="32"/>
          <w:szCs w:val="32"/>
        </w:rPr>
        <w:t>ULN，AST＞ULN）患者无需调整剂量，中重度肝功能损伤患者尚不明确。</w:t>
      </w:r>
    </w:p>
    <w:p w:rsidRPr="003C684F" w:rsidR="009730C1" w:rsidRDefault="00B673E1" w14:paraId="3BB0C10E" w14:textId="66CBEDA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sidR="00A315B9">
        <w:rPr>
          <w:rFonts w:ascii="仿宋" w:hAnsi="仿宋" w:eastAsia="仿宋" w:cs="仿宋"/>
          <w:sz w:val="32"/>
          <w:szCs w:val="32"/>
        </w:rPr>
        <w:t>.可能会有胚胎-</w:t>
      </w:r>
      <w:r w:rsidRPr="003C684F" w:rsidR="00A315B9">
        <w:rPr>
          <w:rFonts w:hint="eastAsia" w:ascii="仿宋" w:hAnsi="仿宋" w:eastAsia="仿宋" w:cs="仿宋"/>
          <w:sz w:val="32"/>
          <w:szCs w:val="32"/>
        </w:rPr>
        <w:t>胎儿</w:t>
      </w:r>
      <w:r w:rsidRPr="003C684F" w:rsidR="00A315B9">
        <w:rPr>
          <w:rFonts w:ascii="仿宋" w:hAnsi="仿宋" w:eastAsia="仿宋" w:cs="仿宋"/>
          <w:sz w:val="32"/>
          <w:szCs w:val="32"/>
        </w:rPr>
        <w:t>毒性，</w:t>
      </w:r>
      <w:r w:rsidRPr="003C684F" w:rsidR="00A315B9">
        <w:rPr>
          <w:rFonts w:hint="eastAsia" w:ascii="仿宋" w:hAnsi="仿宋" w:eastAsia="仿宋" w:cs="仿宋"/>
          <w:sz w:val="32"/>
          <w:szCs w:val="32"/>
        </w:rPr>
        <w:t>告知育龄女性患者和有生育能力女性伴侣的男性患者，在接受本品治疗期间以及最后一次给药后</w:t>
      </w:r>
      <w:r w:rsidRPr="003C684F" w:rsidR="00A315B9">
        <w:rPr>
          <w:rFonts w:ascii="仿宋" w:hAnsi="仿宋" w:eastAsia="仿宋" w:cs="仿宋"/>
          <w:sz w:val="32"/>
          <w:szCs w:val="32"/>
        </w:rPr>
        <w:t>1周内使用有效的避孕措施</w:t>
      </w:r>
      <w:r w:rsidRPr="003C684F" w:rsidR="00A315B9">
        <w:rPr>
          <w:rFonts w:hint="eastAsia" w:ascii="仿宋" w:hAnsi="仿宋" w:eastAsia="仿宋" w:cs="仿宋"/>
          <w:sz w:val="32"/>
          <w:szCs w:val="32"/>
        </w:rPr>
        <w:t>。</w:t>
      </w:r>
    </w:p>
    <w:p w:rsidRPr="003C684F" w:rsidR="009730C1" w:rsidRDefault="00A315B9" w14:paraId="06EB049E" w14:textId="49046EB3">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vertAlign w:val="superscript"/>
        </w:rPr>
        <w:t>※</w:t>
      </w:r>
      <w:r w:rsidRPr="003C684F" w:rsidR="00B673E1">
        <w:rPr>
          <w:rFonts w:hint="eastAsia" w:ascii="仿宋" w:hAnsi="仿宋" w:eastAsia="仿宋" w:cs="仿宋"/>
          <w:sz w:val="32"/>
          <w:szCs w:val="32"/>
        </w:rPr>
        <w:t>8</w:t>
      </w:r>
      <w:r w:rsidRPr="003C684F">
        <w:rPr>
          <w:rFonts w:ascii="仿宋" w:hAnsi="仿宋" w:eastAsia="仿宋" w:cs="仿宋"/>
          <w:sz w:val="32"/>
          <w:szCs w:val="32"/>
        </w:rPr>
        <w:t>.</w:t>
      </w:r>
      <w:r w:rsidRPr="003C684F">
        <w:rPr>
          <w:rFonts w:hint="eastAsia" w:ascii="仿宋" w:hAnsi="仿宋" w:eastAsia="仿宋" w:cs="仿宋"/>
          <w:sz w:val="32"/>
          <w:szCs w:val="32"/>
        </w:rPr>
        <w:t>其他治疗：既往接受过至少</w:t>
      </w:r>
      <w:r w:rsidR="009C1DF6">
        <w:rPr>
          <w:rFonts w:hint="eastAsia" w:ascii="仿宋" w:hAnsi="仿宋" w:eastAsia="仿宋" w:cs="仿宋"/>
          <w:sz w:val="32"/>
          <w:szCs w:val="32"/>
        </w:rPr>
        <w:t>二</w:t>
      </w:r>
      <w:r w:rsidRPr="003C684F">
        <w:rPr>
          <w:rFonts w:hint="eastAsia" w:ascii="仿宋" w:hAnsi="仿宋" w:eastAsia="仿宋" w:cs="仿宋"/>
          <w:sz w:val="32"/>
          <w:szCs w:val="32"/>
        </w:rPr>
        <w:t>线治疗的复发难治性弥漫性大</w:t>
      </w:r>
      <w:r w:rsidRPr="003C684F">
        <w:rPr>
          <w:rFonts w:ascii="仿宋" w:hAnsi="仿宋" w:eastAsia="仿宋" w:cs="仿宋"/>
          <w:sz w:val="32"/>
          <w:szCs w:val="32"/>
        </w:rPr>
        <w:t>B</w:t>
      </w:r>
      <w:r w:rsidRPr="003C684F">
        <w:rPr>
          <w:rFonts w:hint="eastAsia" w:ascii="仿宋" w:hAnsi="仿宋" w:eastAsia="仿宋" w:cs="仿宋"/>
          <w:sz w:val="32"/>
          <w:szCs w:val="32"/>
        </w:rPr>
        <w:t>细胞淋巴瘤[包括由滤泡性淋巴瘤转化而来（F</w:t>
      </w:r>
      <w:r w:rsidRPr="003C684F">
        <w:rPr>
          <w:rFonts w:ascii="仿宋" w:hAnsi="仿宋" w:eastAsia="仿宋" w:cs="仿宋"/>
          <w:sz w:val="32"/>
          <w:szCs w:val="32"/>
        </w:rPr>
        <w:t>DA已批准的适应证</w:t>
      </w:r>
      <w:r w:rsidRPr="003C684F">
        <w:rPr>
          <w:rFonts w:hint="eastAsia" w:ascii="仿宋" w:hAnsi="仿宋" w:eastAsia="仿宋" w:cs="仿宋"/>
          <w:sz w:val="32"/>
          <w:szCs w:val="32"/>
        </w:rPr>
        <w:t>）]。</w:t>
      </w:r>
    </w:p>
    <w:p w:rsidRPr="003C684F" w:rsidR="009730C1" w:rsidP="0037660B" w:rsidRDefault="00A315B9" w14:paraId="011CD34E" w14:textId="77777777">
      <w:pPr>
        <w:spacing w:line="360" w:lineRule="auto"/>
        <w:ind w:firstLine="640" w:firstLineChars="200"/>
        <w:contextualSpacing/>
        <w:outlineLvl w:val="0"/>
        <w:rPr>
          <w:rFonts w:ascii="黑体" w:hAnsi="黑体" w:eastAsia="黑体"/>
          <w:sz w:val="32"/>
          <w:szCs w:val="32"/>
        </w:rPr>
      </w:pPr>
      <w:r w:rsidRPr="003C684F">
        <w:rPr>
          <w:rFonts w:hint="eastAsia" w:ascii="黑体" w:hAnsi="黑体" w:eastAsia="黑体"/>
          <w:sz w:val="32"/>
          <w:szCs w:val="32"/>
        </w:rPr>
        <w:t>十七、吉瑞替尼 Gilteritinib</w:t>
      </w:r>
    </w:p>
    <w:p w:rsidRPr="003C684F" w:rsidR="009730C1" w:rsidRDefault="00A315B9" w14:paraId="49E309C3"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片剂：40mg</w:t>
      </w:r>
    </w:p>
    <w:p w:rsidRPr="003C684F" w:rsidR="009730C1" w:rsidRDefault="00A315B9" w14:paraId="25FA610C"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sz w:val="32"/>
          <w:szCs w:val="32"/>
        </w:rPr>
        <w:t>本品用于治疗采用经充分验证的检测方法检测到携带FMS样酪氨酸激酶3（FLT3）突变的复发性或难治性急性髓系白血病成人患者。</w:t>
      </w:r>
    </w:p>
    <w:p w:rsidRPr="003C684F" w:rsidR="009730C1" w:rsidRDefault="00A315B9" w14:paraId="1169DB2F" w14:textId="77777777">
      <w:pPr>
        <w:spacing w:line="360" w:lineRule="auto"/>
        <w:ind w:firstLine="643" w:firstLineChars="200"/>
        <w:contextualSpacing/>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250A5B0A"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1.在使用富马酸吉瑞替尼片之前，复发性或难治性急性髓系白血病患者必须确定其外周血或骨髓具有FLT3突变[内</w:t>
      </w:r>
      <w:r w:rsidRPr="003C684F">
        <w:rPr>
          <w:rFonts w:hint="eastAsia" w:ascii="仿宋" w:hAnsi="仿宋" w:eastAsia="仿宋"/>
          <w:sz w:val="32"/>
          <w:szCs w:val="32"/>
        </w:rPr>
        <w:lastRenderedPageBreak/>
        <w:t>部串联重复（ITD）或酪氨酸激酶域（TKD）]。</w:t>
      </w:r>
    </w:p>
    <w:p w:rsidRPr="003C684F" w:rsidR="009730C1" w:rsidRDefault="00A315B9" w14:paraId="1953549E"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2.应当按照相关疾病指南，治疗前做基线评估，治疗期间定期监测血液学、细胞遗传学和分子生物学反应。</w:t>
      </w:r>
    </w:p>
    <w:p w:rsidRPr="003C684F" w:rsidR="009730C1" w:rsidRDefault="00A315B9" w14:paraId="2CE1FDE7" w14:textId="1CDF89B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3.富马酸吉瑞替尼片的推荐起始剂量为120mg</w:t>
      </w:r>
      <w:r w:rsidRPr="003C684F" w:rsidR="009C1296">
        <w:rPr>
          <w:rFonts w:hint="eastAsia" w:ascii="仿宋" w:hAnsi="仿宋" w:eastAsia="仿宋"/>
          <w:sz w:val="32"/>
          <w:szCs w:val="32"/>
        </w:rPr>
        <w:t>/次</w:t>
      </w:r>
      <w:r w:rsidRPr="003C684F">
        <w:rPr>
          <w:rFonts w:hint="eastAsia" w:ascii="仿宋" w:hAnsi="仿宋" w:eastAsia="仿宋"/>
          <w:sz w:val="32"/>
          <w:szCs w:val="32"/>
        </w:rPr>
        <w:t>，每天一次，</w:t>
      </w:r>
      <w:r w:rsidRPr="003C684F" w:rsidR="009C1296">
        <w:rPr>
          <w:rFonts w:hint="eastAsia" w:ascii="仿宋" w:hAnsi="仿宋" w:eastAsia="仿宋"/>
          <w:sz w:val="32"/>
          <w:szCs w:val="32"/>
        </w:rPr>
        <w:t>口服，</w:t>
      </w:r>
      <w:r w:rsidRPr="003C684F">
        <w:rPr>
          <w:rFonts w:hint="eastAsia" w:ascii="仿宋" w:hAnsi="仿宋" w:eastAsia="仿宋"/>
          <w:sz w:val="32"/>
          <w:szCs w:val="32"/>
        </w:rPr>
        <w:t>每28天为一个治疗周期。整片用水送服，</w:t>
      </w:r>
      <w:r w:rsidRPr="003C684F" w:rsidR="00584CC8">
        <w:rPr>
          <w:rFonts w:hint="eastAsia" w:ascii="仿宋" w:hAnsi="仿宋" w:eastAsia="仿宋"/>
          <w:sz w:val="32"/>
          <w:szCs w:val="32"/>
        </w:rPr>
        <w:t>不应咀嚼、压碎、溶解或掰断药片</w:t>
      </w:r>
      <w:r w:rsidRPr="003C684F">
        <w:rPr>
          <w:rFonts w:hint="eastAsia" w:ascii="仿宋" w:hAnsi="仿宋" w:eastAsia="仿宋"/>
          <w:sz w:val="32"/>
          <w:szCs w:val="32"/>
        </w:rPr>
        <w:t>，每天大约同一时间服用。如漏服或未在原计划时间服药，可以在当日内尽快服用，但应在下一次按计划服药的12小时前补服，第2天继续正常计划时间服药。治疗中根据疗效和不良反应调整剂量。</w:t>
      </w:r>
    </w:p>
    <w:p w:rsidRPr="003C684F" w:rsidR="009730C1" w:rsidRDefault="00A315B9" w14:paraId="74D64BD9"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4.本品治疗应持续进行，直至患者不再有临床获益或出现不可耐受的毒性。由于临床缓解可能会延迟，因此，应考虑以处方剂量持续治疗长达至6个治疗周期，确保有充分时间达到临床缓解。</w:t>
      </w:r>
    </w:p>
    <w:p w:rsidRPr="003C684F" w:rsidR="009730C1" w:rsidRDefault="00A315B9" w14:paraId="5C28C83B" w14:textId="0A55439A">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5.如果治疗4周后未实现以下几种情形之一，则应在患者耐受或临床有保证的情况下，将剂量增至200mg</w:t>
      </w:r>
      <w:r w:rsidRPr="003C684F" w:rsidR="009C1296">
        <w:rPr>
          <w:rFonts w:hint="eastAsia" w:ascii="仿宋" w:hAnsi="仿宋" w:eastAsia="仿宋"/>
          <w:sz w:val="32"/>
          <w:szCs w:val="32"/>
        </w:rPr>
        <w:t>/次，</w:t>
      </w:r>
      <w:r w:rsidRPr="003C684F">
        <w:rPr>
          <w:rFonts w:hint="eastAsia" w:ascii="仿宋" w:hAnsi="仿宋" w:eastAsia="仿宋"/>
          <w:sz w:val="32"/>
          <w:szCs w:val="32"/>
        </w:rPr>
        <w:t>每天一次：（1）完全缓解（CR）。（2）除血小板恢复不完全（血小板＜100</w:t>
      </w:r>
      <w:r w:rsidRPr="003C684F">
        <w:rPr>
          <w:rFonts w:ascii="仿宋" w:hAnsi="仿宋" w:eastAsia="仿宋"/>
          <w:sz w:val="32"/>
          <w:szCs w:val="32"/>
        </w:rPr>
        <w:t>×</w:t>
      </w:r>
      <w:r w:rsidRPr="003C684F">
        <w:rPr>
          <w:rFonts w:hint="eastAsia" w:ascii="仿宋" w:hAnsi="仿宋" w:eastAsia="仿宋"/>
          <w:sz w:val="32"/>
          <w:szCs w:val="32"/>
        </w:rPr>
        <w:t>10</w:t>
      </w:r>
      <w:r w:rsidRPr="003C684F">
        <w:rPr>
          <w:rFonts w:hint="eastAsia" w:ascii="仿宋" w:hAnsi="仿宋" w:eastAsia="仿宋"/>
          <w:sz w:val="32"/>
          <w:szCs w:val="32"/>
          <w:vertAlign w:val="superscript"/>
        </w:rPr>
        <w:t>9</w:t>
      </w:r>
      <w:r w:rsidRPr="003C684F">
        <w:rPr>
          <w:rFonts w:hint="eastAsia" w:ascii="仿宋" w:hAnsi="仿宋" w:eastAsia="仿宋"/>
          <w:sz w:val="32"/>
          <w:szCs w:val="32"/>
        </w:rPr>
        <w:t>/L），其他标准达到完全缓解（CRp）。（3）除仍有中性粒细胞减少症（中性粒细胞＜1</w:t>
      </w:r>
      <w:r w:rsidRPr="003C684F">
        <w:rPr>
          <w:rFonts w:ascii="仿宋" w:hAnsi="仿宋" w:eastAsia="仿宋"/>
          <w:sz w:val="32"/>
          <w:szCs w:val="32"/>
        </w:rPr>
        <w:t>×</w:t>
      </w:r>
      <w:r w:rsidRPr="003C684F">
        <w:rPr>
          <w:rFonts w:hint="eastAsia" w:ascii="仿宋" w:hAnsi="仿宋" w:eastAsia="仿宋"/>
          <w:sz w:val="32"/>
          <w:szCs w:val="32"/>
        </w:rPr>
        <w:t>10</w:t>
      </w:r>
      <w:r w:rsidRPr="003C684F">
        <w:rPr>
          <w:rFonts w:hint="eastAsia" w:ascii="仿宋" w:hAnsi="仿宋" w:eastAsia="仿宋"/>
          <w:sz w:val="32"/>
          <w:szCs w:val="32"/>
          <w:vertAlign w:val="superscript"/>
        </w:rPr>
        <w:t>9</w:t>
      </w:r>
      <w:r w:rsidRPr="003C684F">
        <w:rPr>
          <w:rFonts w:hint="eastAsia" w:ascii="仿宋" w:hAnsi="仿宋" w:eastAsia="仿宋"/>
          <w:sz w:val="32"/>
          <w:szCs w:val="32"/>
        </w:rPr>
        <w:t>/L），伴或不伴血小板完全恢复，其他标准达到完全缓解（CRi）。</w:t>
      </w:r>
    </w:p>
    <w:p w:rsidRPr="003C684F" w:rsidR="009730C1" w:rsidRDefault="00A315B9" w14:paraId="239657C7"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6.应在治疗开始前，第1个治疗周期的每周，第2个治疗周期的第2周，和之后的每个治疗周期进行血细胞计数和血液生化评估（包括肌酸磷酸激酶）。</w:t>
      </w:r>
    </w:p>
    <w:p w:rsidRPr="003C684F" w:rsidR="009730C1" w:rsidRDefault="00A315B9" w14:paraId="59B226B0"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lastRenderedPageBreak/>
        <w:t>7.应在给予本品治疗开始前，第1个周期的第8天和第15天，以及后续2个周期治疗开始前进行心电图检查。</w:t>
      </w:r>
      <w:r w:rsidRPr="003C684F">
        <w:rPr>
          <w:rFonts w:ascii="仿宋" w:hAnsi="仿宋" w:eastAsia="仿宋"/>
          <w:sz w:val="32"/>
          <w:szCs w:val="32"/>
        </w:rPr>
        <w:t>QTc</w:t>
      </w:r>
      <w:r w:rsidRPr="003C684F">
        <w:rPr>
          <w:rFonts w:hint="eastAsia" w:ascii="仿宋" w:hAnsi="仿宋" w:eastAsia="仿宋"/>
          <w:sz w:val="32"/>
          <w:szCs w:val="32"/>
        </w:rPr>
        <w:t>间期延长（＞500ms）的患者应中断治疗并降低本品的剂量。</w:t>
      </w:r>
    </w:p>
    <w:p w:rsidRPr="003C684F" w:rsidR="009730C1" w:rsidRDefault="00A315B9" w14:paraId="22830D06" w14:textId="53FF67F1">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8.常见不良事件（≥10%）为ALT升高、AST升高、贫血、血小板减少症、</w:t>
      </w:r>
      <w:r w:rsidRPr="003C684F" w:rsidR="00691EDE">
        <w:rPr>
          <w:rFonts w:hint="eastAsia" w:ascii="仿宋" w:hAnsi="仿宋" w:eastAsia="仿宋"/>
          <w:sz w:val="32"/>
          <w:szCs w:val="32"/>
        </w:rPr>
        <w:t>发热性</w:t>
      </w:r>
      <w:r w:rsidRPr="003C684F">
        <w:rPr>
          <w:rFonts w:hint="eastAsia" w:ascii="仿宋" w:hAnsi="仿宋" w:eastAsia="仿宋"/>
          <w:sz w:val="32"/>
          <w:szCs w:val="32"/>
        </w:rPr>
        <w:t>中性粒细胞减少</w:t>
      </w:r>
      <w:r w:rsidRPr="003C684F" w:rsidR="00691EDE">
        <w:rPr>
          <w:rFonts w:hint="eastAsia" w:ascii="仿宋" w:hAnsi="仿宋" w:eastAsia="仿宋"/>
          <w:sz w:val="32"/>
          <w:szCs w:val="32"/>
        </w:rPr>
        <w:t>症</w:t>
      </w:r>
      <w:r w:rsidRPr="003C684F">
        <w:rPr>
          <w:rFonts w:hint="eastAsia" w:ascii="仿宋" w:hAnsi="仿宋" w:eastAsia="仿宋"/>
          <w:sz w:val="32"/>
          <w:szCs w:val="32"/>
        </w:rPr>
        <w:t>、腹泻、恶心、血碱性磷酸酶升高、疲乏、</w:t>
      </w:r>
      <w:r w:rsidRPr="003C684F" w:rsidR="00AA068D">
        <w:rPr>
          <w:rFonts w:hint="eastAsia" w:ascii="仿宋" w:hAnsi="仿宋" w:eastAsia="仿宋"/>
          <w:sz w:val="32"/>
          <w:szCs w:val="32"/>
        </w:rPr>
        <w:t>白细胞减少症</w:t>
      </w:r>
      <w:r w:rsidRPr="003C684F">
        <w:rPr>
          <w:rFonts w:hint="eastAsia" w:ascii="仿宋" w:hAnsi="仿宋" w:eastAsia="仿宋"/>
          <w:sz w:val="32"/>
          <w:szCs w:val="32"/>
        </w:rPr>
        <w:t>、血肌酸磷酸激酶升高。</w:t>
      </w:r>
    </w:p>
    <w:p w:rsidRPr="003C684F" w:rsidR="009730C1" w:rsidRDefault="00A315B9" w14:paraId="189765EA" w14:textId="19BE2A15">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9.本品主要经CYP3A酶代谢，应避免与</w:t>
      </w:r>
      <w:r w:rsidRPr="003C684F" w:rsidR="003900BE">
        <w:rPr>
          <w:rFonts w:hint="eastAsia" w:ascii="仿宋" w:hAnsi="仿宋" w:eastAsia="仿宋"/>
          <w:sz w:val="32"/>
          <w:szCs w:val="32"/>
        </w:rPr>
        <w:t>CYP3A</w:t>
      </w:r>
      <w:r w:rsidRPr="003C684F">
        <w:rPr>
          <w:rFonts w:hint="eastAsia" w:ascii="仿宋" w:hAnsi="仿宋" w:eastAsia="仿宋"/>
          <w:sz w:val="32"/>
          <w:szCs w:val="32"/>
        </w:rPr>
        <w:t>/P-糖蛋白</w:t>
      </w:r>
      <w:r w:rsidRPr="003C684F" w:rsidR="001744CD">
        <w:rPr>
          <w:rFonts w:hint="eastAsia" w:ascii="仿宋" w:hAnsi="仿宋" w:eastAsia="仿宋"/>
          <w:sz w:val="32"/>
          <w:szCs w:val="32"/>
        </w:rPr>
        <w:t>强效</w:t>
      </w:r>
      <w:r w:rsidRPr="003C684F">
        <w:rPr>
          <w:rFonts w:hint="eastAsia" w:ascii="仿宋" w:hAnsi="仿宋" w:eastAsia="仿宋"/>
          <w:sz w:val="32"/>
          <w:szCs w:val="32"/>
        </w:rPr>
        <w:t>诱导剂联合使用。与</w:t>
      </w:r>
      <w:r w:rsidRPr="003C684F" w:rsidR="003900BE">
        <w:rPr>
          <w:rFonts w:hint="eastAsia" w:ascii="仿宋" w:hAnsi="仿宋" w:eastAsia="仿宋"/>
          <w:sz w:val="32"/>
          <w:szCs w:val="32"/>
        </w:rPr>
        <w:t>CYP3A</w:t>
      </w:r>
      <w:r w:rsidRPr="003C684F">
        <w:rPr>
          <w:rFonts w:hint="eastAsia" w:ascii="仿宋" w:hAnsi="仿宋" w:eastAsia="仿宋"/>
          <w:sz w:val="32"/>
          <w:szCs w:val="32"/>
        </w:rPr>
        <w:t>和/或P-糖蛋白</w:t>
      </w:r>
      <w:r w:rsidRPr="003C684F" w:rsidR="001744CD">
        <w:rPr>
          <w:rFonts w:hint="eastAsia" w:ascii="仿宋" w:hAnsi="仿宋" w:eastAsia="仿宋"/>
          <w:sz w:val="32"/>
          <w:szCs w:val="32"/>
        </w:rPr>
        <w:t>强效</w:t>
      </w:r>
      <w:r w:rsidRPr="003C684F">
        <w:rPr>
          <w:rFonts w:hint="eastAsia" w:ascii="仿宋" w:hAnsi="仿宋" w:eastAsia="仿宋"/>
          <w:sz w:val="32"/>
          <w:szCs w:val="32"/>
        </w:rPr>
        <w:t>抑制剂联合使用时，本品的暴露量增加约1.5倍。</w:t>
      </w:r>
    </w:p>
    <w:p w:rsidRPr="003C684F" w:rsidR="009730C1" w:rsidRDefault="00A315B9" w14:paraId="032D8778"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10.本品可能降低靶向5HT2B受体或σ非特异性受体的药物（如艾司西酞普兰、氟西汀、舍曲林）的疗效。除非确认患者获益大于风险，否则应避免这些药物与本品的联合使用。</w:t>
      </w:r>
    </w:p>
    <w:p w:rsidRPr="003C684F" w:rsidR="009730C1" w:rsidRDefault="00A315B9" w14:paraId="04B2C8AF"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11.轻中度肝功能损伤患者无需调整剂量。不建议在重度肝功能损伤患者中使用本品，因为尚未在该人群中进行安全性和有效性评价。</w:t>
      </w:r>
    </w:p>
    <w:p w:rsidRPr="003C684F" w:rsidR="009730C1" w:rsidRDefault="00A315B9" w14:paraId="59C99CFE"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12.根据群体药代动力学模型评价，轻中度肾功能损伤患者无需调整剂量。尚无重度肾功能损伤患者的临床经验。</w:t>
      </w:r>
    </w:p>
    <w:p w:rsidRPr="003C684F" w:rsidR="009730C1" w:rsidP="0037660B" w:rsidRDefault="00A315B9" w14:paraId="2698AEAE" w14:textId="77777777">
      <w:pPr>
        <w:spacing w:line="360" w:lineRule="auto"/>
        <w:ind w:firstLine="640" w:firstLineChars="200"/>
        <w:contextualSpacing/>
        <w:outlineLvl w:val="0"/>
        <w:rPr>
          <w:rFonts w:ascii="黑体" w:hAnsi="黑体" w:eastAsia="黑体"/>
          <w:sz w:val="32"/>
          <w:szCs w:val="32"/>
        </w:rPr>
      </w:pPr>
      <w:r w:rsidRPr="003C684F">
        <w:rPr>
          <w:rFonts w:hint="eastAsia" w:ascii="黑体" w:hAnsi="黑体" w:eastAsia="黑体"/>
          <w:sz w:val="32"/>
          <w:szCs w:val="32"/>
        </w:rPr>
        <w:t xml:space="preserve">十八、维奈克拉 </w:t>
      </w:r>
      <w:r w:rsidRPr="003C684F">
        <w:rPr>
          <w:rFonts w:ascii="黑体" w:hAnsi="黑体" w:eastAsia="黑体"/>
          <w:sz w:val="32"/>
          <w:szCs w:val="32"/>
        </w:rPr>
        <w:t>V</w:t>
      </w:r>
      <w:r w:rsidRPr="003C684F">
        <w:rPr>
          <w:rFonts w:hint="eastAsia" w:ascii="黑体" w:hAnsi="黑体" w:eastAsia="黑体"/>
          <w:sz w:val="32"/>
          <w:szCs w:val="32"/>
        </w:rPr>
        <w:t>enetoclax</w:t>
      </w:r>
    </w:p>
    <w:p w:rsidRPr="003C684F" w:rsidR="009730C1" w:rsidRDefault="00A315B9" w14:paraId="4A7221C7"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片剂</w:t>
      </w:r>
      <w:r w:rsidRPr="003C684F">
        <w:rPr>
          <w:rFonts w:ascii="仿宋" w:hAnsi="仿宋" w:eastAsia="仿宋"/>
          <w:sz w:val="32"/>
          <w:szCs w:val="32"/>
        </w:rPr>
        <w:t>：10mg</w:t>
      </w:r>
      <w:r w:rsidRPr="003C684F">
        <w:rPr>
          <w:rFonts w:hint="eastAsia" w:ascii="仿宋" w:hAnsi="仿宋" w:eastAsia="仿宋"/>
          <w:sz w:val="32"/>
          <w:szCs w:val="32"/>
        </w:rPr>
        <w:t>、</w:t>
      </w:r>
      <w:r w:rsidRPr="003C684F">
        <w:rPr>
          <w:rFonts w:ascii="仿宋" w:hAnsi="仿宋" w:eastAsia="仿宋"/>
          <w:sz w:val="32"/>
          <w:szCs w:val="32"/>
        </w:rPr>
        <w:t>50mg</w:t>
      </w:r>
      <w:r w:rsidRPr="003C684F">
        <w:rPr>
          <w:rFonts w:hint="eastAsia" w:ascii="仿宋" w:hAnsi="仿宋" w:eastAsia="仿宋"/>
          <w:sz w:val="32"/>
          <w:szCs w:val="32"/>
        </w:rPr>
        <w:t>、</w:t>
      </w:r>
      <w:r w:rsidRPr="003C684F">
        <w:rPr>
          <w:rFonts w:ascii="仿宋" w:hAnsi="仿宋" w:eastAsia="仿宋"/>
          <w:sz w:val="32"/>
          <w:szCs w:val="32"/>
        </w:rPr>
        <w:t xml:space="preserve">100mg </w:t>
      </w:r>
    </w:p>
    <w:p w:rsidRPr="003C684F" w:rsidR="009730C1" w:rsidRDefault="00A315B9" w14:paraId="17869D99" w14:textId="0451B08C">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sz w:val="32"/>
          <w:szCs w:val="32"/>
        </w:rPr>
        <w:t>与阿扎胞苷</w:t>
      </w:r>
      <w:r w:rsidRPr="003C684F" w:rsidR="00F92328">
        <w:rPr>
          <w:rFonts w:hint="eastAsia" w:ascii="仿宋" w:hAnsi="仿宋" w:eastAsia="仿宋"/>
          <w:sz w:val="32"/>
          <w:szCs w:val="32"/>
        </w:rPr>
        <w:t>联合使用</w:t>
      </w:r>
      <w:r w:rsidRPr="003C684F">
        <w:rPr>
          <w:rFonts w:hint="eastAsia" w:ascii="仿宋" w:hAnsi="仿宋" w:eastAsia="仿宋"/>
          <w:sz w:val="32"/>
          <w:szCs w:val="32"/>
        </w:rPr>
        <w:t>于治疗因合并症不适合接</w:t>
      </w:r>
      <w:r w:rsidRPr="003C684F">
        <w:rPr>
          <w:rFonts w:hint="eastAsia" w:ascii="仿宋" w:hAnsi="仿宋" w:eastAsia="仿宋"/>
          <w:sz w:val="32"/>
          <w:szCs w:val="32"/>
        </w:rPr>
        <w:lastRenderedPageBreak/>
        <w:t>受强诱导化疗，</w:t>
      </w:r>
      <w:r w:rsidRPr="003C684F" w:rsidR="00DB4978">
        <w:rPr>
          <w:rFonts w:hint="eastAsia" w:ascii="仿宋" w:hAnsi="仿宋" w:eastAsia="仿宋"/>
          <w:sz w:val="32"/>
          <w:szCs w:val="32"/>
        </w:rPr>
        <w:t>或</w:t>
      </w:r>
      <w:r w:rsidRPr="003C684F">
        <w:rPr>
          <w:rFonts w:hint="eastAsia" w:ascii="仿宋" w:hAnsi="仿宋" w:eastAsia="仿宋"/>
          <w:sz w:val="32"/>
          <w:szCs w:val="32"/>
        </w:rPr>
        <w:t>年龄≥</w:t>
      </w:r>
      <w:r w:rsidRPr="003C684F">
        <w:rPr>
          <w:rFonts w:ascii="仿宋" w:hAnsi="仿宋" w:eastAsia="仿宋"/>
          <w:sz w:val="32"/>
          <w:szCs w:val="32"/>
        </w:rPr>
        <w:t>75</w:t>
      </w:r>
      <w:r w:rsidRPr="003C684F">
        <w:rPr>
          <w:rFonts w:hint="eastAsia" w:ascii="仿宋" w:hAnsi="仿宋" w:eastAsia="仿宋"/>
          <w:sz w:val="32"/>
          <w:szCs w:val="32"/>
        </w:rPr>
        <w:t>岁的新诊断的成人急性髓系白血病患者。</w:t>
      </w:r>
    </w:p>
    <w:p w:rsidRPr="003C684F" w:rsidR="009730C1" w:rsidRDefault="00A315B9" w14:paraId="2258A2F1" w14:textId="77777777">
      <w:pPr>
        <w:spacing w:line="360" w:lineRule="auto"/>
        <w:ind w:firstLine="643" w:firstLineChars="200"/>
        <w:contextualSpacing/>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3D6FBF68" w14:textId="0D8CACF1">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1.本品与阿扎胞苷</w:t>
      </w:r>
      <w:r w:rsidRPr="003C684F" w:rsidR="00DE313C">
        <w:rPr>
          <w:rFonts w:hint="eastAsia" w:ascii="仿宋" w:hAnsi="仿宋" w:eastAsia="仿宋"/>
          <w:sz w:val="32"/>
          <w:szCs w:val="32"/>
        </w:rPr>
        <w:t>联合使用</w:t>
      </w:r>
      <w:r w:rsidRPr="003C684F">
        <w:rPr>
          <w:rFonts w:hint="eastAsia" w:ascii="仿宋" w:hAnsi="仿宋" w:eastAsia="仿宋"/>
          <w:sz w:val="32"/>
          <w:szCs w:val="32"/>
        </w:rPr>
        <w:t>治疗急性髓系白血病，在第</w:t>
      </w:r>
      <w:r w:rsidRPr="003C684F">
        <w:rPr>
          <w:rFonts w:ascii="仿宋" w:hAnsi="仿宋" w:eastAsia="仿宋"/>
          <w:sz w:val="32"/>
          <w:szCs w:val="32"/>
        </w:rPr>
        <w:t>1</w:t>
      </w:r>
      <w:r w:rsidRPr="003C684F">
        <w:rPr>
          <w:rFonts w:hint="eastAsia" w:ascii="仿宋" w:hAnsi="仿宋" w:eastAsia="仿宋"/>
          <w:sz w:val="32"/>
          <w:szCs w:val="32"/>
        </w:rPr>
        <w:t>个疗程开始时，本品需要进行剂量爬坡，具体方法是：维奈克拉100mg d1，200mg d2，400mg d3，后400mg/d继续治疗，每疗程28天</w:t>
      </w:r>
      <w:r w:rsidRPr="003C684F" w:rsidR="006B4A59">
        <w:rPr>
          <w:rFonts w:hint="eastAsia" w:ascii="仿宋" w:hAnsi="仿宋" w:eastAsia="仿宋"/>
          <w:sz w:val="32"/>
          <w:szCs w:val="32"/>
        </w:rPr>
        <w:t>，口服</w:t>
      </w:r>
      <w:r w:rsidRPr="003C684F">
        <w:rPr>
          <w:rFonts w:hint="eastAsia" w:ascii="仿宋" w:hAnsi="仿宋" w:eastAsia="仿宋"/>
          <w:sz w:val="32"/>
          <w:szCs w:val="32"/>
        </w:rPr>
        <w:t>。本品</w:t>
      </w:r>
      <w:r w:rsidRPr="003C684F">
        <w:rPr>
          <w:rFonts w:ascii="仿宋" w:hAnsi="仿宋" w:eastAsia="仿宋"/>
          <w:sz w:val="32"/>
          <w:szCs w:val="32"/>
        </w:rPr>
        <w:t>按疗程</w:t>
      </w:r>
      <w:r w:rsidRPr="003C684F">
        <w:rPr>
          <w:rFonts w:hint="eastAsia" w:ascii="仿宋" w:hAnsi="仿宋" w:eastAsia="仿宋"/>
          <w:sz w:val="32"/>
          <w:szCs w:val="32"/>
        </w:rPr>
        <w:t>与阿扎胞苷</w:t>
      </w:r>
      <w:r w:rsidRPr="003C684F" w:rsidR="00DE313C">
        <w:rPr>
          <w:rFonts w:hint="eastAsia" w:ascii="仿宋" w:hAnsi="仿宋" w:eastAsia="仿宋"/>
          <w:sz w:val="32"/>
          <w:szCs w:val="32"/>
        </w:rPr>
        <w:t>联合使用</w:t>
      </w:r>
      <w:r w:rsidRPr="003C684F">
        <w:rPr>
          <w:rFonts w:hint="eastAsia" w:ascii="仿宋" w:hAnsi="仿宋" w:eastAsia="仿宋"/>
          <w:sz w:val="32"/>
          <w:szCs w:val="32"/>
        </w:rPr>
        <w:t>给药，直至</w:t>
      </w:r>
      <w:r w:rsidRPr="003C684F" w:rsidR="00B95507">
        <w:rPr>
          <w:rFonts w:hint="eastAsia" w:ascii="仿宋" w:hAnsi="仿宋" w:eastAsia="仿宋"/>
          <w:sz w:val="32"/>
          <w:szCs w:val="32"/>
        </w:rPr>
        <w:t>疾病进展或出现不可耐受的毒性。</w:t>
      </w:r>
    </w:p>
    <w:p w:rsidRPr="003C684F" w:rsidR="009730C1" w:rsidRDefault="00A315B9" w14:paraId="030EDA0B" w14:textId="019A3864">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2.本品应在餐后30分钟内服用。</w:t>
      </w:r>
      <w:r w:rsidRPr="003C684F">
        <w:rPr>
          <w:rFonts w:ascii="仿宋" w:hAnsi="仿宋" w:eastAsia="仿宋"/>
          <w:sz w:val="32"/>
          <w:szCs w:val="32"/>
        </w:rPr>
        <w:t>尽可能在</w:t>
      </w:r>
      <w:r w:rsidRPr="003C684F">
        <w:rPr>
          <w:rFonts w:hint="eastAsia" w:ascii="仿宋" w:hAnsi="仿宋" w:eastAsia="仿宋"/>
          <w:sz w:val="32"/>
          <w:szCs w:val="32"/>
        </w:rPr>
        <w:t>每天</w:t>
      </w:r>
      <w:r w:rsidRPr="003C684F">
        <w:rPr>
          <w:rFonts w:ascii="仿宋" w:hAnsi="仿宋" w:eastAsia="仿宋"/>
          <w:sz w:val="32"/>
          <w:szCs w:val="32"/>
        </w:rPr>
        <w:t>同一</w:t>
      </w:r>
      <w:r w:rsidRPr="003C684F">
        <w:rPr>
          <w:rFonts w:hint="eastAsia" w:ascii="仿宋" w:hAnsi="仿宋" w:eastAsia="仿宋"/>
          <w:sz w:val="32"/>
          <w:szCs w:val="32"/>
        </w:rPr>
        <w:t>时间服用。应整片吞服，</w:t>
      </w:r>
      <w:r w:rsidRPr="003C684F" w:rsidR="00584CC8">
        <w:rPr>
          <w:rFonts w:hint="eastAsia" w:ascii="仿宋" w:hAnsi="仿宋" w:eastAsia="仿宋"/>
          <w:sz w:val="32"/>
          <w:szCs w:val="32"/>
        </w:rPr>
        <w:t>不应咀嚼、压碎、溶解或掰断药片。</w:t>
      </w:r>
    </w:p>
    <w:p w:rsidRPr="003C684F" w:rsidR="009730C1" w:rsidRDefault="00A315B9" w14:paraId="6BCF82A1" w14:textId="4B2EE85E">
      <w:pPr>
        <w:spacing w:line="360" w:lineRule="auto"/>
        <w:ind w:firstLine="640" w:firstLineChars="200"/>
        <w:contextualSpacing/>
        <w:rPr>
          <w:rFonts w:ascii="仿宋" w:hAnsi="仿宋" w:eastAsia="仿宋"/>
          <w:sz w:val="32"/>
          <w:szCs w:val="32"/>
        </w:rPr>
      </w:pPr>
      <w:r w:rsidRPr="003C684F">
        <w:rPr>
          <w:rFonts w:ascii="仿宋" w:hAnsi="仿宋" w:eastAsia="仿宋"/>
          <w:sz w:val="32"/>
          <w:szCs w:val="32"/>
        </w:rPr>
        <w:t>3.</w:t>
      </w:r>
      <w:r w:rsidRPr="003C684F">
        <w:rPr>
          <w:rFonts w:hint="eastAsia" w:ascii="仿宋" w:hAnsi="仿宋" w:eastAsia="仿宋"/>
          <w:sz w:val="32"/>
          <w:szCs w:val="32"/>
        </w:rPr>
        <w:t>如果患者在常规服药时间的</w:t>
      </w:r>
      <w:r w:rsidRPr="003C684F">
        <w:rPr>
          <w:rFonts w:ascii="仿宋" w:hAnsi="仿宋" w:eastAsia="仿宋"/>
          <w:sz w:val="32"/>
          <w:szCs w:val="32"/>
        </w:rPr>
        <w:t>8</w:t>
      </w:r>
      <w:r w:rsidRPr="003C684F">
        <w:rPr>
          <w:rFonts w:hint="eastAsia" w:ascii="仿宋" w:hAnsi="仿宋" w:eastAsia="仿宋"/>
          <w:sz w:val="32"/>
          <w:szCs w:val="32"/>
        </w:rPr>
        <w:t>小时内漏服一次本品，</w:t>
      </w:r>
      <w:r w:rsidRPr="003C684F">
        <w:rPr>
          <w:rFonts w:ascii="仿宋" w:hAnsi="仿宋" w:eastAsia="仿宋"/>
          <w:sz w:val="32"/>
          <w:szCs w:val="32"/>
        </w:rPr>
        <w:t>应</w:t>
      </w:r>
      <w:r w:rsidRPr="003C684F">
        <w:rPr>
          <w:rFonts w:hint="eastAsia" w:ascii="仿宋" w:hAnsi="仿宋" w:eastAsia="仿宋"/>
          <w:sz w:val="32"/>
          <w:szCs w:val="32"/>
        </w:rPr>
        <w:t>尽快补服，并恢复每天常规给药。若患者漏服</w:t>
      </w:r>
      <w:r w:rsidRPr="003C684F">
        <w:rPr>
          <w:rFonts w:ascii="仿宋" w:hAnsi="仿宋" w:eastAsia="仿宋"/>
          <w:sz w:val="32"/>
          <w:szCs w:val="32"/>
        </w:rPr>
        <w:t>本品</w:t>
      </w:r>
      <w:r w:rsidRPr="003C684F">
        <w:rPr>
          <w:rFonts w:hint="eastAsia" w:ascii="仿宋" w:hAnsi="仿宋" w:eastAsia="仿宋"/>
          <w:sz w:val="32"/>
          <w:szCs w:val="32"/>
        </w:rPr>
        <w:t>已超过</w:t>
      </w:r>
      <w:r w:rsidRPr="003C684F">
        <w:rPr>
          <w:rFonts w:ascii="仿宋" w:hAnsi="仿宋" w:eastAsia="仿宋"/>
          <w:sz w:val="32"/>
          <w:szCs w:val="32"/>
        </w:rPr>
        <w:t>8</w:t>
      </w:r>
      <w:r w:rsidRPr="003C684F">
        <w:rPr>
          <w:rFonts w:hint="eastAsia" w:ascii="仿宋" w:hAnsi="仿宋" w:eastAsia="仿宋"/>
          <w:sz w:val="32"/>
          <w:szCs w:val="32"/>
        </w:rPr>
        <w:t>小时，</w:t>
      </w:r>
      <w:r w:rsidRPr="003C684F">
        <w:rPr>
          <w:rFonts w:ascii="仿宋" w:hAnsi="仿宋" w:eastAsia="仿宋"/>
          <w:sz w:val="32"/>
          <w:szCs w:val="32"/>
        </w:rPr>
        <w:t>则</w:t>
      </w:r>
      <w:r w:rsidRPr="003C684F" w:rsidR="00BD154E">
        <w:rPr>
          <w:rFonts w:hint="eastAsia" w:ascii="仿宋" w:hAnsi="仿宋" w:eastAsia="仿宋"/>
          <w:sz w:val="32"/>
          <w:szCs w:val="32"/>
        </w:rPr>
        <w:t>无需</w:t>
      </w:r>
      <w:r w:rsidRPr="003C684F">
        <w:rPr>
          <w:rFonts w:hint="eastAsia" w:ascii="仿宋" w:hAnsi="仿宋" w:eastAsia="仿宋"/>
          <w:sz w:val="32"/>
          <w:szCs w:val="32"/>
        </w:rPr>
        <w:t>补服，</w:t>
      </w:r>
      <w:r w:rsidRPr="003C684F">
        <w:rPr>
          <w:rFonts w:ascii="仿宋" w:hAnsi="仿宋" w:eastAsia="仿宋"/>
          <w:sz w:val="32"/>
          <w:szCs w:val="32"/>
        </w:rPr>
        <w:t>只需</w:t>
      </w:r>
      <w:r w:rsidRPr="003C684F">
        <w:rPr>
          <w:rFonts w:hint="eastAsia" w:ascii="仿宋" w:hAnsi="仿宋" w:eastAsia="仿宋"/>
          <w:sz w:val="32"/>
          <w:szCs w:val="32"/>
        </w:rPr>
        <w:t>在第2天恢复常规给药。</w:t>
      </w:r>
      <w:r w:rsidRPr="003C684F">
        <w:rPr>
          <w:rFonts w:ascii="仿宋" w:hAnsi="仿宋" w:eastAsia="仿宋"/>
          <w:sz w:val="32"/>
          <w:szCs w:val="32"/>
        </w:rPr>
        <w:t>如</w:t>
      </w:r>
      <w:r w:rsidRPr="003C684F">
        <w:rPr>
          <w:rFonts w:hint="eastAsia" w:ascii="仿宋" w:hAnsi="仿宋" w:eastAsia="仿宋"/>
          <w:sz w:val="32"/>
          <w:szCs w:val="32"/>
        </w:rPr>
        <w:t>患者在正常给药后发生呕吐，在呕吐当天</w:t>
      </w:r>
      <w:r w:rsidRPr="003C684F" w:rsidR="00BD154E">
        <w:rPr>
          <w:rFonts w:hint="eastAsia" w:ascii="仿宋" w:hAnsi="仿宋" w:eastAsia="仿宋"/>
          <w:sz w:val="32"/>
          <w:szCs w:val="32"/>
        </w:rPr>
        <w:t>无需</w:t>
      </w:r>
      <w:r w:rsidRPr="003C684F">
        <w:rPr>
          <w:rFonts w:hint="eastAsia" w:ascii="仿宋" w:hAnsi="仿宋" w:eastAsia="仿宋"/>
          <w:sz w:val="32"/>
          <w:szCs w:val="32"/>
        </w:rPr>
        <w:t>再次服用本品，在常规服药时间进行下次给药。</w:t>
      </w:r>
    </w:p>
    <w:p w:rsidRPr="003C684F" w:rsidR="009730C1" w:rsidRDefault="00A315B9" w14:paraId="12D341E5" w14:textId="77777777">
      <w:pPr>
        <w:spacing w:line="360" w:lineRule="auto"/>
        <w:ind w:firstLine="640" w:firstLineChars="200"/>
        <w:contextualSpacing/>
        <w:rPr>
          <w:rFonts w:ascii="仿宋" w:hAnsi="仿宋" w:eastAsia="仿宋"/>
          <w:sz w:val="32"/>
          <w:szCs w:val="32"/>
        </w:rPr>
      </w:pPr>
      <w:r w:rsidRPr="003C684F">
        <w:rPr>
          <w:rFonts w:ascii="仿宋" w:hAnsi="仿宋" w:eastAsia="仿宋"/>
          <w:sz w:val="32"/>
          <w:szCs w:val="32"/>
        </w:rPr>
        <w:t>4.</w:t>
      </w:r>
      <w:r w:rsidRPr="003C684F">
        <w:rPr>
          <w:rFonts w:hint="eastAsia" w:ascii="仿宋" w:hAnsi="仿宋" w:eastAsia="仿宋"/>
          <w:sz w:val="32"/>
          <w:szCs w:val="32"/>
        </w:rPr>
        <w:t>本品在急性髓系白血病患者中发生肿瘤溶解综合征风险相对较低，但仍应予以足够重视。建议在本品给药前，患者的白细胞计数应小于</w:t>
      </w:r>
      <w:r w:rsidRPr="003C684F">
        <w:rPr>
          <w:rFonts w:ascii="仿宋" w:hAnsi="仿宋" w:eastAsia="仿宋"/>
          <w:sz w:val="32"/>
          <w:szCs w:val="32"/>
        </w:rPr>
        <w:t>25×10</w:t>
      </w:r>
      <w:r w:rsidRPr="003C684F">
        <w:rPr>
          <w:rFonts w:ascii="仿宋" w:hAnsi="仿宋" w:eastAsia="仿宋"/>
          <w:sz w:val="32"/>
          <w:szCs w:val="32"/>
          <w:vertAlign w:val="superscript"/>
        </w:rPr>
        <w:t>9</w:t>
      </w:r>
      <w:r w:rsidRPr="003C684F">
        <w:rPr>
          <w:rFonts w:ascii="仿宋" w:hAnsi="仿宋" w:eastAsia="仿宋"/>
          <w:sz w:val="32"/>
          <w:szCs w:val="32"/>
        </w:rPr>
        <w:t>/L</w:t>
      </w:r>
      <w:r w:rsidRPr="003C684F">
        <w:rPr>
          <w:rFonts w:hint="eastAsia" w:ascii="仿宋" w:hAnsi="仿宋" w:eastAsia="仿宋"/>
          <w:sz w:val="32"/>
          <w:szCs w:val="32"/>
        </w:rPr>
        <w:t>，纠正紊乱的电解质。在首次给药前以及剂量爬坡期，应给予充足的水化和抗高尿酸血症药物。爬坡期内每次新剂量给药后</w:t>
      </w:r>
      <w:r w:rsidRPr="003C684F">
        <w:rPr>
          <w:rFonts w:ascii="仿宋" w:hAnsi="仿宋" w:eastAsia="仿宋"/>
          <w:sz w:val="32"/>
          <w:szCs w:val="32"/>
        </w:rPr>
        <w:t>6</w:t>
      </w:r>
      <w:r w:rsidRPr="003C684F">
        <w:rPr>
          <w:rFonts w:hint="eastAsia" w:ascii="仿宋" w:hAnsi="仿宋" w:eastAsia="仿宋"/>
          <w:sz w:val="32"/>
          <w:szCs w:val="32"/>
        </w:rPr>
        <w:t>～</w:t>
      </w:r>
      <w:r w:rsidRPr="003C684F">
        <w:rPr>
          <w:rFonts w:ascii="仿宋" w:hAnsi="仿宋" w:eastAsia="仿宋"/>
          <w:sz w:val="32"/>
          <w:szCs w:val="32"/>
        </w:rPr>
        <w:t>8</w:t>
      </w:r>
      <w:r w:rsidRPr="003C684F">
        <w:rPr>
          <w:rFonts w:hint="eastAsia" w:ascii="仿宋" w:hAnsi="仿宋" w:eastAsia="仿宋"/>
          <w:sz w:val="32"/>
          <w:szCs w:val="32"/>
        </w:rPr>
        <w:t>小时以及达到最终剂量后</w:t>
      </w:r>
      <w:r w:rsidRPr="003C684F">
        <w:rPr>
          <w:rFonts w:ascii="仿宋" w:hAnsi="仿宋" w:eastAsia="仿宋"/>
          <w:sz w:val="32"/>
          <w:szCs w:val="32"/>
        </w:rPr>
        <w:t>24</w:t>
      </w:r>
      <w:r w:rsidRPr="003C684F">
        <w:rPr>
          <w:rFonts w:hint="eastAsia" w:ascii="仿宋" w:hAnsi="仿宋" w:eastAsia="仿宋"/>
          <w:sz w:val="32"/>
          <w:szCs w:val="32"/>
        </w:rPr>
        <w:t>小时，</w:t>
      </w:r>
      <w:r w:rsidRPr="003C684F">
        <w:rPr>
          <w:rFonts w:ascii="仿宋" w:hAnsi="仿宋" w:eastAsia="仿宋"/>
          <w:sz w:val="32"/>
          <w:szCs w:val="32"/>
        </w:rPr>
        <w:t>应</w:t>
      </w:r>
      <w:r w:rsidRPr="003C684F">
        <w:rPr>
          <w:rFonts w:hint="eastAsia" w:ascii="仿宋" w:hAnsi="仿宋" w:eastAsia="仿宋"/>
          <w:sz w:val="32"/>
          <w:szCs w:val="32"/>
        </w:rPr>
        <w:t>监测血生化以评估</w:t>
      </w:r>
      <w:r w:rsidRPr="003C684F">
        <w:rPr>
          <w:rFonts w:ascii="仿宋" w:hAnsi="仿宋" w:eastAsia="仿宋"/>
          <w:sz w:val="32"/>
          <w:szCs w:val="32"/>
        </w:rPr>
        <w:t>肿瘤溶解综合征</w:t>
      </w:r>
      <w:r w:rsidRPr="003C684F">
        <w:rPr>
          <w:rFonts w:hint="eastAsia" w:ascii="仿宋" w:hAnsi="仿宋" w:eastAsia="仿宋"/>
          <w:sz w:val="32"/>
          <w:szCs w:val="32"/>
        </w:rPr>
        <w:t>。对于有肿瘤溶解综合征风险的患者，可给予额外措施加</w:t>
      </w:r>
      <w:r w:rsidRPr="003C684F">
        <w:rPr>
          <w:rFonts w:hint="eastAsia" w:ascii="仿宋" w:hAnsi="仿宋" w:eastAsia="仿宋"/>
          <w:sz w:val="32"/>
          <w:szCs w:val="32"/>
        </w:rPr>
        <w:lastRenderedPageBreak/>
        <w:t>强肿瘤溶解综合征预防。</w:t>
      </w:r>
    </w:p>
    <w:p w:rsidRPr="003C684F" w:rsidR="009730C1" w:rsidRDefault="00A315B9" w14:paraId="4D93ABDB" w14:textId="77777777">
      <w:pPr>
        <w:spacing w:line="360" w:lineRule="auto"/>
        <w:ind w:firstLine="640" w:firstLineChars="200"/>
        <w:contextualSpacing/>
        <w:rPr>
          <w:rFonts w:ascii="仿宋" w:hAnsi="仿宋" w:eastAsia="仿宋"/>
          <w:sz w:val="32"/>
          <w:szCs w:val="32"/>
        </w:rPr>
      </w:pPr>
      <w:r w:rsidRPr="003C684F">
        <w:rPr>
          <w:rFonts w:ascii="仿宋" w:hAnsi="仿宋" w:eastAsia="仿宋"/>
          <w:sz w:val="32"/>
          <w:szCs w:val="32"/>
        </w:rPr>
        <w:t>5</w:t>
      </w:r>
      <w:r w:rsidRPr="003C684F">
        <w:rPr>
          <w:rFonts w:hint="eastAsia" w:ascii="仿宋" w:hAnsi="仿宋" w:eastAsia="仿宋"/>
          <w:sz w:val="32"/>
          <w:szCs w:val="32"/>
        </w:rPr>
        <w:t>.血液学毒性是维奈克拉最常见的不良反应。在诱导治疗获得缓解前，即使发生4级血细胞减少，也不应中断本品治疗。在获得缓解后的首个疗程中再次出现4级血细胞减少且持续超过7天，仍建议坚持足剂量足疗程使用，治疗结束后推迟下一疗程开始，监测血细胞计数，等待血细胞减少恢复至</w:t>
      </w:r>
      <w:r w:rsidRPr="003C684F">
        <w:rPr>
          <w:rFonts w:ascii="仿宋" w:hAnsi="仿宋" w:eastAsia="仿宋"/>
          <w:sz w:val="32"/>
          <w:szCs w:val="32"/>
        </w:rPr>
        <w:t>1</w:t>
      </w:r>
      <w:r w:rsidRPr="003C684F">
        <w:rPr>
          <w:rFonts w:hint="eastAsia" w:ascii="仿宋" w:hAnsi="仿宋" w:eastAsia="仿宋"/>
          <w:sz w:val="32"/>
          <w:szCs w:val="32"/>
        </w:rPr>
        <w:t>级或</w:t>
      </w:r>
      <w:r w:rsidRPr="003C684F">
        <w:rPr>
          <w:rFonts w:ascii="仿宋" w:hAnsi="仿宋" w:eastAsia="仿宋"/>
          <w:sz w:val="32"/>
          <w:szCs w:val="32"/>
        </w:rPr>
        <w:t>2</w:t>
      </w:r>
      <w:r w:rsidRPr="003C684F">
        <w:rPr>
          <w:rFonts w:hint="eastAsia" w:ascii="仿宋" w:hAnsi="仿宋" w:eastAsia="仿宋"/>
          <w:sz w:val="32"/>
          <w:szCs w:val="32"/>
        </w:rPr>
        <w:t>级，则以相同剂量恢复本品与阿扎胞苷的后续治疗。若在后续疗程中再次出现4级血细胞减少且持续超过7天，可考虑将维奈克拉疗程从28天减少至21天，监测血细胞计数，等待血细胞减少恢复至</w:t>
      </w:r>
      <w:r w:rsidRPr="003C684F">
        <w:rPr>
          <w:rFonts w:ascii="仿宋" w:hAnsi="仿宋" w:eastAsia="仿宋"/>
          <w:sz w:val="32"/>
          <w:szCs w:val="32"/>
        </w:rPr>
        <w:t>1</w:t>
      </w:r>
      <w:r w:rsidRPr="003C684F">
        <w:rPr>
          <w:rFonts w:hint="eastAsia" w:ascii="仿宋" w:hAnsi="仿宋" w:eastAsia="仿宋"/>
          <w:sz w:val="32"/>
          <w:szCs w:val="32"/>
        </w:rPr>
        <w:t>级或</w:t>
      </w:r>
      <w:r w:rsidRPr="003C684F">
        <w:rPr>
          <w:rFonts w:ascii="仿宋" w:hAnsi="仿宋" w:eastAsia="仿宋"/>
          <w:sz w:val="32"/>
          <w:szCs w:val="32"/>
        </w:rPr>
        <w:t>2</w:t>
      </w:r>
      <w:r w:rsidRPr="003C684F">
        <w:rPr>
          <w:rFonts w:hint="eastAsia" w:ascii="仿宋" w:hAnsi="仿宋" w:eastAsia="仿宋"/>
          <w:sz w:val="32"/>
          <w:szCs w:val="32"/>
        </w:rPr>
        <w:t>级再开始后续治疗。</w:t>
      </w:r>
    </w:p>
    <w:p w:rsidRPr="003C684F" w:rsidR="009730C1" w:rsidRDefault="00A315B9" w14:paraId="3534DD35" w14:textId="196CA568">
      <w:pPr>
        <w:spacing w:line="360" w:lineRule="auto"/>
        <w:ind w:firstLine="640" w:firstLineChars="200"/>
        <w:contextualSpacing/>
        <w:rPr>
          <w:rFonts w:ascii="仿宋" w:hAnsi="仿宋" w:eastAsia="仿宋"/>
          <w:sz w:val="32"/>
          <w:szCs w:val="32"/>
        </w:rPr>
      </w:pPr>
      <w:r w:rsidRPr="003C684F">
        <w:rPr>
          <w:rFonts w:ascii="仿宋" w:hAnsi="仿宋" w:eastAsia="仿宋"/>
          <w:sz w:val="32"/>
          <w:szCs w:val="32"/>
        </w:rPr>
        <w:t>6</w:t>
      </w:r>
      <w:r w:rsidRPr="003C684F">
        <w:rPr>
          <w:rFonts w:hint="eastAsia" w:ascii="仿宋" w:hAnsi="仿宋" w:eastAsia="仿宋"/>
          <w:sz w:val="32"/>
          <w:szCs w:val="32"/>
        </w:rPr>
        <w:t>.本品与C</w:t>
      </w:r>
      <w:r w:rsidRPr="003C684F">
        <w:rPr>
          <w:rFonts w:ascii="仿宋" w:hAnsi="仿宋" w:eastAsia="仿宋"/>
          <w:sz w:val="32"/>
          <w:szCs w:val="32"/>
        </w:rPr>
        <w:t>YP3A</w:t>
      </w:r>
      <w:r w:rsidRPr="003C684F">
        <w:rPr>
          <w:rFonts w:hint="eastAsia" w:ascii="仿宋" w:hAnsi="仿宋" w:eastAsia="仿宋"/>
          <w:sz w:val="32"/>
          <w:szCs w:val="32"/>
        </w:rPr>
        <w:t>抑制剂</w:t>
      </w:r>
      <w:r w:rsidRPr="003C684F" w:rsidR="00DE313C">
        <w:rPr>
          <w:rFonts w:hint="eastAsia" w:ascii="仿宋" w:hAnsi="仿宋" w:eastAsia="仿宋"/>
          <w:sz w:val="32"/>
          <w:szCs w:val="32"/>
        </w:rPr>
        <w:t>联合使用</w:t>
      </w:r>
      <w:r w:rsidRPr="003C684F">
        <w:rPr>
          <w:rFonts w:hint="eastAsia" w:ascii="仿宋" w:hAnsi="仿宋" w:eastAsia="仿宋"/>
          <w:sz w:val="32"/>
          <w:szCs w:val="32"/>
        </w:rPr>
        <w:t>时需进行相应的调整剂量。本品与</w:t>
      </w:r>
      <w:r w:rsidRPr="003C684F" w:rsidR="000679FC">
        <w:rPr>
          <w:rFonts w:hint="eastAsia" w:ascii="仿宋" w:hAnsi="仿宋" w:eastAsia="仿宋"/>
          <w:sz w:val="32"/>
          <w:szCs w:val="32"/>
        </w:rPr>
        <w:t>CYP3A强效</w:t>
      </w:r>
      <w:r w:rsidRPr="003C684F">
        <w:rPr>
          <w:rFonts w:hint="eastAsia" w:ascii="仿宋" w:hAnsi="仿宋" w:eastAsia="仿宋"/>
          <w:sz w:val="32"/>
          <w:szCs w:val="32"/>
        </w:rPr>
        <w:t>抑制剂（如伊曲康唑、伏立康唑、酮康唑等）</w:t>
      </w:r>
      <w:r w:rsidRPr="003C684F" w:rsidR="00DE313C">
        <w:rPr>
          <w:rFonts w:hint="eastAsia" w:ascii="仿宋" w:hAnsi="仿宋" w:eastAsia="仿宋"/>
          <w:sz w:val="32"/>
          <w:szCs w:val="32"/>
        </w:rPr>
        <w:t>联合使用</w:t>
      </w:r>
      <w:r w:rsidRPr="003C684F">
        <w:rPr>
          <w:rFonts w:hint="eastAsia" w:ascii="仿宋" w:hAnsi="仿宋" w:eastAsia="仿宋"/>
          <w:sz w:val="32"/>
          <w:szCs w:val="32"/>
        </w:rPr>
        <w:t>时，维奈克拉需减量至100mg/d，若处于剂量爬坡期，减量方法为：维奈克拉10mg d1，20mg d2，50mg d3，100mg d4；泊沙康唑也属于</w:t>
      </w:r>
      <w:r w:rsidRPr="003C684F" w:rsidR="003900BE">
        <w:rPr>
          <w:rFonts w:hint="eastAsia" w:ascii="仿宋" w:hAnsi="仿宋" w:eastAsia="仿宋"/>
          <w:sz w:val="32"/>
          <w:szCs w:val="32"/>
        </w:rPr>
        <w:t>CYP3A强效</w:t>
      </w:r>
      <w:r w:rsidRPr="003C684F">
        <w:rPr>
          <w:rFonts w:hint="eastAsia" w:ascii="仿宋" w:hAnsi="仿宋" w:eastAsia="仿宋"/>
          <w:sz w:val="32"/>
          <w:szCs w:val="32"/>
        </w:rPr>
        <w:t>抑制剂，但与泊沙康唑</w:t>
      </w:r>
      <w:r w:rsidRPr="003C684F" w:rsidR="00DE313C">
        <w:rPr>
          <w:rFonts w:hint="eastAsia" w:ascii="仿宋" w:hAnsi="仿宋" w:eastAsia="仿宋"/>
          <w:sz w:val="32"/>
          <w:szCs w:val="32"/>
        </w:rPr>
        <w:t>联合使用</w:t>
      </w:r>
      <w:r w:rsidRPr="003C684F">
        <w:rPr>
          <w:rFonts w:hint="eastAsia" w:ascii="仿宋" w:hAnsi="仿宋" w:eastAsia="仿宋"/>
          <w:sz w:val="32"/>
          <w:szCs w:val="32"/>
        </w:rPr>
        <w:t>时，维奈克拉需减量至70mg/d，若处于剂量爬坡期，减量方法为：维奈克拉10mg d1，20mg d2，50mg d3，70mg d4；与C</w:t>
      </w:r>
      <w:r w:rsidRPr="003C684F">
        <w:rPr>
          <w:rFonts w:ascii="仿宋" w:hAnsi="仿宋" w:eastAsia="仿宋"/>
          <w:sz w:val="32"/>
          <w:szCs w:val="32"/>
        </w:rPr>
        <w:t>YP3A</w:t>
      </w:r>
      <w:r w:rsidRPr="003C684F" w:rsidR="009D028E">
        <w:rPr>
          <w:rFonts w:hint="eastAsia" w:ascii="仿宋" w:hAnsi="仿宋" w:eastAsia="仿宋"/>
          <w:sz w:val="32"/>
          <w:szCs w:val="32"/>
        </w:rPr>
        <w:t>中效</w:t>
      </w:r>
      <w:r w:rsidRPr="003C684F">
        <w:rPr>
          <w:rFonts w:hint="eastAsia" w:ascii="仿宋" w:hAnsi="仿宋" w:eastAsia="仿宋"/>
          <w:sz w:val="32"/>
          <w:szCs w:val="32"/>
        </w:rPr>
        <w:t>抑制剂（如氟康唑等）和P-糖蛋白抑制剂（如胺碘酮、卡托普利等）</w:t>
      </w:r>
      <w:r w:rsidRPr="003C684F" w:rsidR="00DE313C">
        <w:rPr>
          <w:rFonts w:hint="eastAsia" w:ascii="仿宋" w:hAnsi="仿宋" w:eastAsia="仿宋"/>
          <w:sz w:val="32"/>
          <w:szCs w:val="32"/>
        </w:rPr>
        <w:t>联合使用</w:t>
      </w:r>
      <w:r w:rsidRPr="003C684F">
        <w:rPr>
          <w:rFonts w:hint="eastAsia" w:ascii="仿宋" w:hAnsi="仿宋" w:eastAsia="仿宋"/>
          <w:sz w:val="32"/>
          <w:szCs w:val="32"/>
        </w:rPr>
        <w:t>时，维奈克拉需减量50%。禁止本品与C</w:t>
      </w:r>
      <w:r w:rsidRPr="003C684F">
        <w:rPr>
          <w:rFonts w:ascii="仿宋" w:hAnsi="仿宋" w:eastAsia="仿宋"/>
          <w:sz w:val="32"/>
          <w:szCs w:val="32"/>
        </w:rPr>
        <w:t>YP3A</w:t>
      </w:r>
      <w:r w:rsidRPr="003C684F">
        <w:rPr>
          <w:rFonts w:hint="eastAsia" w:ascii="仿宋" w:hAnsi="仿宋" w:eastAsia="仿宋"/>
          <w:sz w:val="32"/>
          <w:szCs w:val="32"/>
        </w:rPr>
        <w:t>诱导剂（如利福平、苯妥英钠、卡马西平等）联合使用。本品与P-糖蛋白底物（如地高辛等）</w:t>
      </w:r>
      <w:r w:rsidRPr="003C684F">
        <w:rPr>
          <w:rFonts w:hint="eastAsia" w:ascii="仿宋" w:hAnsi="仿宋" w:eastAsia="仿宋"/>
          <w:sz w:val="32"/>
          <w:szCs w:val="32"/>
        </w:rPr>
        <w:lastRenderedPageBreak/>
        <w:t>及华法林等</w:t>
      </w:r>
      <w:r w:rsidRPr="003C684F" w:rsidR="00DE313C">
        <w:rPr>
          <w:rFonts w:hint="eastAsia" w:ascii="仿宋" w:hAnsi="仿宋" w:eastAsia="仿宋"/>
          <w:sz w:val="32"/>
          <w:szCs w:val="32"/>
        </w:rPr>
        <w:t>联合使用</w:t>
      </w:r>
      <w:r w:rsidRPr="003C684F">
        <w:rPr>
          <w:rFonts w:hint="eastAsia" w:ascii="仿宋" w:hAnsi="仿宋" w:eastAsia="仿宋"/>
          <w:sz w:val="32"/>
          <w:szCs w:val="32"/>
        </w:rPr>
        <w:t>，需密切监测</w:t>
      </w:r>
      <w:r w:rsidRPr="003C684F" w:rsidR="00F92328">
        <w:rPr>
          <w:rFonts w:hint="eastAsia" w:ascii="仿宋" w:hAnsi="仿宋" w:eastAsia="仿宋"/>
          <w:sz w:val="32"/>
          <w:szCs w:val="32"/>
        </w:rPr>
        <w:t>联合使用</w:t>
      </w:r>
      <w:r w:rsidRPr="003C684F">
        <w:rPr>
          <w:rFonts w:hint="eastAsia" w:ascii="仿宋" w:hAnsi="仿宋" w:eastAsia="仿宋"/>
          <w:sz w:val="32"/>
          <w:szCs w:val="32"/>
        </w:rPr>
        <w:t>药物的血药浓度、I</w:t>
      </w:r>
      <w:r w:rsidRPr="003C684F">
        <w:rPr>
          <w:rFonts w:ascii="仿宋" w:hAnsi="仿宋" w:eastAsia="仿宋"/>
          <w:sz w:val="32"/>
          <w:szCs w:val="32"/>
        </w:rPr>
        <w:t>NR</w:t>
      </w:r>
      <w:r w:rsidRPr="003C684F">
        <w:rPr>
          <w:rFonts w:hint="eastAsia" w:ascii="仿宋" w:hAnsi="仿宋" w:eastAsia="仿宋"/>
          <w:sz w:val="32"/>
          <w:szCs w:val="32"/>
        </w:rPr>
        <w:t>等相应指标。</w:t>
      </w:r>
    </w:p>
    <w:p w:rsidRPr="003C684F" w:rsidR="009730C1" w:rsidRDefault="00A315B9" w14:paraId="4816FC44" w14:textId="39EFEC39">
      <w:pPr>
        <w:spacing w:line="360" w:lineRule="auto"/>
        <w:ind w:firstLine="640" w:firstLineChars="200"/>
        <w:rPr>
          <w:rFonts w:ascii="仿宋" w:hAnsi="仿宋" w:eastAsia="仿宋"/>
          <w:sz w:val="32"/>
          <w:szCs w:val="32"/>
        </w:rPr>
      </w:pPr>
      <w:r w:rsidRPr="003C684F">
        <w:rPr>
          <w:rFonts w:ascii="仿宋" w:hAnsi="仿宋" w:eastAsia="仿宋"/>
          <w:sz w:val="32"/>
          <w:szCs w:val="32"/>
        </w:rPr>
        <w:t>7</w:t>
      </w:r>
      <w:r w:rsidRPr="003C684F">
        <w:rPr>
          <w:rFonts w:hint="eastAsia" w:ascii="仿宋" w:hAnsi="仿宋" w:eastAsia="仿宋"/>
          <w:sz w:val="32"/>
          <w:szCs w:val="32"/>
        </w:rPr>
        <w:t>.轻中重度肾功能损伤（</w:t>
      </w:r>
      <w:r w:rsidRPr="003C684F">
        <w:rPr>
          <w:rFonts w:ascii="仿宋" w:hAnsi="仿宋" w:eastAsia="仿宋"/>
          <w:bCs/>
          <w:sz w:val="32"/>
          <w:szCs w:val="32"/>
        </w:rPr>
        <w:t>肌酐清除率</w:t>
      </w:r>
      <w:r w:rsidRPr="003C684F">
        <w:rPr>
          <w:rFonts w:hint="eastAsia" w:ascii="仿宋" w:hAnsi="仿宋" w:eastAsia="仿宋"/>
          <w:sz w:val="32"/>
          <w:szCs w:val="32"/>
        </w:rPr>
        <w:t>≥</w:t>
      </w:r>
      <w:r w:rsidRPr="003C684F">
        <w:rPr>
          <w:rFonts w:ascii="仿宋" w:hAnsi="仿宋" w:eastAsia="仿宋"/>
          <w:sz w:val="32"/>
          <w:szCs w:val="32"/>
        </w:rPr>
        <w:t>15ml/min</w:t>
      </w:r>
      <w:r w:rsidRPr="003C684F">
        <w:rPr>
          <w:rFonts w:hint="eastAsia" w:ascii="仿宋" w:hAnsi="仿宋" w:eastAsia="仿宋"/>
          <w:sz w:val="32"/>
          <w:szCs w:val="32"/>
        </w:rPr>
        <w:t>）患者无需剂量调整。轻度（</w:t>
      </w:r>
      <w:r w:rsidRPr="003C684F">
        <w:rPr>
          <w:rFonts w:ascii="仿宋" w:hAnsi="仿宋" w:eastAsia="仿宋"/>
          <w:sz w:val="32"/>
          <w:szCs w:val="32"/>
        </w:rPr>
        <w:t>Child-Pugh</w:t>
      </w:r>
      <w:r w:rsidR="00E04840">
        <w:rPr>
          <w:rFonts w:hint="eastAsia" w:ascii="仿宋" w:hAnsi="仿宋" w:eastAsia="仿宋"/>
          <w:sz w:val="32"/>
          <w:szCs w:val="32"/>
        </w:rPr>
        <w:t xml:space="preserve"> </w:t>
      </w:r>
      <w:r w:rsidRPr="003C684F">
        <w:rPr>
          <w:rFonts w:ascii="仿宋" w:hAnsi="仿宋" w:eastAsia="仿宋"/>
          <w:sz w:val="32"/>
          <w:szCs w:val="32"/>
        </w:rPr>
        <w:t>A</w:t>
      </w:r>
      <w:r w:rsidRPr="003C684F">
        <w:rPr>
          <w:rFonts w:hint="eastAsia" w:ascii="仿宋" w:hAnsi="仿宋" w:eastAsia="仿宋"/>
          <w:sz w:val="32"/>
          <w:szCs w:val="32"/>
        </w:rPr>
        <w:t>级）或中度（</w:t>
      </w:r>
      <w:r w:rsidRPr="003C684F">
        <w:rPr>
          <w:rFonts w:ascii="仿宋" w:hAnsi="仿宋" w:eastAsia="仿宋"/>
          <w:sz w:val="32"/>
          <w:szCs w:val="32"/>
        </w:rPr>
        <w:t>Child-Pugh</w:t>
      </w:r>
      <w:r w:rsidR="00E04840">
        <w:rPr>
          <w:rFonts w:hint="eastAsia" w:ascii="仿宋" w:hAnsi="仿宋" w:eastAsia="仿宋"/>
          <w:sz w:val="32"/>
          <w:szCs w:val="32"/>
        </w:rPr>
        <w:t xml:space="preserve"> </w:t>
      </w:r>
      <w:r w:rsidRPr="003C684F">
        <w:rPr>
          <w:rFonts w:ascii="仿宋" w:hAnsi="仿宋" w:eastAsia="仿宋"/>
          <w:sz w:val="32"/>
          <w:szCs w:val="32"/>
        </w:rPr>
        <w:t>B</w:t>
      </w:r>
      <w:r w:rsidRPr="003C684F">
        <w:rPr>
          <w:rFonts w:hint="eastAsia" w:ascii="仿宋" w:hAnsi="仿宋" w:eastAsia="仿宋"/>
          <w:sz w:val="32"/>
          <w:szCs w:val="32"/>
        </w:rPr>
        <w:t>级）肝功能损伤患者无需调整剂量。重度肝功能损伤（Child-Pugh C级）患者接受本品治疗时，给药剂量降低50%。</w:t>
      </w:r>
    </w:p>
    <w:p w:rsidRPr="003C684F" w:rsidR="004F446D" w:rsidP="004F446D" w:rsidRDefault="004F446D" w14:paraId="4A6AC092" w14:textId="565B892D">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vertAlign w:val="superscript"/>
        </w:rPr>
        <w:t>※</w:t>
      </w:r>
      <w:r w:rsidRPr="003C684F">
        <w:rPr>
          <w:rFonts w:hint="eastAsia" w:ascii="仿宋" w:hAnsi="仿宋" w:eastAsia="仿宋"/>
          <w:sz w:val="32"/>
          <w:szCs w:val="32"/>
        </w:rPr>
        <w:t>8.美国FDA获批的其他适应证：伴有de1</w:t>
      </w:r>
      <w:r w:rsidRPr="003C684F" w:rsidR="001543C4">
        <w:rPr>
          <w:rFonts w:hint="eastAsia" w:ascii="仿宋" w:hAnsi="仿宋" w:eastAsia="仿宋"/>
          <w:sz w:val="32"/>
          <w:szCs w:val="32"/>
        </w:rPr>
        <w:t>（</w:t>
      </w:r>
      <w:r w:rsidRPr="003C684F">
        <w:rPr>
          <w:rFonts w:hint="eastAsia" w:ascii="仿宋" w:hAnsi="仿宋" w:eastAsia="仿宋"/>
          <w:sz w:val="32"/>
          <w:szCs w:val="32"/>
        </w:rPr>
        <w:t>17p</w:t>
      </w:r>
      <w:r w:rsidRPr="003C684F" w:rsidR="001543C4">
        <w:rPr>
          <w:rFonts w:hint="eastAsia" w:ascii="仿宋" w:hAnsi="仿宋" w:eastAsia="仿宋"/>
          <w:sz w:val="32"/>
          <w:szCs w:val="32"/>
        </w:rPr>
        <w:t>）</w:t>
      </w:r>
      <w:r w:rsidRPr="003C684F">
        <w:rPr>
          <w:rFonts w:hint="eastAsia" w:ascii="仿宋" w:hAnsi="仿宋" w:eastAsia="仿宋"/>
          <w:sz w:val="32"/>
          <w:szCs w:val="32"/>
        </w:rPr>
        <w:t>的慢性淋巴细胞白血病，与利妥昔单抗联合治疗既往治疗过的慢性淋巴细胞白血病，与奥妥珠单抗联合用于初始治疗的慢性淋巴细胞白血病。</w:t>
      </w:r>
    </w:p>
    <w:p w:rsidRPr="003C684F" w:rsidR="009730C1" w:rsidRDefault="00A315B9" w14:paraId="34D89784" w14:textId="77777777">
      <w:pPr>
        <w:spacing w:line="360" w:lineRule="auto"/>
        <w:ind w:firstLine="640" w:firstLineChars="200"/>
        <w:rPr>
          <w:rFonts w:ascii="黑体" w:hAnsi="黑体" w:eastAsia="黑体"/>
          <w:sz w:val="32"/>
          <w:szCs w:val="32"/>
        </w:rPr>
      </w:pPr>
      <w:r w:rsidRPr="003C684F">
        <w:rPr>
          <w:rFonts w:hint="eastAsia" w:ascii="黑体" w:hAnsi="黑体" w:eastAsia="黑体"/>
          <w:sz w:val="32"/>
          <w:szCs w:val="32"/>
        </w:rPr>
        <w:t xml:space="preserve">十九、艾伏尼布 </w:t>
      </w:r>
      <w:r w:rsidRPr="003C684F">
        <w:rPr>
          <w:rFonts w:ascii="黑体" w:hAnsi="黑体" w:eastAsia="黑体"/>
          <w:sz w:val="32"/>
          <w:szCs w:val="32"/>
        </w:rPr>
        <w:t>I</w:t>
      </w:r>
      <w:r w:rsidRPr="003C684F">
        <w:rPr>
          <w:rFonts w:hint="eastAsia" w:ascii="黑体" w:hAnsi="黑体" w:eastAsia="黑体"/>
          <w:sz w:val="32"/>
          <w:szCs w:val="32"/>
        </w:rPr>
        <w:t>vosidenib</w:t>
      </w:r>
    </w:p>
    <w:p w:rsidRPr="003C684F" w:rsidR="009730C1" w:rsidRDefault="00A315B9" w14:paraId="7439827C"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片剂：</w:t>
      </w:r>
      <w:r w:rsidRPr="003C684F">
        <w:rPr>
          <w:rFonts w:ascii="仿宋" w:hAnsi="仿宋" w:eastAsia="仿宋"/>
          <w:sz w:val="32"/>
          <w:szCs w:val="32"/>
        </w:rPr>
        <w:t>250</w:t>
      </w:r>
      <w:r w:rsidRPr="003C684F">
        <w:rPr>
          <w:rFonts w:hint="eastAsia" w:ascii="仿宋" w:hAnsi="仿宋" w:eastAsia="仿宋"/>
          <w:sz w:val="32"/>
          <w:szCs w:val="32"/>
        </w:rPr>
        <w:t>mg</w:t>
      </w:r>
    </w:p>
    <w:p w:rsidRPr="003C684F" w:rsidR="009730C1" w:rsidRDefault="00A315B9" w14:paraId="5D4FBF96" w14:textId="77777777">
      <w:pPr>
        <w:spacing w:line="360" w:lineRule="auto"/>
        <w:ind w:firstLine="643" w:firstLineChars="200"/>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sz w:val="32"/>
          <w:szCs w:val="32"/>
        </w:rPr>
        <w:t>携带易感异柠檬酸脱氢酶</w:t>
      </w:r>
      <w:r w:rsidRPr="003C684F">
        <w:rPr>
          <w:rFonts w:ascii="仿宋" w:hAnsi="仿宋" w:eastAsia="仿宋"/>
          <w:sz w:val="32"/>
          <w:szCs w:val="32"/>
        </w:rPr>
        <w:t>-1突变的复发性或难治性急性髓系白血病成人患者</w:t>
      </w:r>
      <w:r w:rsidRPr="003C684F">
        <w:rPr>
          <w:rFonts w:hint="eastAsia" w:ascii="仿宋" w:hAnsi="仿宋" w:eastAsia="仿宋"/>
          <w:sz w:val="32"/>
          <w:szCs w:val="32"/>
        </w:rPr>
        <w:t>。</w:t>
      </w:r>
    </w:p>
    <w:p w:rsidRPr="003C684F" w:rsidR="009730C1" w:rsidRDefault="00A315B9" w14:paraId="5775D71A" w14:textId="77777777">
      <w:pPr>
        <w:spacing w:line="360" w:lineRule="auto"/>
        <w:ind w:firstLine="643" w:firstLineChars="200"/>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5EC9D2B7"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w:t>
      </w:r>
      <w:r w:rsidRPr="003C684F">
        <w:rPr>
          <w:rFonts w:hint="eastAsia" w:ascii="仿宋" w:hAnsi="仿宋" w:eastAsia="仿宋"/>
          <w:sz w:val="32"/>
          <w:szCs w:val="32"/>
        </w:rPr>
        <w:t>用药前须采用经充分验证的检测方法诊断为</w:t>
      </w:r>
      <w:r w:rsidRPr="003C684F">
        <w:rPr>
          <w:rFonts w:ascii="仿宋" w:hAnsi="仿宋" w:eastAsia="仿宋"/>
          <w:sz w:val="32"/>
          <w:szCs w:val="32"/>
        </w:rPr>
        <w:t>携带易感异柠檬酸脱氢酶-1突变</w:t>
      </w:r>
      <w:r w:rsidRPr="003C684F">
        <w:rPr>
          <w:rFonts w:hint="eastAsia" w:ascii="仿宋" w:hAnsi="仿宋" w:eastAsia="仿宋"/>
          <w:sz w:val="32"/>
          <w:szCs w:val="32"/>
        </w:rPr>
        <w:t>。</w:t>
      </w:r>
    </w:p>
    <w:p w:rsidRPr="003C684F" w:rsidR="009730C1" w:rsidRDefault="00A315B9" w14:paraId="7FA5A140" w14:textId="0F9D5BEE">
      <w:pPr>
        <w:spacing w:line="360" w:lineRule="auto"/>
        <w:ind w:firstLine="640" w:firstLineChars="200"/>
        <w:rPr>
          <w:rFonts w:ascii="仿宋" w:hAnsi="仿宋" w:eastAsia="仿宋"/>
          <w:sz w:val="32"/>
          <w:szCs w:val="32"/>
        </w:rPr>
      </w:pPr>
      <w:r w:rsidRPr="003C684F">
        <w:rPr>
          <w:rFonts w:ascii="仿宋" w:hAnsi="仿宋" w:eastAsia="仿宋"/>
          <w:sz w:val="32"/>
          <w:szCs w:val="32"/>
        </w:rPr>
        <w:t>2.</w:t>
      </w:r>
      <w:r w:rsidRPr="003C684F">
        <w:rPr>
          <w:rFonts w:hint="eastAsia" w:ascii="仿宋" w:hAnsi="仿宋" w:eastAsia="仿宋"/>
          <w:sz w:val="32"/>
          <w:szCs w:val="32"/>
        </w:rPr>
        <w:t>推荐剂量为</w:t>
      </w:r>
      <w:r w:rsidRPr="003C684F">
        <w:rPr>
          <w:rFonts w:ascii="仿宋" w:hAnsi="仿宋" w:eastAsia="仿宋"/>
          <w:sz w:val="32"/>
          <w:szCs w:val="32"/>
        </w:rPr>
        <w:t>500</w:t>
      </w:r>
      <w:r w:rsidRPr="003C684F">
        <w:rPr>
          <w:rFonts w:hint="eastAsia" w:ascii="仿宋" w:hAnsi="仿宋" w:eastAsia="仿宋"/>
          <w:sz w:val="32"/>
          <w:szCs w:val="32"/>
        </w:rPr>
        <w:t>mg</w:t>
      </w:r>
      <w:r w:rsidRPr="003C684F" w:rsidR="00BB2449">
        <w:rPr>
          <w:rFonts w:hint="eastAsia" w:ascii="仿宋" w:hAnsi="仿宋" w:eastAsia="仿宋"/>
          <w:sz w:val="32"/>
          <w:szCs w:val="32"/>
        </w:rPr>
        <w:t>/次</w:t>
      </w:r>
      <w:r w:rsidRPr="003C684F">
        <w:rPr>
          <w:rFonts w:hint="eastAsia" w:ascii="仿宋" w:hAnsi="仿宋" w:eastAsia="仿宋"/>
          <w:sz w:val="32"/>
          <w:szCs w:val="32"/>
        </w:rPr>
        <w:t>，每天一次，</w:t>
      </w:r>
      <w:r w:rsidRPr="003C684F" w:rsidR="00BB2449">
        <w:rPr>
          <w:rFonts w:hint="eastAsia" w:ascii="仿宋" w:hAnsi="仿宋" w:eastAsia="仿宋"/>
          <w:sz w:val="32"/>
          <w:szCs w:val="32"/>
        </w:rPr>
        <w:t>口服，</w:t>
      </w:r>
      <w:r w:rsidRPr="003C684F">
        <w:rPr>
          <w:rFonts w:hint="eastAsia" w:ascii="仿宋" w:hAnsi="仿宋" w:eastAsia="仿宋"/>
          <w:sz w:val="32"/>
          <w:szCs w:val="32"/>
        </w:rPr>
        <w:t>直至</w:t>
      </w:r>
      <w:r w:rsidRPr="003C684F" w:rsidR="00B95507">
        <w:rPr>
          <w:rFonts w:hint="eastAsia" w:ascii="仿宋" w:hAnsi="仿宋" w:eastAsia="仿宋"/>
          <w:sz w:val="32"/>
          <w:szCs w:val="32"/>
        </w:rPr>
        <w:t>疾病进展或出现不可耐受的毒性。</w:t>
      </w:r>
      <w:r w:rsidRPr="003C684F">
        <w:rPr>
          <w:rFonts w:hint="eastAsia" w:ascii="仿宋" w:hAnsi="仿宋" w:eastAsia="仿宋"/>
          <w:sz w:val="32"/>
          <w:szCs w:val="32"/>
        </w:rPr>
        <w:t>对未出现疾病进展或不可耐受毒性的患者，需至少接受</w:t>
      </w:r>
      <w:r w:rsidRPr="003C684F">
        <w:rPr>
          <w:rFonts w:ascii="仿宋" w:hAnsi="仿宋" w:eastAsia="仿宋"/>
          <w:sz w:val="32"/>
          <w:szCs w:val="32"/>
        </w:rPr>
        <w:t>6个月治疗</w:t>
      </w:r>
      <w:r w:rsidRPr="003C684F">
        <w:rPr>
          <w:rFonts w:hint="eastAsia" w:ascii="仿宋" w:hAnsi="仿宋" w:eastAsia="仿宋"/>
          <w:sz w:val="32"/>
          <w:szCs w:val="32"/>
        </w:rPr>
        <w:t>，从而充分观察临床反应。</w:t>
      </w:r>
    </w:p>
    <w:p w:rsidRPr="003C684F" w:rsidR="009730C1" w:rsidRDefault="00A315B9" w14:paraId="10280E3D" w14:textId="4202192C">
      <w:pPr>
        <w:spacing w:line="360" w:lineRule="auto"/>
        <w:ind w:firstLine="640" w:firstLineChars="200"/>
        <w:rPr>
          <w:rFonts w:ascii="仿宋" w:hAnsi="仿宋" w:eastAsia="仿宋"/>
          <w:sz w:val="32"/>
          <w:szCs w:val="32"/>
        </w:rPr>
      </w:pPr>
      <w:r w:rsidRPr="003C684F">
        <w:rPr>
          <w:rFonts w:ascii="仿宋" w:hAnsi="仿宋" w:eastAsia="仿宋"/>
          <w:sz w:val="32"/>
          <w:szCs w:val="32"/>
        </w:rPr>
        <w:t>3.</w:t>
      </w:r>
      <w:r w:rsidRPr="003C684F">
        <w:rPr>
          <w:rFonts w:hint="eastAsia" w:ascii="仿宋" w:hAnsi="仿宋" w:eastAsia="仿宋"/>
          <w:sz w:val="32"/>
          <w:szCs w:val="32"/>
        </w:rPr>
        <w:t>本品可空腹或餐后口服。服药时，不要进食高脂肪餐，</w:t>
      </w:r>
      <w:r w:rsidRPr="003C684F">
        <w:rPr>
          <w:rFonts w:hint="eastAsia" w:ascii="仿宋" w:hAnsi="仿宋" w:eastAsia="仿宋"/>
          <w:sz w:val="32"/>
          <w:szCs w:val="32"/>
        </w:rPr>
        <w:lastRenderedPageBreak/>
        <w:t>以免导致血药浓度增加。不要掰开或碾碎本品服用。本品每天应在固定时间服用。如果服药后出现呕吐，</w:t>
      </w:r>
      <w:r w:rsidRPr="003C684F" w:rsidR="00C03193">
        <w:rPr>
          <w:rFonts w:hint="eastAsia" w:ascii="仿宋" w:hAnsi="仿宋" w:eastAsia="仿宋"/>
          <w:sz w:val="32"/>
          <w:szCs w:val="32"/>
        </w:rPr>
        <w:t>无需</w:t>
      </w:r>
      <w:r w:rsidRPr="003C684F">
        <w:rPr>
          <w:rFonts w:hint="eastAsia" w:ascii="仿宋" w:hAnsi="仿宋" w:eastAsia="仿宋"/>
          <w:sz w:val="32"/>
          <w:szCs w:val="32"/>
        </w:rPr>
        <w:t>补服，按照预定时间进行下一次服药。如果漏服或未在既定时间服药，应尽快补服，但如果距下一次预定服药时间小于</w:t>
      </w:r>
      <w:r w:rsidRPr="003C684F">
        <w:rPr>
          <w:rFonts w:ascii="仿宋" w:hAnsi="仿宋" w:eastAsia="仿宋"/>
          <w:sz w:val="32"/>
          <w:szCs w:val="32"/>
        </w:rPr>
        <w:t>12小时，则无需补服，第2天恢复原计划时间服药即可。12小时内不得服药</w:t>
      </w:r>
      <w:r w:rsidRPr="003C684F" w:rsidR="009530AE">
        <w:rPr>
          <w:rFonts w:hint="eastAsia" w:ascii="仿宋" w:hAnsi="仿宋" w:eastAsia="仿宋"/>
          <w:sz w:val="32"/>
          <w:szCs w:val="32"/>
        </w:rPr>
        <w:t>两</w:t>
      </w:r>
      <w:r w:rsidRPr="003C684F">
        <w:rPr>
          <w:rFonts w:ascii="仿宋" w:hAnsi="仿宋" w:eastAsia="仿宋"/>
          <w:sz w:val="32"/>
          <w:szCs w:val="32"/>
        </w:rPr>
        <w:t>次。</w:t>
      </w:r>
    </w:p>
    <w:p w:rsidRPr="003C684F" w:rsidR="009730C1" w:rsidRDefault="00A315B9" w14:paraId="6BB6E28B" w14:textId="0D109CE7">
      <w:pPr>
        <w:spacing w:line="360" w:lineRule="auto"/>
        <w:ind w:firstLine="640" w:firstLineChars="200"/>
        <w:rPr>
          <w:rFonts w:ascii="仿宋" w:hAnsi="仿宋" w:eastAsia="仿宋"/>
          <w:sz w:val="32"/>
          <w:szCs w:val="32"/>
        </w:rPr>
      </w:pPr>
      <w:r w:rsidRPr="003C684F">
        <w:rPr>
          <w:rFonts w:ascii="仿宋" w:hAnsi="仿宋" w:eastAsia="仿宋"/>
          <w:sz w:val="32"/>
          <w:szCs w:val="32"/>
        </w:rPr>
        <w:t>4.</w:t>
      </w:r>
      <w:r w:rsidRPr="003C684F">
        <w:rPr>
          <w:rFonts w:hint="eastAsia" w:ascii="仿宋" w:hAnsi="仿宋" w:eastAsia="仿宋"/>
          <w:sz w:val="32"/>
          <w:szCs w:val="32"/>
        </w:rPr>
        <w:t>首次给药前、治疗的第1个月至少每周一次、治疗的第2个月每</w:t>
      </w:r>
      <w:r w:rsidRPr="003C684F" w:rsidR="009B5B90">
        <w:rPr>
          <w:rFonts w:hint="eastAsia" w:ascii="仿宋" w:hAnsi="仿宋" w:eastAsia="仿宋"/>
          <w:sz w:val="32"/>
          <w:szCs w:val="32"/>
        </w:rPr>
        <w:t>2周</w:t>
      </w:r>
      <w:r w:rsidRPr="003C684F">
        <w:rPr>
          <w:rFonts w:hint="eastAsia" w:ascii="仿宋" w:hAnsi="仿宋" w:eastAsia="仿宋"/>
          <w:sz w:val="32"/>
          <w:szCs w:val="32"/>
        </w:rPr>
        <w:t>一次，此后治疗期间每月一次检查血细胞计数和血生化。在治疗的第1个月，每周一次监测血肌酸磷酸激酶。在治疗的前</w:t>
      </w:r>
      <w:r w:rsidRPr="003C684F" w:rsidR="0008262F">
        <w:rPr>
          <w:rFonts w:hint="eastAsia" w:ascii="仿宋" w:hAnsi="仿宋" w:eastAsia="仿宋"/>
          <w:sz w:val="32"/>
          <w:szCs w:val="32"/>
        </w:rPr>
        <w:t>3周</w:t>
      </w:r>
      <w:r w:rsidRPr="003C684F">
        <w:rPr>
          <w:rFonts w:hint="eastAsia" w:ascii="仿宋" w:hAnsi="仿宋" w:eastAsia="仿宋"/>
          <w:sz w:val="32"/>
          <w:szCs w:val="32"/>
        </w:rPr>
        <w:t>至少每周一次心电图</w:t>
      </w:r>
      <w:r w:rsidRPr="003C684F">
        <w:rPr>
          <w:rFonts w:ascii="仿宋" w:hAnsi="仿宋" w:eastAsia="仿宋"/>
          <w:sz w:val="32"/>
          <w:szCs w:val="32"/>
        </w:rPr>
        <w:t>检查，此后，在治疗期间至少每月检查一次心电图</w:t>
      </w:r>
      <w:r w:rsidRPr="003C684F">
        <w:rPr>
          <w:rFonts w:hint="eastAsia" w:ascii="仿宋" w:hAnsi="仿宋" w:eastAsia="仿宋"/>
          <w:sz w:val="32"/>
          <w:szCs w:val="32"/>
        </w:rPr>
        <w:t>。</w:t>
      </w:r>
      <w:r w:rsidRPr="003C684F">
        <w:rPr>
          <w:rFonts w:ascii="仿宋" w:hAnsi="仿宋" w:eastAsia="仿宋"/>
          <w:sz w:val="32"/>
          <w:szCs w:val="32"/>
        </w:rPr>
        <w:t>有任何异常发现均需及时处理</w:t>
      </w:r>
      <w:r w:rsidRPr="003C684F">
        <w:rPr>
          <w:rFonts w:hint="eastAsia" w:ascii="仿宋" w:hAnsi="仿宋" w:eastAsia="仿宋"/>
          <w:sz w:val="32"/>
          <w:szCs w:val="32"/>
        </w:rPr>
        <w:t>。</w:t>
      </w:r>
    </w:p>
    <w:p w:rsidRPr="003C684F" w:rsidR="009730C1" w:rsidRDefault="00A315B9" w14:paraId="621DEB06" w14:textId="3C57A8C2">
      <w:pPr>
        <w:spacing w:line="360" w:lineRule="auto"/>
        <w:ind w:firstLine="640" w:firstLineChars="200"/>
        <w:rPr>
          <w:rFonts w:ascii="仿宋" w:hAnsi="仿宋" w:eastAsia="仿宋"/>
          <w:sz w:val="32"/>
          <w:szCs w:val="32"/>
        </w:rPr>
      </w:pPr>
      <w:r w:rsidRPr="003C684F">
        <w:rPr>
          <w:rFonts w:ascii="仿宋" w:hAnsi="仿宋" w:eastAsia="仿宋"/>
          <w:sz w:val="32"/>
          <w:szCs w:val="32"/>
        </w:rPr>
        <w:t>5.</w:t>
      </w:r>
      <w:r w:rsidRPr="003C684F">
        <w:rPr>
          <w:rFonts w:hint="eastAsia" w:ascii="仿宋" w:hAnsi="仿宋" w:eastAsia="仿宋"/>
          <w:sz w:val="32"/>
          <w:szCs w:val="32"/>
        </w:rPr>
        <w:t>如果必须与CYP3A</w:t>
      </w:r>
      <w:r w:rsidRPr="003C684F">
        <w:rPr>
          <w:rFonts w:ascii="仿宋" w:hAnsi="仿宋" w:eastAsia="仿宋"/>
          <w:sz w:val="32"/>
          <w:szCs w:val="32"/>
        </w:rPr>
        <w:t>4</w:t>
      </w:r>
      <w:r w:rsidRPr="003C684F" w:rsidR="001744CD">
        <w:rPr>
          <w:rFonts w:hint="eastAsia" w:ascii="仿宋" w:hAnsi="仿宋" w:eastAsia="仿宋"/>
          <w:sz w:val="32"/>
          <w:szCs w:val="32"/>
        </w:rPr>
        <w:t>强效</w:t>
      </w:r>
      <w:r w:rsidRPr="003C684F">
        <w:rPr>
          <w:rFonts w:ascii="仿宋" w:hAnsi="仿宋" w:eastAsia="仿宋"/>
          <w:sz w:val="32"/>
          <w:szCs w:val="32"/>
        </w:rPr>
        <w:t>抑制剂</w:t>
      </w:r>
      <w:r w:rsidRPr="003C684F" w:rsidR="00E923A0">
        <w:rPr>
          <w:rFonts w:hint="eastAsia" w:ascii="仿宋" w:hAnsi="仿宋" w:eastAsia="仿宋"/>
          <w:sz w:val="32"/>
          <w:szCs w:val="32"/>
        </w:rPr>
        <w:t>联合使用</w:t>
      </w:r>
      <w:r w:rsidRPr="003C684F">
        <w:rPr>
          <w:rFonts w:ascii="仿宋" w:hAnsi="仿宋" w:eastAsia="仿宋"/>
          <w:sz w:val="32"/>
          <w:szCs w:val="32"/>
        </w:rPr>
        <w:t>，应将本品剂量降低至250mg</w:t>
      </w:r>
      <w:r w:rsidRPr="003C684F" w:rsidR="00BB2449">
        <w:rPr>
          <w:rFonts w:hint="eastAsia" w:ascii="仿宋" w:hAnsi="仿宋" w:eastAsia="仿宋"/>
          <w:sz w:val="32"/>
          <w:szCs w:val="32"/>
        </w:rPr>
        <w:t>/次</w:t>
      </w:r>
      <w:r w:rsidRPr="003C684F">
        <w:rPr>
          <w:rFonts w:ascii="仿宋" w:hAnsi="仿宋" w:eastAsia="仿宋"/>
          <w:sz w:val="32"/>
          <w:szCs w:val="32"/>
        </w:rPr>
        <w:t>，每天一次。在</w:t>
      </w:r>
      <w:r w:rsidRPr="003C684F">
        <w:rPr>
          <w:rFonts w:hint="eastAsia" w:ascii="仿宋" w:hAnsi="仿宋" w:eastAsia="仿宋"/>
          <w:sz w:val="32"/>
          <w:szCs w:val="32"/>
        </w:rPr>
        <w:t>CYP3A</w:t>
      </w:r>
      <w:r w:rsidRPr="003C684F">
        <w:rPr>
          <w:rFonts w:ascii="仿宋" w:hAnsi="仿宋" w:eastAsia="仿宋"/>
          <w:sz w:val="32"/>
          <w:szCs w:val="32"/>
        </w:rPr>
        <w:t>4</w:t>
      </w:r>
      <w:r w:rsidRPr="003C684F" w:rsidR="001744CD">
        <w:rPr>
          <w:rFonts w:hint="eastAsia" w:ascii="仿宋" w:hAnsi="仿宋" w:eastAsia="仿宋"/>
          <w:sz w:val="32"/>
          <w:szCs w:val="32"/>
        </w:rPr>
        <w:t>强效</w:t>
      </w:r>
      <w:r w:rsidRPr="003C684F">
        <w:rPr>
          <w:rFonts w:ascii="仿宋" w:hAnsi="仿宋" w:eastAsia="仿宋"/>
          <w:sz w:val="32"/>
          <w:szCs w:val="32"/>
        </w:rPr>
        <w:t>抑制剂治疗停止后至少5个半衰期可将本品恢复至推荐剂量500mg</w:t>
      </w:r>
      <w:r w:rsidRPr="003C684F" w:rsidR="00BB2449">
        <w:rPr>
          <w:rFonts w:hint="eastAsia" w:ascii="仿宋" w:hAnsi="仿宋" w:eastAsia="仿宋"/>
          <w:sz w:val="32"/>
          <w:szCs w:val="32"/>
        </w:rPr>
        <w:t>/次</w:t>
      </w:r>
      <w:r w:rsidRPr="003C684F">
        <w:rPr>
          <w:rFonts w:ascii="仿宋" w:hAnsi="仿宋" w:eastAsia="仿宋"/>
          <w:sz w:val="32"/>
          <w:szCs w:val="32"/>
        </w:rPr>
        <w:t>，每天一次</w:t>
      </w:r>
      <w:r w:rsidRPr="003C684F">
        <w:rPr>
          <w:rFonts w:hint="eastAsia" w:ascii="仿宋" w:hAnsi="仿宋" w:eastAsia="仿宋"/>
          <w:sz w:val="32"/>
          <w:szCs w:val="32"/>
        </w:rPr>
        <w:t>。</w:t>
      </w:r>
    </w:p>
    <w:p w:rsidRPr="003C684F" w:rsidR="009730C1" w:rsidRDefault="00A315B9" w14:paraId="30CE4130"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6.</w:t>
      </w:r>
      <w:r w:rsidRPr="003C684F">
        <w:rPr>
          <w:rFonts w:hint="eastAsia" w:ascii="仿宋" w:hAnsi="仿宋" w:eastAsia="仿宋"/>
          <w:sz w:val="32"/>
          <w:szCs w:val="32"/>
        </w:rPr>
        <w:t>分化综合征与骨髓细胞快速增殖和分化有关，如果不进行</w:t>
      </w:r>
      <w:r w:rsidRPr="003C684F">
        <w:rPr>
          <w:rFonts w:ascii="仿宋" w:hAnsi="仿宋" w:eastAsia="仿宋"/>
          <w:sz w:val="32"/>
          <w:szCs w:val="32"/>
        </w:rPr>
        <w:t>治疗可能危及生命或导致死亡。</w:t>
      </w:r>
      <w:r w:rsidRPr="003C684F">
        <w:rPr>
          <w:rFonts w:hint="eastAsia" w:ascii="仿宋" w:hAnsi="仿宋" w:eastAsia="仿宋"/>
          <w:sz w:val="32"/>
          <w:szCs w:val="32"/>
        </w:rPr>
        <w:t>分化综合征在开始</w:t>
      </w:r>
      <w:r w:rsidRPr="003C684F">
        <w:rPr>
          <w:rFonts w:ascii="仿宋" w:hAnsi="仿宋" w:eastAsia="仿宋"/>
          <w:sz w:val="32"/>
          <w:szCs w:val="32"/>
        </w:rPr>
        <w:t>本品治疗的第1天</w:t>
      </w:r>
      <w:r w:rsidRPr="003C684F">
        <w:rPr>
          <w:rFonts w:hint="eastAsia" w:ascii="仿宋" w:hAnsi="仿宋" w:eastAsia="仿宋"/>
          <w:sz w:val="32"/>
          <w:szCs w:val="32"/>
        </w:rPr>
        <w:t>～</w:t>
      </w:r>
      <w:r w:rsidRPr="003C684F">
        <w:rPr>
          <w:rFonts w:ascii="仿宋" w:hAnsi="仿宋" w:eastAsia="仿宋"/>
          <w:sz w:val="32"/>
          <w:szCs w:val="32"/>
        </w:rPr>
        <w:t>3个月内发生，不一定伴有白</w:t>
      </w:r>
      <w:r w:rsidRPr="003C684F">
        <w:rPr>
          <w:rFonts w:hint="eastAsia" w:ascii="仿宋" w:hAnsi="仿宋" w:eastAsia="仿宋"/>
          <w:sz w:val="32"/>
          <w:szCs w:val="32"/>
        </w:rPr>
        <w:t>细胞增多</w:t>
      </w:r>
      <w:r w:rsidRPr="003C684F">
        <w:rPr>
          <w:rFonts w:ascii="仿宋" w:hAnsi="仿宋" w:eastAsia="仿宋"/>
          <w:sz w:val="32"/>
          <w:szCs w:val="32"/>
        </w:rPr>
        <w:t>症。</w:t>
      </w:r>
      <w:r w:rsidRPr="003C684F">
        <w:rPr>
          <w:rFonts w:hint="eastAsia" w:ascii="仿宋" w:hAnsi="仿宋" w:eastAsia="仿宋"/>
          <w:sz w:val="32"/>
          <w:szCs w:val="32"/>
        </w:rPr>
        <w:t>如果怀疑发生分化综合征，给予全身性糖皮质激素治疗并进行血液动力学监测，直到症状恢复并至少维持</w:t>
      </w:r>
      <w:r w:rsidRPr="003C684F">
        <w:rPr>
          <w:rFonts w:ascii="仿宋" w:hAnsi="仿宋" w:eastAsia="仿宋"/>
          <w:sz w:val="32"/>
          <w:szCs w:val="32"/>
        </w:rPr>
        <w:t>3天</w:t>
      </w:r>
      <w:r w:rsidRPr="003C684F">
        <w:rPr>
          <w:rFonts w:hint="eastAsia" w:ascii="仿宋" w:hAnsi="仿宋" w:eastAsia="仿宋"/>
          <w:sz w:val="32"/>
          <w:szCs w:val="32"/>
        </w:rPr>
        <w:t>。</w:t>
      </w:r>
      <w:r w:rsidRPr="003C684F">
        <w:rPr>
          <w:rFonts w:ascii="仿宋" w:hAnsi="仿宋" w:eastAsia="仿宋"/>
          <w:sz w:val="32"/>
          <w:szCs w:val="32"/>
        </w:rPr>
        <w:t>如果给予全身性糖皮质激素治疗后，重度症状和/或体征持续超过</w:t>
      </w:r>
      <w:r w:rsidRPr="003C684F">
        <w:rPr>
          <w:rFonts w:ascii="仿宋" w:hAnsi="仿宋" w:eastAsia="仿宋"/>
          <w:sz w:val="32"/>
          <w:szCs w:val="32"/>
        </w:rPr>
        <w:lastRenderedPageBreak/>
        <w:t>48小时，应暂停服用本品。在体征和症状改善至2级或更低级别时，可恢复本品治疗</w:t>
      </w:r>
      <w:r w:rsidRPr="003C684F">
        <w:rPr>
          <w:rFonts w:hint="eastAsia" w:ascii="仿宋" w:hAnsi="仿宋" w:eastAsia="仿宋"/>
          <w:sz w:val="32"/>
          <w:szCs w:val="32"/>
        </w:rPr>
        <w:t>。</w:t>
      </w:r>
    </w:p>
    <w:p w:rsidRPr="003C684F" w:rsidR="009730C1" w:rsidRDefault="00A315B9" w14:paraId="73A79983" w14:textId="3EC31F6F">
      <w:pPr>
        <w:spacing w:line="360" w:lineRule="auto"/>
        <w:ind w:firstLine="640" w:firstLineChars="200"/>
        <w:rPr>
          <w:rFonts w:ascii="仿宋" w:hAnsi="仿宋" w:eastAsia="仿宋"/>
          <w:sz w:val="32"/>
          <w:szCs w:val="32"/>
        </w:rPr>
      </w:pPr>
      <w:r w:rsidRPr="003C684F">
        <w:rPr>
          <w:rFonts w:ascii="仿宋" w:hAnsi="仿宋" w:eastAsia="仿宋"/>
          <w:sz w:val="32"/>
          <w:szCs w:val="32"/>
        </w:rPr>
        <w:t>7.</w:t>
      </w:r>
      <w:r w:rsidRPr="003C684F">
        <w:rPr>
          <w:rFonts w:hint="eastAsia" w:ascii="仿宋" w:hAnsi="仿宋" w:eastAsia="仿宋"/>
          <w:sz w:val="32"/>
          <w:szCs w:val="32"/>
        </w:rPr>
        <w:t>本品治疗的患者可能出现</w:t>
      </w:r>
      <w:r w:rsidRPr="003C684F">
        <w:rPr>
          <w:rFonts w:ascii="仿宋" w:hAnsi="仿宋" w:eastAsia="仿宋"/>
          <w:sz w:val="32"/>
          <w:szCs w:val="32"/>
        </w:rPr>
        <w:t>QTc</w:t>
      </w:r>
      <w:r w:rsidRPr="003C684F">
        <w:rPr>
          <w:rFonts w:hint="eastAsia" w:ascii="仿宋" w:hAnsi="仿宋" w:eastAsia="仿宋"/>
          <w:sz w:val="32"/>
          <w:szCs w:val="32"/>
        </w:rPr>
        <w:t>间期延长和室性心律失常。如果</w:t>
      </w:r>
      <w:r w:rsidRPr="003C684F">
        <w:rPr>
          <w:rFonts w:ascii="仿宋" w:hAnsi="仿宋" w:eastAsia="仿宋"/>
          <w:sz w:val="32"/>
          <w:szCs w:val="32"/>
        </w:rPr>
        <w:t>QTc增加至大于480ms且小于500ms应暂停本品治疗。如果QTc增加至大</w:t>
      </w:r>
      <w:r w:rsidRPr="003C684F">
        <w:rPr>
          <w:rFonts w:hint="eastAsia" w:ascii="仿宋" w:hAnsi="仿宋" w:eastAsia="仿宋"/>
          <w:sz w:val="32"/>
          <w:szCs w:val="32"/>
        </w:rPr>
        <w:t>于</w:t>
      </w:r>
      <w:r w:rsidRPr="003C684F">
        <w:rPr>
          <w:rFonts w:ascii="仿宋" w:hAnsi="仿宋" w:eastAsia="仿宋"/>
          <w:sz w:val="32"/>
          <w:szCs w:val="32"/>
        </w:rPr>
        <w:t>500ms应暂停本品治疗并后续减量。对发生QTc间期延长并伴发危及生命的心律失常</w:t>
      </w:r>
      <w:r w:rsidRPr="003C684F">
        <w:rPr>
          <w:rFonts w:hint="eastAsia" w:ascii="仿宋" w:hAnsi="仿宋" w:eastAsia="仿宋"/>
          <w:sz w:val="32"/>
          <w:szCs w:val="32"/>
        </w:rPr>
        <w:t>体征或症状的患者，应永久</w:t>
      </w:r>
      <w:r w:rsidRPr="003C684F">
        <w:rPr>
          <w:rFonts w:ascii="仿宋" w:hAnsi="仿宋" w:eastAsia="仿宋"/>
          <w:sz w:val="32"/>
          <w:szCs w:val="32"/>
        </w:rPr>
        <w:t>停用</w:t>
      </w:r>
      <w:r w:rsidRPr="003C684F">
        <w:rPr>
          <w:rFonts w:hint="eastAsia" w:ascii="仿宋" w:hAnsi="仿宋" w:eastAsia="仿宋"/>
          <w:sz w:val="32"/>
          <w:szCs w:val="32"/>
        </w:rPr>
        <w:t>。</w:t>
      </w:r>
    </w:p>
    <w:p w:rsidRPr="003C684F" w:rsidR="009730C1" w:rsidRDefault="00A315B9" w14:paraId="7FB936F0" w14:textId="5E99BABE">
      <w:pPr>
        <w:spacing w:line="360" w:lineRule="auto"/>
        <w:ind w:firstLine="640" w:firstLineChars="200"/>
        <w:rPr>
          <w:rFonts w:ascii="仿宋" w:hAnsi="仿宋" w:eastAsia="仿宋"/>
          <w:sz w:val="32"/>
          <w:szCs w:val="32"/>
        </w:rPr>
      </w:pPr>
      <w:r w:rsidRPr="003C684F">
        <w:rPr>
          <w:rFonts w:ascii="仿宋" w:hAnsi="仿宋" w:eastAsia="仿宋"/>
          <w:sz w:val="32"/>
          <w:szCs w:val="32"/>
        </w:rPr>
        <w:t>8.</w:t>
      </w:r>
      <w:r w:rsidRPr="003C684F">
        <w:rPr>
          <w:rFonts w:hint="eastAsia" w:ascii="仿宋" w:hAnsi="仿宋" w:eastAsia="仿宋"/>
          <w:sz w:val="32"/>
          <w:szCs w:val="32"/>
        </w:rPr>
        <w:t>确诊</w:t>
      </w:r>
      <w:r w:rsidRPr="003C684F" w:rsidR="00DD0B90">
        <w:rPr>
          <w:rFonts w:hint="eastAsia" w:ascii="仿宋" w:hAnsi="仿宋" w:eastAsia="仿宋"/>
          <w:sz w:val="32"/>
          <w:szCs w:val="32"/>
        </w:rPr>
        <w:t>格林-巴利综合征</w:t>
      </w:r>
      <w:r w:rsidRPr="003C684F">
        <w:rPr>
          <w:rFonts w:hint="eastAsia" w:ascii="仿宋" w:hAnsi="仿宋" w:eastAsia="仿宋"/>
          <w:sz w:val="32"/>
          <w:szCs w:val="32"/>
        </w:rPr>
        <w:t>的患者，应永久停用。</w:t>
      </w:r>
    </w:p>
    <w:p w:rsidRPr="003C684F" w:rsidR="009730C1" w:rsidRDefault="00A315B9" w14:paraId="7F7D9B3B"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9.</w:t>
      </w:r>
      <w:r w:rsidRPr="003C684F">
        <w:rPr>
          <w:rFonts w:hint="eastAsia" w:ascii="仿宋" w:hAnsi="仿宋" w:eastAsia="仿宋"/>
          <w:sz w:val="32"/>
          <w:szCs w:val="32"/>
        </w:rPr>
        <w:t>在中国临床研究中，</w:t>
      </w:r>
      <w:r w:rsidRPr="003C684F">
        <w:rPr>
          <w:rFonts w:ascii="仿宋" w:hAnsi="仿宋" w:eastAsia="仿宋"/>
          <w:sz w:val="32"/>
          <w:szCs w:val="32"/>
        </w:rPr>
        <w:t>50%（15/30）的接受本品治疗的患者发生低钾血症。在治疗前及治疗期间应常规监测患者的电解质水平。建议同时关注患者是否存在QTc间期延长。并根据与治疗相关的其他毒性的总体指导原则及QTc间期延长的指导原则，对本品进行必要的减量及暂停。</w:t>
      </w:r>
    </w:p>
    <w:p w:rsidRPr="003C684F" w:rsidR="009730C1" w:rsidRDefault="00A315B9" w14:paraId="10B924FE" w14:textId="77777777">
      <w:pPr>
        <w:spacing w:line="360" w:lineRule="auto"/>
        <w:ind w:firstLine="640" w:firstLineChars="200"/>
        <w:contextualSpacing/>
        <w:rPr>
          <w:rFonts w:ascii="黑体" w:hAnsi="黑体" w:eastAsia="黑体"/>
          <w:sz w:val="32"/>
          <w:szCs w:val="32"/>
        </w:rPr>
      </w:pPr>
      <w:r w:rsidRPr="003C684F">
        <w:rPr>
          <w:rFonts w:hint="eastAsia" w:ascii="黑体" w:hAnsi="黑体" w:eastAsia="黑体"/>
          <w:sz w:val="32"/>
          <w:szCs w:val="32"/>
        </w:rPr>
        <w:t>二十、贝林妥欧单抗 Blinatumomab</w:t>
      </w:r>
    </w:p>
    <w:p w:rsidRPr="003C684F" w:rsidR="009730C1" w:rsidRDefault="00A315B9" w14:paraId="29CCCFCF"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制剂与规格：</w:t>
      </w:r>
      <w:r w:rsidRPr="003C684F">
        <w:rPr>
          <w:rFonts w:hint="eastAsia" w:ascii="仿宋" w:hAnsi="仿宋" w:eastAsia="仿宋"/>
          <w:sz w:val="32"/>
          <w:szCs w:val="32"/>
        </w:rPr>
        <w:t>粉针剂：35μg/瓶，另包含1瓶10ml静脉输注溶液稳定剂</w:t>
      </w:r>
    </w:p>
    <w:p w:rsidRPr="003C684F" w:rsidR="009730C1" w:rsidRDefault="00A315B9" w14:paraId="314D0022" w14:textId="77777777">
      <w:pPr>
        <w:spacing w:line="360" w:lineRule="auto"/>
        <w:ind w:firstLine="643" w:firstLineChars="200"/>
        <w:contextualSpacing/>
        <w:rPr>
          <w:rFonts w:ascii="仿宋" w:hAnsi="仿宋" w:eastAsia="仿宋"/>
          <w:sz w:val="32"/>
          <w:szCs w:val="32"/>
        </w:rPr>
      </w:pPr>
      <w:r w:rsidRPr="003C684F">
        <w:rPr>
          <w:rFonts w:hint="eastAsia" w:ascii="仿宋" w:hAnsi="仿宋" w:eastAsia="仿宋"/>
          <w:b/>
          <w:sz w:val="32"/>
          <w:szCs w:val="32"/>
        </w:rPr>
        <w:t>适应证：</w:t>
      </w:r>
      <w:r w:rsidRPr="003C684F">
        <w:rPr>
          <w:rFonts w:hint="eastAsia" w:ascii="仿宋" w:hAnsi="仿宋" w:eastAsia="仿宋"/>
          <w:sz w:val="32"/>
          <w:szCs w:val="32"/>
        </w:rPr>
        <w:t>适用于成人复发或难治性前体B细胞急性淋巴细胞白血病。</w:t>
      </w:r>
    </w:p>
    <w:p w:rsidRPr="003C684F" w:rsidR="009730C1" w:rsidRDefault="00A315B9" w14:paraId="720ADA36" w14:textId="77777777">
      <w:pPr>
        <w:spacing w:line="360" w:lineRule="auto"/>
        <w:ind w:firstLine="643" w:firstLineChars="200"/>
        <w:contextualSpacing/>
        <w:rPr>
          <w:rFonts w:ascii="仿宋" w:hAnsi="仿宋" w:eastAsia="仿宋"/>
          <w:b/>
          <w:sz w:val="32"/>
          <w:szCs w:val="32"/>
        </w:rPr>
      </w:pPr>
      <w:r w:rsidRPr="003C684F">
        <w:rPr>
          <w:rFonts w:hint="eastAsia" w:ascii="仿宋" w:hAnsi="仿宋" w:eastAsia="仿宋"/>
          <w:b/>
          <w:sz w:val="32"/>
          <w:szCs w:val="32"/>
        </w:rPr>
        <w:t>合理用药要点：</w:t>
      </w:r>
    </w:p>
    <w:p w:rsidRPr="003C684F" w:rsidR="009730C1" w:rsidRDefault="00A315B9" w14:paraId="25623CDC"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1.治疗剂量：体重≥45kg的患者接受固定剂量给药，体重＜45kg的患者根据体表面积计算剂量。难治及复发疾病的患者需在第1治疗周期的第1～7天从低剂量起始，体重≥</w:t>
      </w:r>
      <w:r w:rsidRPr="003C684F">
        <w:rPr>
          <w:rFonts w:hint="eastAsia" w:ascii="仿宋" w:hAnsi="仿宋" w:eastAsia="仿宋"/>
          <w:sz w:val="32"/>
          <w:szCs w:val="32"/>
        </w:rPr>
        <w:lastRenderedPageBreak/>
        <w:t>45kg者给予固定剂量9μg/d，＜45kg者根据体表面积给予5μg/（m</w:t>
      </w:r>
      <w:r w:rsidRPr="003C684F">
        <w:rPr>
          <w:rFonts w:hint="eastAsia" w:ascii="仿宋" w:hAnsi="仿宋" w:eastAsia="仿宋"/>
          <w:sz w:val="32"/>
          <w:szCs w:val="32"/>
          <w:vertAlign w:val="superscript"/>
        </w:rPr>
        <w:t>2</w:t>
      </w:r>
      <w:r w:rsidRPr="003C684F">
        <w:rPr>
          <w:rFonts w:hint="eastAsia" w:ascii="宋体" w:hAnsi="宋体" w:cs="宋体"/>
          <w:sz w:val="32"/>
          <w:szCs w:val="32"/>
        </w:rPr>
        <w:t>•</w:t>
      </w:r>
      <w:r w:rsidRPr="003C684F">
        <w:rPr>
          <w:rFonts w:hint="eastAsia" w:ascii="仿宋" w:hAnsi="仿宋" w:eastAsia="仿宋"/>
          <w:sz w:val="32"/>
          <w:szCs w:val="32"/>
        </w:rPr>
        <w:t>d）；第8天起至第28天增加至足剂量即≥45kg者28μg/d，＜45kg者15μg/（m</w:t>
      </w:r>
      <w:r w:rsidRPr="003C684F">
        <w:rPr>
          <w:rFonts w:hint="eastAsia" w:ascii="仿宋" w:hAnsi="仿宋" w:eastAsia="仿宋"/>
          <w:sz w:val="32"/>
          <w:szCs w:val="32"/>
          <w:vertAlign w:val="superscript"/>
        </w:rPr>
        <w:t>2</w:t>
      </w:r>
      <w:r w:rsidRPr="003C684F">
        <w:rPr>
          <w:rFonts w:hint="eastAsia" w:ascii="宋体" w:hAnsi="宋体" w:cs="宋体"/>
          <w:sz w:val="32"/>
          <w:szCs w:val="32"/>
        </w:rPr>
        <w:t>•</w:t>
      </w:r>
      <w:r w:rsidRPr="003C684F">
        <w:rPr>
          <w:rFonts w:hint="eastAsia" w:ascii="仿宋" w:hAnsi="仿宋" w:eastAsia="仿宋"/>
          <w:sz w:val="32"/>
          <w:szCs w:val="32"/>
        </w:rPr>
        <w:t>d）。用于微小残留病灶阳性患者无需经过剂量爬坡，起始即给予足剂量28μg/d（≥45kg）或15μg/（m</w:t>
      </w:r>
      <w:r w:rsidRPr="003C684F">
        <w:rPr>
          <w:rFonts w:hint="eastAsia" w:ascii="仿宋" w:hAnsi="仿宋" w:eastAsia="仿宋"/>
          <w:sz w:val="32"/>
          <w:szCs w:val="32"/>
          <w:vertAlign w:val="superscript"/>
        </w:rPr>
        <w:t>2</w:t>
      </w:r>
      <w:r w:rsidRPr="003C684F">
        <w:rPr>
          <w:rFonts w:hint="eastAsia" w:ascii="宋体" w:hAnsi="宋体" w:cs="宋体"/>
          <w:sz w:val="32"/>
          <w:szCs w:val="32"/>
        </w:rPr>
        <w:t>•</w:t>
      </w:r>
      <w:r w:rsidRPr="003C684F">
        <w:rPr>
          <w:rFonts w:hint="eastAsia" w:ascii="仿宋" w:hAnsi="仿宋" w:eastAsia="仿宋"/>
          <w:sz w:val="32"/>
          <w:szCs w:val="32"/>
        </w:rPr>
        <w:t>d）（＜45kg）。如治疗期间出现中断给药（如因不良事件发生），未超过7天可继续该周期治疗直至共输注28天，中断给药超过7天则需重新开始新的治疗周期。</w:t>
      </w:r>
    </w:p>
    <w:p w:rsidRPr="003C684F" w:rsidR="009730C1" w:rsidRDefault="00A315B9" w14:paraId="44C5857C"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2.治疗疗程：难治及复发疾病患者的疗程最多包含2个周期的诱导治疗、之后3个周期的巩固治疗及序贯最多4个周期的持续治疗。1个诱导或巩固治疗周期共42天，由28天连续的静脉输注期和随后的14天无治疗间歇期组成，1个持续治疗周期包括28天连续静脉输注和之后的56天无治疗间歇期（共84天）。</w:t>
      </w:r>
    </w:p>
    <w:p w:rsidRPr="003C684F" w:rsidR="009730C1" w:rsidRDefault="00A315B9" w14:paraId="689EBD69"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3.地塞米松预先用药：对于成人患者，在本品每个周期内第1次给药前1小时，升高剂量前（例如第1周期第8天），以及在中断治疗4小时或以上后重启输注时，用药前预先给予20mg的地塞米松。</w:t>
      </w:r>
    </w:p>
    <w:p w:rsidRPr="003C684F" w:rsidR="009730C1" w:rsidRDefault="00A315B9" w14:paraId="2CD55D68"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4.高肿瘤负荷患者的前期治疗：对于骨髓中原始细胞比例≥50%或外周血原始细胞计数＞15×10</w:t>
      </w:r>
      <w:r w:rsidRPr="003C684F">
        <w:rPr>
          <w:rFonts w:ascii="仿宋" w:hAnsi="仿宋" w:eastAsia="仿宋"/>
          <w:sz w:val="32"/>
          <w:szCs w:val="32"/>
          <w:vertAlign w:val="superscript"/>
        </w:rPr>
        <w:t>9</w:t>
      </w:r>
      <w:r w:rsidRPr="003C684F">
        <w:rPr>
          <w:rFonts w:hint="eastAsia" w:ascii="仿宋" w:hAnsi="仿宋" w:eastAsia="仿宋"/>
          <w:sz w:val="32"/>
          <w:szCs w:val="32"/>
        </w:rPr>
        <w:t>/L的患者，使用地塞米松治疗（不超过24mg/d）。</w:t>
      </w:r>
    </w:p>
    <w:p w:rsidRPr="003C684F" w:rsidR="009730C1" w:rsidRDefault="00A315B9" w14:paraId="106D26B7"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5.在本品治疗前和治疗期间进行鞘内注射预防性化疗，</w:t>
      </w:r>
      <w:r w:rsidRPr="003C684F">
        <w:rPr>
          <w:rFonts w:hint="eastAsia" w:ascii="仿宋" w:hAnsi="仿宋" w:eastAsia="仿宋"/>
          <w:sz w:val="32"/>
          <w:szCs w:val="32"/>
        </w:rPr>
        <w:lastRenderedPageBreak/>
        <w:t>以防止中枢神经系统急性淋巴细胞白血病复发。</w:t>
      </w:r>
    </w:p>
    <w:p w:rsidRPr="003C684F" w:rsidR="009730C1" w:rsidRDefault="00A315B9" w14:paraId="4672FC58"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6.轻中度肾功能损伤的患者无需调整剂量。尚无贝林妥欧单抗用于重度肾功能损伤（肌酐清除率＜30ml/min）或正接受血液透析的患者的药代动力学信息。</w:t>
      </w:r>
    </w:p>
    <w:p w:rsidRPr="003C684F" w:rsidR="009730C1" w:rsidRDefault="00A315B9" w14:paraId="444788D8" w14:textId="32445555">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7.贝林妥欧单抗开始治疗时导致的细胞因子短暂释放可能会抑制CYP450酶。在</w:t>
      </w:r>
      <w:r w:rsidRPr="003C684F" w:rsidR="00C3674D">
        <w:rPr>
          <w:rFonts w:hint="eastAsia" w:ascii="仿宋" w:hAnsi="仿宋" w:eastAsia="仿宋"/>
          <w:sz w:val="32"/>
          <w:szCs w:val="32"/>
        </w:rPr>
        <w:t>联合</w:t>
      </w:r>
      <w:r w:rsidRPr="003C684F">
        <w:rPr>
          <w:rFonts w:hint="eastAsia" w:ascii="仿宋" w:hAnsi="仿宋" w:eastAsia="仿宋"/>
          <w:sz w:val="32"/>
          <w:szCs w:val="32"/>
        </w:rPr>
        <w:t>使用CYP450底物（尤其是具有狭窄治疗指数的CYP450底物）的患者中，第1周期前9天和第2周期前2天发生药物相互作用的风险最高。应当监测这些患者中的毒性（如华法林）或药物浓度（如环孢霉素）。</w:t>
      </w:r>
    </w:p>
    <w:p w:rsidRPr="003C684F" w:rsidR="009730C1" w:rsidRDefault="00A315B9" w14:paraId="0759AE40" w14:textId="4E5787BA">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8.细胞因子释放综合征：临床试验中在15%的复发或难治性急性淋巴细胞白血病患者和7%的微小残留病灶阳性的急性淋巴细胞白血病患者报告了细胞因子释放综合征。细胞因子释放综合征发生中位时间为输注开始后2天，细胞因子释放综合征消退中位时间为5天。细胞因子释放综合征的表现包括发热、头痛、恶心、乏力、低血压、ALT升高、AST升高、总胆红素升高以及弥散性血管内凝血等。接受贝林妥欧单抗治疗后的细胞因子释放综合征的表现与输液反应、毛细血管渗漏综合征和噬血细胞性组织细胞增生症/巨噬细胞激活综合征的表现重叠。大多数细胞因子释放综合征是可逆的，并且可在贝林妥欧单抗给药前通过识别高危病人、地塞米松预先用药及逐步增加剂量的给药方式进行预防。低级别（1～2级）细胞因子释放综合征无需暂停贝林妥欧单抗用药，</w:t>
      </w:r>
      <w:r w:rsidRPr="003C684F">
        <w:rPr>
          <w:rFonts w:hint="eastAsia" w:ascii="仿宋" w:hAnsi="仿宋" w:eastAsia="仿宋"/>
          <w:sz w:val="32"/>
          <w:szCs w:val="32"/>
        </w:rPr>
        <w:lastRenderedPageBreak/>
        <w:t>可在密切监测相关指标及生命体征下给予对症治疗。对于严重（≥3级）细胞因子释放综合征，3级需暂停给药，4级考虑</w:t>
      </w:r>
      <w:r w:rsidRPr="003C684F" w:rsidR="00373DC1">
        <w:rPr>
          <w:rFonts w:hint="eastAsia" w:ascii="仿宋" w:hAnsi="仿宋" w:eastAsia="仿宋"/>
          <w:sz w:val="32"/>
          <w:szCs w:val="32"/>
        </w:rPr>
        <w:t>永久停用</w:t>
      </w:r>
      <w:r w:rsidRPr="003C684F">
        <w:rPr>
          <w:rFonts w:hint="eastAsia" w:ascii="仿宋" w:hAnsi="仿宋" w:eastAsia="仿宋"/>
          <w:sz w:val="32"/>
          <w:szCs w:val="32"/>
        </w:rPr>
        <w:t>，并需要严密监测生命体征并迅速给予积极的治疗，根据临床指征给予糖皮质激素（首选地塞米松）和IL-6受体阻滞剂。</w:t>
      </w:r>
    </w:p>
    <w:p w:rsidRPr="003C684F" w:rsidR="009730C1" w:rsidRDefault="00A315B9" w14:paraId="167E7052" w14:textId="77777777">
      <w:pPr>
        <w:spacing w:line="360" w:lineRule="auto"/>
        <w:ind w:firstLine="640" w:firstLineChars="200"/>
        <w:contextualSpacing/>
        <w:rPr>
          <w:rFonts w:ascii="仿宋" w:hAnsi="仿宋" w:eastAsia="仿宋"/>
          <w:sz w:val="32"/>
          <w:szCs w:val="32"/>
        </w:rPr>
      </w:pPr>
      <w:r w:rsidRPr="003C684F">
        <w:rPr>
          <w:rFonts w:hint="eastAsia" w:ascii="仿宋" w:hAnsi="仿宋" w:eastAsia="仿宋"/>
          <w:sz w:val="32"/>
          <w:szCs w:val="32"/>
        </w:rPr>
        <w:t>9.神经系统毒性：临床试验中神经系统毒性发生于大约65%的患者。发生首项事件的中位时间为本品治疗的前2周内，大多数神经系统事件可以消退。神经系统毒性的最常见（≥10%）表现为头痛和震颤；神经系统毒性的特征因年龄组而异。开始本品给药后，大约13%的患者发生≥3级（严重、危及生命或导致死亡）的神经系统毒性，包括脑病、抽搐、言语障碍、意识障碍、定向障碍、协调障碍和平衡障碍。神经系统毒性的表现包括颅神经疾病。所有≥3级的神经系统毒性均应暂停给药并进行体格检查、生命体征监测及安全性相关实验室检查，同时根据患者情况给予地塞米松治疗，每天最大剂量不超过24mg/d，地塞米松减量时应于4天内完成减量直至停药。支持性治疗如癫痫发作的抗癫痫药应由专科医生判断后酌情考虑。</w:t>
      </w:r>
    </w:p>
    <w:p w:rsidRPr="003C684F" w:rsidR="009730C1" w:rsidRDefault="00A315B9" w14:paraId="0BA7AD91" w14:textId="51770987">
      <w:pPr>
        <w:spacing w:line="360" w:lineRule="auto"/>
        <w:ind w:firstLine="643" w:firstLineChars="200"/>
        <w:contextualSpacing/>
        <w:rPr>
          <w:rFonts w:ascii="仿宋" w:hAnsi="仿宋" w:eastAsia="仿宋"/>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sz w:val="32"/>
          <w:szCs w:val="32"/>
        </w:rPr>
        <w:t>10.其他治疗：贝林妥欧单抗可以用于CR1或CR2伴微小残留病灶阳性的成人及儿童前体B细胞急性淋巴细胞白血病患者，以及儿童复发或难治性前体B细胞急性淋巴细胞白血病（全球其他国家已获批的适应证）。同时已有与二代酪</w:t>
      </w:r>
      <w:r w:rsidRPr="003C684F">
        <w:rPr>
          <w:rFonts w:hint="eastAsia" w:ascii="仿宋" w:hAnsi="仿宋" w:eastAsia="仿宋"/>
          <w:sz w:val="32"/>
          <w:szCs w:val="32"/>
        </w:rPr>
        <w:lastRenderedPageBreak/>
        <w:t>氨酸激酶抑制剂达沙替尼</w:t>
      </w:r>
      <w:r w:rsidRPr="003C684F" w:rsidR="00F92328">
        <w:rPr>
          <w:rFonts w:hint="eastAsia" w:ascii="仿宋" w:hAnsi="仿宋" w:eastAsia="仿宋"/>
          <w:sz w:val="32"/>
          <w:szCs w:val="32"/>
        </w:rPr>
        <w:t>联合使用</w:t>
      </w:r>
      <w:r w:rsidRPr="003C684F">
        <w:rPr>
          <w:rFonts w:hint="eastAsia" w:ascii="仿宋" w:hAnsi="仿宋" w:eastAsia="仿宋"/>
          <w:sz w:val="32"/>
          <w:szCs w:val="32"/>
        </w:rPr>
        <w:t>于新诊断的费城染色体阳性的急性淋巴细胞白血病（Ⅱ期临床研究），及与三代酪氨酸激酶抑制剂博纳替尼</w:t>
      </w:r>
      <w:r w:rsidRPr="003C684F" w:rsidR="00F92328">
        <w:rPr>
          <w:rFonts w:hint="eastAsia" w:ascii="仿宋" w:hAnsi="仿宋" w:eastAsia="仿宋"/>
          <w:sz w:val="32"/>
          <w:szCs w:val="32"/>
        </w:rPr>
        <w:t>联合使用</w:t>
      </w:r>
      <w:r w:rsidRPr="003C684F">
        <w:rPr>
          <w:rFonts w:hint="eastAsia" w:ascii="仿宋" w:hAnsi="仿宋" w:eastAsia="仿宋"/>
          <w:sz w:val="32"/>
          <w:szCs w:val="32"/>
        </w:rPr>
        <w:t>于新诊断及复发或难治性费城染色体阳性的急性淋巴细胞白血病（Ⅱ期临床研究）。</w:t>
      </w:r>
    </w:p>
    <w:p w:rsidRPr="003C684F" w:rsidR="009730C1" w:rsidP="0037660B" w:rsidRDefault="00A315B9" w14:paraId="3ABA5ADC"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二十一、信迪利单抗 S</w:t>
      </w:r>
      <w:r w:rsidRPr="003C684F">
        <w:rPr>
          <w:rFonts w:ascii="黑体" w:hAnsi="黑体" w:eastAsia="黑体"/>
          <w:color w:val="000000"/>
          <w:sz w:val="32"/>
          <w:szCs w:val="32"/>
        </w:rPr>
        <w:t>intilimab</w:t>
      </w:r>
    </w:p>
    <w:p w:rsidRPr="003C684F" w:rsidR="009730C1" w:rsidRDefault="00A315B9" w14:paraId="1A3C72D4"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s="仿宋"/>
          <w:sz w:val="32"/>
          <w:szCs w:val="32"/>
        </w:rPr>
        <w:t>注射</w:t>
      </w:r>
      <w:r w:rsidRPr="003C684F" w:rsidR="00FE2375">
        <w:rPr>
          <w:rFonts w:hint="eastAsia" w:ascii="仿宋" w:hAnsi="仿宋" w:eastAsia="仿宋" w:cs="仿宋"/>
          <w:sz w:val="32"/>
          <w:szCs w:val="32"/>
        </w:rPr>
        <w:t>剂</w:t>
      </w:r>
      <w:r w:rsidRPr="003C684F">
        <w:rPr>
          <w:rFonts w:hint="eastAsia" w:ascii="仿宋" w:hAnsi="仿宋" w:eastAsia="仿宋" w:cs="仿宋"/>
          <w:sz w:val="32"/>
          <w:szCs w:val="32"/>
        </w:rPr>
        <w:t>：</w:t>
      </w:r>
      <w:r w:rsidRPr="003C684F">
        <w:rPr>
          <w:rFonts w:ascii="仿宋" w:hAnsi="仿宋" w:eastAsia="仿宋" w:cs="仿宋"/>
          <w:sz w:val="32"/>
          <w:szCs w:val="32"/>
        </w:rPr>
        <w:t>100mg</w:t>
      </w:r>
      <w:r w:rsidRPr="003C684F">
        <w:rPr>
          <w:rFonts w:hint="eastAsia" w:ascii="仿宋" w:hAnsi="仿宋" w:eastAsia="仿宋" w:cs="仿宋"/>
          <w:sz w:val="32"/>
          <w:szCs w:val="32"/>
        </w:rPr>
        <w:t>（10</w:t>
      </w:r>
      <w:r w:rsidRPr="003C684F">
        <w:rPr>
          <w:rFonts w:ascii="仿宋" w:hAnsi="仿宋" w:eastAsia="仿宋" w:cs="仿宋"/>
          <w:sz w:val="32"/>
          <w:szCs w:val="32"/>
        </w:rPr>
        <w:t>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9730C1" w:rsidRDefault="00A315B9" w14:paraId="1C0DFEBE"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本品适用于至少经过二线系统化疗的复发或难治性经典型霍奇金淋巴瘤的治疗。</w:t>
      </w:r>
    </w:p>
    <w:p w:rsidRPr="003C684F" w:rsidR="009730C1" w:rsidRDefault="00A315B9" w14:paraId="5FF27CB0"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74A65895"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1.用药前必须明确诊断为经典型霍奇金淋巴瘤。</w:t>
      </w:r>
    </w:p>
    <w:p w:rsidRPr="003C684F" w:rsidR="009730C1" w:rsidRDefault="00A315B9" w14:paraId="2CA13481"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2.应该按照相关疾病指南，治疗前做基线评估，治疗期间定期监测治疗反应及毒性。</w:t>
      </w:r>
    </w:p>
    <w:p w:rsidRPr="003C684F" w:rsidR="009730C1" w:rsidRDefault="00A315B9" w14:paraId="3F6813C0" w14:textId="7F264F8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3.推荐剂量为200mg</w:t>
      </w:r>
      <w:r w:rsidRPr="003C684F" w:rsidR="00985FBF">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71399F">
        <w:rPr>
          <w:rFonts w:hint="eastAsia" w:ascii="仿宋" w:hAnsi="仿宋" w:eastAsia="仿宋"/>
          <w:color w:val="000000"/>
          <w:sz w:val="32"/>
          <w:szCs w:val="32"/>
        </w:rPr>
        <w:t>每3周一次</w:t>
      </w:r>
      <w:r w:rsidRPr="003C684F">
        <w:rPr>
          <w:rFonts w:hint="eastAsia" w:ascii="仿宋" w:hAnsi="仿宋" w:eastAsia="仿宋"/>
          <w:color w:val="000000"/>
          <w:sz w:val="32"/>
          <w:szCs w:val="32"/>
        </w:rPr>
        <w:t>，</w:t>
      </w:r>
      <w:r w:rsidRPr="003C684F" w:rsidR="00985FBF">
        <w:rPr>
          <w:rFonts w:hint="eastAsia" w:ascii="仿宋" w:hAnsi="仿宋" w:eastAsia="仿宋"/>
          <w:color w:val="000000"/>
          <w:sz w:val="32"/>
          <w:szCs w:val="32"/>
        </w:rPr>
        <w:t>静脉输注，</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16CA9341" w14:textId="2986408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4.如果患者临床症状稳定或持续减轻，即使有疾病进展的初步证据，基于总体临床获益的判断，可考虑继续应用本品治疗，直至证实疾病进展。</w:t>
      </w:r>
    </w:p>
    <w:p w:rsidRPr="003C684F" w:rsidR="009730C1" w:rsidRDefault="00A315B9" w14:paraId="747FEAAB" w14:textId="5FFDF397">
      <w:pPr>
        <w:ind w:firstLine="640" w:firstLineChars="200"/>
        <w:rPr>
          <w:rFonts w:ascii="仿宋" w:hAnsi="仿宋" w:eastAsia="仿宋"/>
          <w:b/>
          <w:color w:val="000000"/>
          <w:sz w:val="32"/>
          <w:szCs w:val="32"/>
        </w:rPr>
      </w:pPr>
      <w:r w:rsidRPr="003C684F">
        <w:rPr>
          <w:rFonts w:hint="eastAsia" w:ascii="仿宋" w:hAnsi="仿宋" w:eastAsia="仿宋"/>
          <w:color w:val="000000"/>
          <w:sz w:val="32"/>
          <w:szCs w:val="32"/>
        </w:rPr>
        <w:t>5.如出现免疫相关性不良反应，根据个体患者的安全性和耐受性，可能需要暂停给药或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w:t>
      </w:r>
      <w:r w:rsidRPr="003C684F">
        <w:rPr>
          <w:rFonts w:hint="eastAsia" w:ascii="仿宋" w:hAnsi="仿宋" w:eastAsia="仿宋"/>
          <w:color w:val="000000"/>
          <w:w w:val="96"/>
          <w:sz w:val="32"/>
          <w:szCs w:val="32"/>
        </w:rPr>
        <w:t>或减少剂量。</w:t>
      </w:r>
    </w:p>
    <w:p w:rsidRPr="003C684F" w:rsidR="009730C1" w:rsidRDefault="00A315B9" w14:paraId="6A5A9BF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6.目前本品尚无针对中重度肝功能损伤患者的研究数据，轻度肝功能损伤患者应在医生指导下慎用本品，如需使</w:t>
      </w:r>
      <w:r w:rsidRPr="003C684F">
        <w:rPr>
          <w:rFonts w:hint="eastAsia" w:ascii="仿宋" w:hAnsi="仿宋" w:eastAsia="仿宋"/>
          <w:color w:val="000000"/>
          <w:sz w:val="32"/>
          <w:szCs w:val="32"/>
        </w:rPr>
        <w:lastRenderedPageBreak/>
        <w:t>用，无需进行剂量调整；中重度肝功能损伤患者不推荐使用。</w:t>
      </w:r>
    </w:p>
    <w:p w:rsidRPr="003C684F" w:rsidR="009730C1" w:rsidRDefault="00A315B9" w14:paraId="311DC6F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7.目前本品尚无针对中重度肾功能损伤患者的研究数据，轻度肾功能损伤患者应在医生指导下慎用本品，如需使用，无需进行剂量调整；中重度肾功能损伤患者不推荐使用。</w:t>
      </w:r>
    </w:p>
    <w:p w:rsidRPr="003C684F" w:rsidR="009730C1" w:rsidRDefault="00A315B9" w14:paraId="5E66DE1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接受本品治疗的霍奇金淋巴瘤患者最常见的不良反应（≥10%）包括发热、甲状腺功能减退、体重增加、肺炎、上呼吸道感染、皮疹、贫血、咳嗽。最常见的3级以上的不良反应包括体重增加、贫血、输液反应、呼吸道感染、感染性肺炎、免疫相关性肺炎。</w:t>
      </w:r>
    </w:p>
    <w:p w:rsidRPr="003C684F" w:rsidR="009730C1" w:rsidRDefault="00A315B9" w14:paraId="2B6271C5" w14:textId="34B7744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sidR="007811E9">
        <w:rPr>
          <w:rFonts w:hint="eastAsia" w:ascii="仿宋" w:hAnsi="仿宋" w:eastAsia="仿宋"/>
          <w:color w:val="000000"/>
          <w:sz w:val="32"/>
          <w:szCs w:val="32"/>
        </w:rPr>
        <w:t>尚未确定本品</w:t>
      </w:r>
      <w:r w:rsidRPr="003C684F" w:rsidR="00D220C3">
        <w:rPr>
          <w:rFonts w:hint="eastAsia" w:ascii="仿宋" w:hAnsi="仿宋" w:eastAsia="仿宋"/>
          <w:color w:val="000000"/>
          <w:sz w:val="32"/>
          <w:szCs w:val="32"/>
        </w:rPr>
        <w:t>在</w:t>
      </w:r>
      <w:r w:rsidRPr="003C684F" w:rsidR="00D61FBA">
        <w:rPr>
          <w:rFonts w:hint="eastAsia" w:ascii="仿宋" w:hAnsi="仿宋" w:eastAsia="仿宋"/>
          <w:color w:val="000000"/>
          <w:sz w:val="32"/>
          <w:szCs w:val="32"/>
        </w:rPr>
        <w:t>18岁以下儿童和青少年患者</w:t>
      </w:r>
      <w:r w:rsidRPr="003C684F">
        <w:rPr>
          <w:rFonts w:hint="eastAsia" w:ascii="仿宋" w:hAnsi="仿宋" w:eastAsia="仿宋"/>
          <w:color w:val="000000"/>
          <w:sz w:val="32"/>
          <w:szCs w:val="32"/>
        </w:rPr>
        <w:t>的安全性和有效性。</w:t>
      </w:r>
    </w:p>
    <w:p w:rsidRPr="003C684F" w:rsidR="009730C1" w:rsidRDefault="00A315B9" w14:paraId="7AB3577F" w14:textId="79AEFB1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10.本品在</w:t>
      </w:r>
      <w:r w:rsidRPr="003C684F" w:rsidR="005E0F98">
        <w:rPr>
          <w:rFonts w:hint="eastAsia" w:ascii="仿宋" w:hAnsi="仿宋" w:eastAsia="仿宋"/>
          <w:color w:val="000000"/>
          <w:sz w:val="32"/>
          <w:szCs w:val="32"/>
        </w:rPr>
        <w:t>老年患者（≥65岁）</w:t>
      </w:r>
      <w:r w:rsidRPr="003C684F">
        <w:rPr>
          <w:rFonts w:hint="eastAsia" w:ascii="仿宋" w:hAnsi="仿宋" w:eastAsia="仿宋"/>
          <w:color w:val="000000"/>
          <w:sz w:val="32"/>
          <w:szCs w:val="32"/>
        </w:rPr>
        <w:t>中应用数据有限，建议在医生的指导下慎用，如需使用，无需进行剂量调整。</w:t>
      </w:r>
    </w:p>
    <w:p w:rsidRPr="003C684F" w:rsidR="009730C1" w:rsidRDefault="00A315B9" w14:paraId="4D30A78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11.不建议在妊娠期间使用本品治疗。</w:t>
      </w:r>
    </w:p>
    <w:p w:rsidRPr="003C684F" w:rsidR="009730C1" w:rsidRDefault="00A315B9" w14:paraId="5E980B1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12.因可能干扰本品药效学活性，应避免在开始本品治疗前使用全身性糖皮质激素及其他免疫抑制剂。但是如果为了治疗免疫相关性不良反应，可在开始本品治疗后使用全身性糖皮质激素及其他免疫抑制剂。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4F446D" w:rsidP="004F446D" w:rsidRDefault="004F446D" w14:paraId="6F75D808" w14:textId="10F3EF14">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13.其他适应证：Ⅱ期临床研究提示单药治疗难治复发NK/T细胞淋巴瘤安全有效。</w:t>
      </w:r>
    </w:p>
    <w:p w:rsidRPr="003C684F" w:rsidR="009730C1" w:rsidP="0037660B" w:rsidRDefault="00A315B9" w14:paraId="09EF10EF"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二十二、</w:t>
      </w:r>
      <w:r w:rsidRPr="003C684F">
        <w:rPr>
          <w:rFonts w:ascii="黑体" w:hAnsi="黑体" w:eastAsia="黑体"/>
          <w:color w:val="000000"/>
          <w:sz w:val="32"/>
          <w:szCs w:val="32"/>
        </w:rPr>
        <w:t>卡瑞利珠单抗</w:t>
      </w:r>
      <w:r w:rsidRPr="003C684F">
        <w:rPr>
          <w:rFonts w:hint="eastAsia" w:ascii="黑体" w:hAnsi="黑体" w:eastAsia="黑体"/>
          <w:color w:val="000000"/>
          <w:sz w:val="32"/>
          <w:szCs w:val="32"/>
        </w:rPr>
        <w:t>Camrelizumab</w:t>
      </w:r>
    </w:p>
    <w:p w:rsidRPr="003C684F" w:rsidR="009730C1" w:rsidRDefault="00A315B9" w14:paraId="3369598C"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粉针剂：200mg/瓶</w:t>
      </w:r>
    </w:p>
    <w:p w:rsidRPr="003C684F" w:rsidR="009730C1" w:rsidRDefault="00A315B9" w14:paraId="6B9D169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适应证：</w:t>
      </w:r>
      <w:r w:rsidRPr="003C684F">
        <w:rPr>
          <w:rFonts w:hint="eastAsia" w:ascii="仿宋" w:hAnsi="仿宋" w:eastAsia="仿宋"/>
          <w:color w:val="000000"/>
          <w:sz w:val="32"/>
          <w:szCs w:val="32"/>
        </w:rPr>
        <w:t>本品适用于至少经过二线系统化疗的复发或难治经典型霍奇金淋巴瘤患者的治疗。</w:t>
      </w:r>
    </w:p>
    <w:p w:rsidRPr="003C684F" w:rsidR="009730C1" w:rsidRDefault="00A315B9" w14:paraId="04788AAE"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F6CF760"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1.用药前必须明确诊断为经典型霍奇金淋巴瘤。</w:t>
      </w:r>
    </w:p>
    <w:p w:rsidRPr="003C684F" w:rsidR="009730C1" w:rsidRDefault="00A315B9" w14:paraId="325AE043"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2.应该按照相关疾病指南，治疗前做基线评估，治疗期间定期监测治疗反应及毒性。</w:t>
      </w:r>
    </w:p>
    <w:p w:rsidRPr="003C684F" w:rsidR="009730C1" w:rsidRDefault="00A315B9" w14:paraId="635A41A1" w14:textId="63968DBE">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3.推荐剂量为200mg</w:t>
      </w:r>
      <w:r w:rsidRPr="003C684F" w:rsidR="006C0B50">
        <w:rPr>
          <w:rFonts w:hint="eastAsia" w:ascii="仿宋" w:hAnsi="仿宋" w:eastAsia="仿宋"/>
          <w:color w:val="000000"/>
          <w:sz w:val="32"/>
          <w:szCs w:val="32"/>
        </w:rPr>
        <w:t>/次</w:t>
      </w:r>
      <w:r w:rsidRPr="003C684F">
        <w:rPr>
          <w:rFonts w:hint="eastAsia" w:ascii="仿宋" w:hAnsi="仿宋" w:eastAsia="仿宋"/>
          <w:color w:val="000000"/>
          <w:sz w:val="32"/>
          <w:szCs w:val="32"/>
        </w:rPr>
        <w:t>，每2周</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w:t>
      </w:r>
      <w:r w:rsidRPr="003C684F" w:rsidR="006C0B50">
        <w:rPr>
          <w:rFonts w:hint="eastAsia" w:ascii="仿宋" w:hAnsi="仿宋" w:eastAsia="仿宋"/>
          <w:color w:val="000000"/>
          <w:sz w:val="32"/>
          <w:szCs w:val="32"/>
        </w:rPr>
        <w:t>静脉输注，</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1894AEC8"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4.有可能观察到非典型反应。如果患者临床症状稳定或持续减轻，即使有疾病进展的初步证据，基于总体临床获益的判断，可考虑继续应用本品治疗，直至证实疾病进展。</w:t>
      </w:r>
    </w:p>
    <w:p w:rsidRPr="003C684F" w:rsidR="009730C1" w:rsidRDefault="00A315B9" w14:paraId="1B01FAB6" w14:textId="63EE8FF4">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5.如出现免疫相关性不良反应，根据个体患者的安全性和耐受性，可能需要暂停给药或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35FBD99B"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6.目前本品尚无针对中重度肝功能损伤患者的研究数据，中重度肝功能损伤患者不推荐使用。轻度肝功能损伤患者应在医生指导下慎用本品，如需使用，无需进行剂量调整。</w:t>
      </w:r>
    </w:p>
    <w:p w:rsidRPr="003C684F" w:rsidR="009730C1" w:rsidRDefault="00A315B9" w14:paraId="19D7DFB6"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7.目前本品尚无针对中重度肾功能损伤患者的研究数据，中重度肾功能损伤患者不推荐使用。轻度肾功能损伤患者应在医生指导下慎用本品，如需使用，无需进行剂量调整。</w:t>
      </w:r>
    </w:p>
    <w:p w:rsidRPr="003C684F" w:rsidR="009730C1" w:rsidRDefault="00A315B9" w14:paraId="09ADF8C6" w14:textId="39C3534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8.接受本药治疗的霍奇金淋巴瘤患者最常见的不良反应（≥10%）包括皮肤反应性毛细血管增生症、发热、甲状</w:t>
      </w:r>
      <w:r w:rsidRPr="003C684F">
        <w:rPr>
          <w:rFonts w:hint="eastAsia" w:ascii="仿宋" w:hAnsi="仿宋" w:eastAsia="仿宋"/>
          <w:color w:val="000000"/>
          <w:sz w:val="32"/>
          <w:szCs w:val="32"/>
        </w:rPr>
        <w:lastRenderedPageBreak/>
        <w:t>腺功能减退、上呼吸道感染、贫血、</w:t>
      </w:r>
      <w:r w:rsidR="009C1DF6">
        <w:rPr>
          <w:rFonts w:hint="eastAsia" w:ascii="仿宋" w:hAnsi="仿宋" w:eastAsia="仿宋"/>
          <w:color w:val="000000"/>
          <w:sz w:val="32"/>
          <w:szCs w:val="32"/>
        </w:rPr>
        <w:t>输注相关反应</w:t>
      </w:r>
      <w:r w:rsidRPr="003C684F">
        <w:rPr>
          <w:rFonts w:hint="eastAsia" w:ascii="仿宋" w:hAnsi="仿宋" w:eastAsia="仿宋"/>
          <w:color w:val="000000"/>
          <w:sz w:val="32"/>
          <w:szCs w:val="32"/>
        </w:rPr>
        <w:t>、咳嗽、口腔反应性毛细血管增生症、鼻咽炎、瘙痒症。最常见的3级以上的不良反应（≥2%）包括</w:t>
      </w:r>
      <w:r w:rsidRPr="003C684F" w:rsidR="00AA068D">
        <w:rPr>
          <w:rFonts w:hint="eastAsia" w:ascii="仿宋" w:hAnsi="仿宋" w:eastAsia="仿宋"/>
          <w:color w:val="000000"/>
          <w:sz w:val="32"/>
          <w:szCs w:val="32"/>
        </w:rPr>
        <w:t>淋巴细胞减少症</w:t>
      </w:r>
      <w:r w:rsidRPr="003C684F">
        <w:rPr>
          <w:rFonts w:hint="eastAsia" w:ascii="仿宋" w:hAnsi="仿宋" w:eastAsia="仿宋"/>
          <w:color w:val="000000"/>
          <w:sz w:val="32"/>
          <w:szCs w:val="32"/>
        </w:rPr>
        <w:t>、</w:t>
      </w:r>
      <w:r w:rsidRPr="003C684F" w:rsidR="00AA068D">
        <w:rPr>
          <w:rFonts w:hint="eastAsia" w:ascii="仿宋" w:hAnsi="仿宋" w:eastAsia="仿宋"/>
          <w:color w:val="000000"/>
          <w:sz w:val="32"/>
          <w:szCs w:val="32"/>
        </w:rPr>
        <w:t>白细胞减少症</w:t>
      </w:r>
      <w:r w:rsidRPr="003C684F">
        <w:rPr>
          <w:rFonts w:hint="eastAsia" w:ascii="仿宋" w:hAnsi="仿宋" w:eastAsia="仿宋"/>
          <w:color w:val="000000"/>
          <w:sz w:val="32"/>
          <w:szCs w:val="32"/>
        </w:rPr>
        <w:t>、</w:t>
      </w:r>
      <w:r w:rsidRPr="003C684F" w:rsidR="00AA068D">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、γ-谷氨酰转移酶升高、带状疱疹、肺部炎症。</w:t>
      </w:r>
    </w:p>
    <w:p w:rsidRPr="003C684F" w:rsidR="009730C1" w:rsidRDefault="00A315B9" w14:paraId="722D8B7C"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9730C1" w:rsidRDefault="00A315B9" w14:paraId="584CFFCB"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Pr>
          <w:rFonts w:ascii="仿宋" w:hAnsi="仿宋" w:eastAsia="仿宋"/>
          <w:color w:val="000000"/>
          <w:sz w:val="32"/>
          <w:szCs w:val="32"/>
        </w:rPr>
        <w:t>0</w:t>
      </w:r>
      <w:r w:rsidRPr="003C684F">
        <w:rPr>
          <w:rFonts w:hint="eastAsia" w:ascii="仿宋" w:hAnsi="仿宋" w:eastAsia="仿宋"/>
          <w:color w:val="000000"/>
          <w:sz w:val="32"/>
          <w:szCs w:val="32"/>
        </w:rPr>
        <w:t>.反应性毛细血管增生症的处理：在接受本品治疗的患者中，可有约70%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需观察临床症状和体征。</w:t>
      </w:r>
    </w:p>
    <w:p w:rsidRPr="003C684F" w:rsidR="009730C1" w:rsidRDefault="00A315B9" w14:paraId="1CFDF061"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当患者出现该不良反应时，应避免抓挠或摩擦，易摩擦部位可用纱布保护以避免出血。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w:t>
      </w:r>
    </w:p>
    <w:p w:rsidRPr="003C684F" w:rsidR="00C11B54" w:rsidP="00C11B54" w:rsidRDefault="00C11B54" w14:paraId="1FB1ADDA" w14:textId="51636D91">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vertAlign w:val="superscript"/>
        </w:rPr>
        <w:lastRenderedPageBreak/>
        <w:t>※</w:t>
      </w:r>
      <w:r w:rsidRPr="003C684F">
        <w:rPr>
          <w:rFonts w:hint="eastAsia" w:ascii="仿宋" w:hAnsi="仿宋" w:eastAsia="仿宋" w:cs="仿宋"/>
          <w:sz w:val="32"/>
          <w:szCs w:val="32"/>
        </w:rPr>
        <w:t>11.其他适应证：Ⅱ期临床研究显示卡瑞</w:t>
      </w:r>
      <w:r w:rsidRPr="003C684F" w:rsidR="000523E4">
        <w:rPr>
          <w:rFonts w:hint="eastAsia" w:ascii="仿宋" w:hAnsi="仿宋" w:eastAsia="仿宋" w:cs="仿宋"/>
          <w:sz w:val="32"/>
          <w:szCs w:val="32"/>
        </w:rPr>
        <w:t>利</w:t>
      </w:r>
      <w:r w:rsidRPr="003C684F" w:rsidR="001E379A">
        <w:rPr>
          <w:rFonts w:hint="eastAsia" w:ascii="仿宋" w:hAnsi="仿宋" w:eastAsia="仿宋" w:cs="仿宋"/>
          <w:sz w:val="32"/>
          <w:szCs w:val="32"/>
        </w:rPr>
        <w:t>珠单抗联合吉西他滨、长春瑞滨、脂质体多柔比星治疗难治复发纵膈</w:t>
      </w:r>
      <w:r w:rsidRPr="003C684F">
        <w:rPr>
          <w:rFonts w:hint="eastAsia" w:ascii="仿宋" w:hAnsi="仿宋" w:eastAsia="仿宋" w:cs="仿宋"/>
          <w:sz w:val="32"/>
          <w:szCs w:val="32"/>
        </w:rPr>
        <w:t>大B细胞淋巴瘤有效。</w:t>
      </w:r>
    </w:p>
    <w:p w:rsidRPr="003C684F" w:rsidR="009730C1" w:rsidP="0037660B" w:rsidRDefault="00A315B9" w14:paraId="54FB86B7"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二十三、替雷利珠单</w:t>
      </w:r>
      <w:r w:rsidRPr="003C684F">
        <w:rPr>
          <w:rFonts w:ascii="黑体" w:hAnsi="黑体" w:eastAsia="黑体"/>
          <w:color w:val="000000"/>
          <w:sz w:val="32"/>
          <w:szCs w:val="32"/>
        </w:rPr>
        <w:t>抗T</w:t>
      </w:r>
      <w:r w:rsidRPr="003C684F">
        <w:rPr>
          <w:rFonts w:hint="eastAsia" w:ascii="黑体" w:hAnsi="黑体" w:eastAsia="黑体"/>
          <w:color w:val="000000"/>
          <w:sz w:val="32"/>
          <w:szCs w:val="32"/>
        </w:rPr>
        <w:t>is</w:t>
      </w:r>
      <w:r w:rsidRPr="003C684F">
        <w:rPr>
          <w:rFonts w:ascii="黑体" w:hAnsi="黑体" w:eastAsia="黑体"/>
          <w:color w:val="000000"/>
          <w:sz w:val="32"/>
          <w:szCs w:val="32"/>
        </w:rPr>
        <w:t>lelizumab</w:t>
      </w:r>
    </w:p>
    <w:p w:rsidRPr="003C684F" w:rsidR="009730C1" w:rsidRDefault="00A315B9" w14:paraId="506BED4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3D2EB8">
        <w:rPr>
          <w:rFonts w:hint="eastAsia" w:ascii="仿宋" w:hAnsi="仿宋" w:eastAsia="仿宋"/>
          <w:color w:val="000000"/>
          <w:sz w:val="32"/>
          <w:szCs w:val="32"/>
        </w:rPr>
        <w:t>剂</w:t>
      </w:r>
      <w:r w:rsidRPr="003C684F">
        <w:rPr>
          <w:rFonts w:hint="eastAsia" w:ascii="仿宋" w:hAnsi="仿宋" w:eastAsia="仿宋"/>
          <w:color w:val="000000"/>
          <w:sz w:val="32"/>
          <w:szCs w:val="32"/>
        </w:rPr>
        <w:t>：</w:t>
      </w:r>
      <w:r w:rsidRPr="003C684F">
        <w:rPr>
          <w:rFonts w:ascii="仿宋" w:hAnsi="仿宋" w:eastAsia="仿宋"/>
          <w:color w:val="000000"/>
          <w:sz w:val="32"/>
          <w:szCs w:val="32"/>
        </w:rPr>
        <w:t>1</w:t>
      </w:r>
      <w:r w:rsidRPr="003C684F">
        <w:rPr>
          <w:rFonts w:hint="eastAsia" w:ascii="仿宋" w:hAnsi="仿宋" w:eastAsia="仿宋"/>
          <w:color w:val="000000"/>
          <w:sz w:val="32"/>
          <w:szCs w:val="32"/>
        </w:rPr>
        <w:t>00mg（10ml）/瓶</w:t>
      </w:r>
    </w:p>
    <w:p w:rsidRPr="003C684F" w:rsidR="009730C1" w:rsidRDefault="00A315B9" w14:paraId="577A8B9E" w14:textId="77777777">
      <w:pPr>
        <w:spacing w:line="360" w:lineRule="auto"/>
        <w:ind w:firstLine="643" w:firstLineChars="200"/>
        <w:rPr>
          <w:rFonts w:ascii="仿宋" w:hAnsi="仿宋" w:eastAsia="仿宋"/>
          <w:bCs/>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bCs/>
          <w:color w:val="000000"/>
          <w:sz w:val="32"/>
          <w:szCs w:val="32"/>
        </w:rPr>
        <w:t>至少经过二线系统化疗的复发或难治性经典型霍奇金淋巴瘤的治疗。</w:t>
      </w:r>
    </w:p>
    <w:p w:rsidRPr="003C684F" w:rsidR="009730C1" w:rsidRDefault="00A315B9" w14:paraId="134B098A" w14:textId="77777777">
      <w:pPr>
        <w:spacing w:line="360" w:lineRule="auto"/>
        <w:ind w:firstLine="643" w:firstLineChars="200"/>
        <w:rPr>
          <w:rFonts w:ascii="仿宋" w:hAnsi="仿宋" w:eastAsia="仿宋"/>
          <w:b/>
          <w:bCs/>
          <w:color w:val="000000"/>
          <w:sz w:val="32"/>
          <w:szCs w:val="32"/>
        </w:rPr>
      </w:pPr>
      <w:r w:rsidRPr="003C684F">
        <w:rPr>
          <w:rFonts w:hint="eastAsia" w:ascii="仿宋" w:hAnsi="仿宋" w:eastAsia="仿宋"/>
          <w:b/>
          <w:bCs/>
          <w:color w:val="000000"/>
          <w:sz w:val="32"/>
          <w:szCs w:val="32"/>
        </w:rPr>
        <w:t>合理用药要点：</w:t>
      </w:r>
    </w:p>
    <w:p w:rsidRPr="003C684F" w:rsidR="009730C1" w:rsidRDefault="00A315B9" w14:paraId="40B99E24"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1.应该按照相关疾病指南，治疗前做基线评估，治疗期间定期监测治疗反应及毒性。</w:t>
      </w:r>
    </w:p>
    <w:p w:rsidRPr="003C684F" w:rsidR="009730C1" w:rsidRDefault="00A315B9" w14:paraId="2BF4AEF6" w14:textId="28790EA1">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2.推荐剂量为200mg</w:t>
      </w:r>
      <w:r w:rsidRPr="003C684F" w:rsidR="005E0015">
        <w:rPr>
          <w:rFonts w:hint="eastAsia" w:ascii="仿宋" w:hAnsi="仿宋" w:eastAsia="仿宋"/>
          <w:bCs/>
          <w:color w:val="000000"/>
          <w:sz w:val="32"/>
          <w:szCs w:val="32"/>
        </w:rPr>
        <w:t>/次</w:t>
      </w:r>
      <w:r w:rsidRPr="003C684F">
        <w:rPr>
          <w:rFonts w:ascii="仿宋" w:hAnsi="仿宋" w:eastAsia="仿宋"/>
          <w:bCs/>
          <w:color w:val="000000"/>
          <w:sz w:val="32"/>
          <w:szCs w:val="32"/>
        </w:rPr>
        <w:t>，</w:t>
      </w:r>
      <w:r w:rsidRPr="003C684F" w:rsidR="0071399F">
        <w:rPr>
          <w:rFonts w:ascii="仿宋" w:hAnsi="仿宋" w:eastAsia="仿宋"/>
          <w:bCs/>
          <w:color w:val="000000"/>
          <w:sz w:val="32"/>
          <w:szCs w:val="32"/>
        </w:rPr>
        <w:t>每3周一次</w:t>
      </w:r>
      <w:r w:rsidRPr="003C684F">
        <w:rPr>
          <w:rFonts w:ascii="仿宋" w:hAnsi="仿宋" w:eastAsia="仿宋"/>
          <w:bCs/>
          <w:color w:val="000000"/>
          <w:sz w:val="32"/>
          <w:szCs w:val="32"/>
        </w:rPr>
        <w:t>，</w:t>
      </w:r>
      <w:r w:rsidRPr="003C684F" w:rsidR="005E0015">
        <w:rPr>
          <w:rFonts w:ascii="仿宋" w:hAnsi="仿宋" w:eastAsia="仿宋"/>
          <w:bCs/>
          <w:color w:val="000000"/>
          <w:sz w:val="32"/>
          <w:szCs w:val="32"/>
        </w:rPr>
        <w:t>静脉输注</w:t>
      </w:r>
      <w:r w:rsidRPr="003C684F" w:rsidR="005E0015">
        <w:rPr>
          <w:rFonts w:hint="eastAsia" w:ascii="仿宋" w:hAnsi="仿宋" w:eastAsia="仿宋"/>
          <w:bCs/>
          <w:color w:val="000000"/>
          <w:sz w:val="32"/>
          <w:szCs w:val="32"/>
        </w:rPr>
        <w:t>，</w:t>
      </w:r>
      <w:r w:rsidRPr="003C684F">
        <w:rPr>
          <w:rFonts w:ascii="仿宋" w:hAnsi="仿宋" w:eastAsia="仿宋"/>
          <w:bCs/>
          <w:color w:val="000000"/>
          <w:sz w:val="32"/>
          <w:szCs w:val="32"/>
        </w:rPr>
        <w:t>直至</w:t>
      </w:r>
      <w:r w:rsidRPr="003C684F" w:rsidR="00B95507">
        <w:rPr>
          <w:rFonts w:ascii="仿宋" w:hAnsi="仿宋" w:eastAsia="仿宋"/>
          <w:bCs/>
          <w:color w:val="000000"/>
          <w:sz w:val="32"/>
          <w:szCs w:val="32"/>
        </w:rPr>
        <w:t>疾病进展或出现不可耐受的毒性。</w:t>
      </w:r>
    </w:p>
    <w:p w:rsidRPr="003C684F" w:rsidR="009730C1" w:rsidRDefault="00A315B9" w14:paraId="64E8CBB6"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3.有可能观察到非典型反应</w:t>
      </w:r>
      <w:r w:rsidRPr="003C684F">
        <w:rPr>
          <w:rFonts w:hint="eastAsia" w:ascii="仿宋" w:hAnsi="仿宋" w:eastAsia="仿宋"/>
          <w:bCs/>
          <w:color w:val="000000"/>
          <w:sz w:val="32"/>
          <w:szCs w:val="32"/>
        </w:rPr>
        <w:t>。如果患者临床症状稳定或持续减轻，即使有疾病进展的初步证据，基于总体临床获益的判断，可考虑继续应用本品治疗，直至证实疾病进展。</w:t>
      </w:r>
    </w:p>
    <w:p w:rsidRPr="003C684F" w:rsidR="009730C1" w:rsidRDefault="00A315B9" w14:paraId="51DBF5BC" w14:textId="1BC3A5EC">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4.</w:t>
      </w:r>
      <w:r w:rsidRPr="003C684F">
        <w:rPr>
          <w:rFonts w:hint="eastAsia" w:ascii="仿宋" w:hAnsi="仿宋" w:eastAsia="仿宋"/>
          <w:color w:val="000000"/>
          <w:sz w:val="32"/>
          <w:szCs w:val="32"/>
        </w:rPr>
        <w:t>对于疑似免疫相关性不良反应，应进行充分的评估以确认病因或排除其他病因，</w:t>
      </w:r>
      <w:r w:rsidRPr="003C684F">
        <w:rPr>
          <w:rFonts w:hint="eastAsia" w:ascii="仿宋" w:hAnsi="仿宋" w:eastAsia="仿宋"/>
          <w:bCs/>
          <w:color w:val="000000"/>
          <w:sz w:val="32"/>
          <w:szCs w:val="32"/>
        </w:rPr>
        <w:t>根据个体患者的安全性和耐受性，可能需要暂停给药或</w:t>
      </w:r>
      <w:r w:rsidRPr="003C684F" w:rsidR="00373DC1">
        <w:rPr>
          <w:rFonts w:hint="eastAsia" w:ascii="仿宋" w:hAnsi="仿宋" w:eastAsia="仿宋"/>
          <w:bCs/>
          <w:color w:val="000000"/>
          <w:sz w:val="32"/>
          <w:szCs w:val="32"/>
        </w:rPr>
        <w:t>永久停用</w:t>
      </w:r>
      <w:r w:rsidRPr="003C684F">
        <w:rPr>
          <w:rFonts w:hint="eastAsia" w:ascii="仿宋" w:hAnsi="仿宋" w:eastAsia="仿宋"/>
          <w:bCs/>
          <w:color w:val="000000"/>
          <w:sz w:val="32"/>
          <w:szCs w:val="32"/>
        </w:rPr>
        <w:t>。不建议增加或减少剂量。</w:t>
      </w:r>
    </w:p>
    <w:p w:rsidRPr="003C684F" w:rsidR="009730C1" w:rsidRDefault="00A315B9" w14:paraId="7E6F075B"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5.目前尚无针对中重度肝功能损伤患者的研究数据，中重度肝功能损伤患者不推荐使用。轻度肝功能损伤患者应在医生指导下慎用本品，如需使用，无需进行剂量调整。</w:t>
      </w:r>
    </w:p>
    <w:p w:rsidRPr="003C684F" w:rsidR="009730C1" w:rsidRDefault="00A315B9" w14:paraId="047A3B01"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6.目前尚无针对重度肾功能损伤患者的研究数据，重度</w:t>
      </w:r>
      <w:r w:rsidRPr="003C684F">
        <w:rPr>
          <w:rFonts w:hint="eastAsia" w:ascii="仿宋" w:hAnsi="仿宋" w:eastAsia="仿宋"/>
          <w:color w:val="000000"/>
          <w:sz w:val="32"/>
          <w:szCs w:val="32"/>
        </w:rPr>
        <w:lastRenderedPageBreak/>
        <w:t>肾功能损伤患者不推荐使用。轻中度肾功能损伤患者应在医生指导下慎用本品，如需使用，无需进行剂量调整。</w:t>
      </w:r>
    </w:p>
    <w:p w:rsidRPr="003C684F" w:rsidR="009730C1" w:rsidRDefault="00A315B9" w14:paraId="60363C19"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7.建议哺乳期妇女在接受本品治疗期间及末次给药后至少5个月内停止哺乳。育龄期妇女在接受本品治疗期间，以及最后一次本品给药后至少5个月内应采用有效避孕措施。</w:t>
      </w:r>
    </w:p>
    <w:p w:rsidRPr="003C684F" w:rsidR="009730C1" w:rsidRDefault="00A315B9" w14:paraId="1BAC87C4"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0B247C" w:rsidP="000B247C" w:rsidRDefault="000B247C" w14:paraId="5E1E1779" w14:textId="5EEDC5A4">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二十四、派安普利单抗 Penpulimab</w:t>
      </w:r>
    </w:p>
    <w:p w:rsidRPr="003C684F" w:rsidR="000B247C" w:rsidP="000B247C" w:rsidRDefault="000B247C" w14:paraId="43775FA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100mg（10ml）/瓶</w:t>
      </w:r>
    </w:p>
    <w:p w:rsidRPr="003C684F" w:rsidR="000B247C" w:rsidP="000B247C" w:rsidRDefault="000B247C" w14:paraId="559CD285"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本品适用于至少经过二线系统化疗的复发或难治性经典型霍奇金淋巴瘤成人患者。</w:t>
      </w:r>
    </w:p>
    <w:p w:rsidRPr="003C684F" w:rsidR="000B247C" w:rsidP="000B247C" w:rsidRDefault="000B247C" w14:paraId="7C451E24"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0B247C" w:rsidP="000B247C" w:rsidRDefault="000B247C" w14:paraId="02A2458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1.本品推荐剂量为200mg/次，每2周一次，静脉输注，直至疾病进展或出现不可耐受的毒性。</w:t>
      </w:r>
    </w:p>
    <w:p w:rsidRPr="003C684F" w:rsidR="000B247C" w:rsidP="000B247C" w:rsidRDefault="000B247C" w14:paraId="265184C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2.有可能观察到非典型反应，如果患者临床症状稳定或持续减轻，即使有疾病进展的初步证据，基于总体临床获益的判断，可考虑继续应用本品治疗，直至证实疾病进展。</w:t>
      </w:r>
    </w:p>
    <w:p w:rsidRPr="003C684F" w:rsidR="000B247C" w:rsidP="000B247C" w:rsidRDefault="000B247C" w14:paraId="205FF6D4" w14:textId="09B520A8">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3.接受派安普利单抗治疗的患者可发生免疫相关性不良反应，包括严重病例。免疫相关性不良反应可能发生在本品治疗期间及停药以后，可累及任何组织器官。患者在接受</w:t>
      </w:r>
      <w:r w:rsidRPr="003C684F">
        <w:rPr>
          <w:rFonts w:hint="eastAsia" w:ascii="仿宋" w:hAnsi="仿宋" w:eastAsia="仿宋" w:cs="仿宋"/>
          <w:sz w:val="32"/>
          <w:szCs w:val="32"/>
        </w:rPr>
        <w:lastRenderedPageBreak/>
        <w:t>派安普利单抗治疗期间及治疗结束后一段时间内，应在医生建议及指导下定期或不定期通过对相关检验指标或脏器功能进行检测，从而及时发现不同时间点出现的免疫相关性不良反应。</w:t>
      </w:r>
    </w:p>
    <w:p w:rsidRPr="003C684F" w:rsidR="000B247C" w:rsidP="000B247C" w:rsidRDefault="000B247C" w14:paraId="1C8CEB66" w14:textId="6C0C8F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4.对于疑似免疫相关性不良反应，应进行充分的评估以排除其他病因。大多数免疫相关性不良反应是可逆的，并且可通过中断本品治疗、</w:t>
      </w:r>
      <w:r w:rsidRPr="003C684F" w:rsidR="004422C9">
        <w:rPr>
          <w:rFonts w:hint="eastAsia" w:ascii="仿宋" w:hAnsi="仿宋" w:eastAsia="仿宋" w:cs="仿宋"/>
          <w:sz w:val="32"/>
          <w:szCs w:val="32"/>
        </w:rPr>
        <w:t>给予</w:t>
      </w:r>
      <w:r w:rsidRPr="003C684F">
        <w:rPr>
          <w:rFonts w:hint="eastAsia" w:ascii="仿宋" w:hAnsi="仿宋" w:eastAsia="仿宋" w:cs="仿宋"/>
          <w:sz w:val="32"/>
          <w:szCs w:val="32"/>
        </w:rPr>
        <w:t>糖皮质激素治疗和/或支持治疗来处理。整体而言，对于大部分2级以及某些特定的3级和4级免疫相关性不良反应需暂停给药。对于4级及某些特定的3级免疫相关性不良反应需永久停用本品。对于3级和4级及某些特定的2级免疫相关性不良反应，根据临床指征，给予1～2mg/（kg</w:t>
      </w:r>
      <w:r w:rsidRPr="003C684F">
        <w:rPr>
          <w:rFonts w:hint="eastAsia" w:ascii="宋体" w:hAnsi="宋体" w:cs="宋体"/>
          <w:sz w:val="32"/>
          <w:szCs w:val="32"/>
        </w:rPr>
        <w:t>•</w:t>
      </w:r>
      <w:r w:rsidRPr="003C684F">
        <w:rPr>
          <w:rFonts w:hint="eastAsia" w:ascii="仿宋" w:hAnsi="仿宋" w:eastAsia="仿宋" w:cs="仿宋"/>
          <w:sz w:val="32"/>
          <w:szCs w:val="32"/>
        </w:rPr>
        <w:t>d）强的松等效剂量，直至改善到≤1级。糖皮质激素需至少一个月的时间逐渐减量直至停药，快速减量可能引起不良反应恶化或复发。如果不良反应在糖皮质激素治疗后继续恶化或无改善，则应增加非糖皮质激素类别的免疫抑制剂治疗。</w:t>
      </w:r>
    </w:p>
    <w:p w:rsidRPr="003C684F" w:rsidR="000B247C" w:rsidP="000B247C" w:rsidRDefault="000B247C" w14:paraId="652F6D5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本品给药后任何复发性3级免疫相关性不良反应，末次给药后12周内2级或3级免疫相关性不良反应未改善到0～1级（除外内分泌疾病），以及末次给药后12周内糖皮质激素未能降至≤10mg/d强的松等效剂量，应永久停用本品。</w:t>
      </w:r>
    </w:p>
    <w:p w:rsidRPr="003C684F" w:rsidR="000B247C" w:rsidP="000B247C" w:rsidRDefault="000B247C" w14:paraId="6783634C" w14:textId="562EA4F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6.在同类抗PD-1抗体产品中，在治疗开始前或终止后进行异体造血干细胞移植，均有</w:t>
      </w:r>
      <w:r w:rsidRPr="009C1DF6" w:rsidR="009C1DF6">
        <w:rPr>
          <w:rFonts w:hint="eastAsia" w:ascii="仿宋" w:hAnsi="仿宋" w:eastAsia="仿宋" w:cs="仿宋"/>
          <w:sz w:val="32"/>
          <w:szCs w:val="32"/>
        </w:rPr>
        <w:t>严重</w:t>
      </w:r>
      <w:r w:rsidRPr="003C684F">
        <w:rPr>
          <w:rFonts w:hint="eastAsia" w:ascii="仿宋" w:hAnsi="仿宋" w:eastAsia="仿宋" w:cs="仿宋"/>
          <w:sz w:val="32"/>
          <w:szCs w:val="32"/>
        </w:rPr>
        <w:t>和</w:t>
      </w:r>
      <w:r w:rsidRPr="009C1DF6" w:rsidR="009C1DF6">
        <w:rPr>
          <w:rFonts w:hint="eastAsia" w:ascii="仿宋" w:hAnsi="仿宋" w:eastAsia="仿宋" w:cs="仿宋"/>
          <w:sz w:val="32"/>
          <w:szCs w:val="32"/>
        </w:rPr>
        <w:t>致命</w:t>
      </w:r>
      <w:r w:rsidRPr="003C684F">
        <w:rPr>
          <w:rFonts w:hint="eastAsia" w:ascii="仿宋" w:hAnsi="仿宋" w:eastAsia="仿宋" w:cs="仿宋"/>
          <w:sz w:val="32"/>
          <w:szCs w:val="32"/>
        </w:rPr>
        <w:t>并发症报道。移</w:t>
      </w:r>
      <w:r w:rsidRPr="003C684F">
        <w:rPr>
          <w:rFonts w:hint="eastAsia" w:ascii="仿宋" w:hAnsi="仿宋" w:eastAsia="仿宋" w:cs="仿宋"/>
          <w:sz w:val="32"/>
          <w:szCs w:val="32"/>
        </w:rPr>
        <w:lastRenderedPageBreak/>
        <w:t>植相关并发症包括超急性移植物抗宿主病、急性移植物抗宿主病、慢性移植物抗宿主病、降低强度预处理后发生的肝静脉闭塞性疾病和需要糖皮质激素治疗的发热综合征。需要密切监测患者的移植相关并发症，并及时进行干预。需要评估同种异体造血干细胞移植之前或之后使用抗PD-1抗体治疗的获益与风险。</w:t>
      </w:r>
    </w:p>
    <w:p w:rsidRPr="003C684F" w:rsidR="000B247C" w:rsidP="000B247C" w:rsidRDefault="000B247C" w14:paraId="368544A2" w14:textId="63BA6D38">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7.在接受本品治疗的患者中已观察到</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。输液期间需密切观察临床症状和体征，包括发热、寒战、僵硬、瘙痒、低血压、胸部不适、皮疹、荨麻疹、血管性水肿、喘息或心动过速；也可能发生罕见的危及生命的反应。对于发生1级</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的患者，在密切监测下可继续接受本品治疗；发生2级</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者，可降低滴速或暂停给药，可考虑用解热镇痛类抗炎药和</w:t>
      </w:r>
      <w:r w:rsidR="00033474">
        <w:rPr>
          <w:rFonts w:hint="eastAsia" w:ascii="仿宋" w:hAnsi="仿宋" w:eastAsia="仿宋" w:cs="仿宋"/>
          <w:sz w:val="32"/>
          <w:szCs w:val="32"/>
        </w:rPr>
        <w:t>H</w:t>
      </w:r>
      <w:r w:rsidRPr="00033474" w:rsidR="00033474">
        <w:rPr>
          <w:rFonts w:hint="eastAsia" w:ascii="仿宋" w:hAnsi="仿宋" w:eastAsia="仿宋" w:cs="仿宋"/>
          <w:sz w:val="32"/>
          <w:szCs w:val="32"/>
          <w:vertAlign w:val="subscript"/>
        </w:rPr>
        <w:t>1</w:t>
      </w:r>
      <w:r w:rsidR="00033474">
        <w:rPr>
          <w:rFonts w:hint="eastAsia" w:ascii="仿宋" w:hAnsi="仿宋" w:eastAsia="仿宋" w:cs="仿宋"/>
          <w:sz w:val="32"/>
          <w:szCs w:val="32"/>
        </w:rPr>
        <w:t>受体阻滞剂</w:t>
      </w:r>
      <w:r w:rsidRPr="003C684F">
        <w:rPr>
          <w:rFonts w:hint="eastAsia" w:ascii="仿宋" w:hAnsi="仿宋" w:eastAsia="仿宋" w:cs="仿宋"/>
          <w:sz w:val="32"/>
          <w:szCs w:val="32"/>
        </w:rPr>
        <w:t>，当症状缓解后可考虑恢复用药并密切观察；发生3级或4级</w:t>
      </w:r>
      <w:r w:rsidR="009C1DF6">
        <w:rPr>
          <w:rFonts w:hint="eastAsia" w:ascii="仿宋" w:hAnsi="仿宋" w:eastAsia="仿宋" w:cs="仿宋"/>
          <w:sz w:val="32"/>
          <w:szCs w:val="32"/>
        </w:rPr>
        <w:t>输注相关反应</w:t>
      </w:r>
      <w:r w:rsidRPr="003C684F">
        <w:rPr>
          <w:rFonts w:hint="eastAsia" w:ascii="仿宋" w:hAnsi="仿宋" w:eastAsia="仿宋" w:cs="仿宋"/>
          <w:sz w:val="32"/>
          <w:szCs w:val="32"/>
        </w:rPr>
        <w:t>时须立即停止输液并永久停</w:t>
      </w:r>
      <w:r w:rsidRPr="003C684F" w:rsidR="00750A52">
        <w:rPr>
          <w:rFonts w:hint="eastAsia" w:ascii="仿宋" w:hAnsi="仿宋" w:eastAsia="仿宋" w:cs="仿宋"/>
          <w:sz w:val="32"/>
          <w:szCs w:val="32"/>
        </w:rPr>
        <w:t>用</w:t>
      </w:r>
      <w:r w:rsidRPr="003C684F">
        <w:rPr>
          <w:rFonts w:hint="eastAsia" w:ascii="仿宋" w:hAnsi="仿宋" w:eastAsia="仿宋" w:cs="仿宋"/>
          <w:sz w:val="32"/>
          <w:szCs w:val="32"/>
        </w:rPr>
        <w:t>本品，给予适当的药物治疗。</w:t>
      </w:r>
    </w:p>
    <w:p w:rsidRPr="003C684F" w:rsidR="000B247C" w:rsidP="000B247C" w:rsidRDefault="000B247C" w14:paraId="08376A5A" w14:textId="13DB416F">
      <w:pPr>
        <w:spacing w:line="360" w:lineRule="auto"/>
        <w:ind w:firstLine="643" w:firstLineChars="200"/>
        <w:rPr>
          <w:rFonts w:ascii="仿宋" w:hAnsi="仿宋" w:eastAsia="仿宋"/>
          <w:color w:val="000000"/>
          <w:sz w:val="32"/>
          <w:szCs w:val="32"/>
        </w:rPr>
      </w:pPr>
      <w:r w:rsidRPr="003C684F">
        <w:rPr>
          <w:rFonts w:hint="eastAsia" w:ascii="仿宋" w:hAnsi="仿宋" w:eastAsia="仿宋" w:cs="仿宋"/>
          <w:b/>
          <w:sz w:val="32"/>
          <w:szCs w:val="32"/>
          <w:vertAlign w:val="superscript"/>
        </w:rPr>
        <w:t>※</w:t>
      </w:r>
      <w:r w:rsidRPr="003C684F">
        <w:rPr>
          <w:rFonts w:hint="eastAsia" w:ascii="仿宋" w:hAnsi="仿宋" w:eastAsia="仿宋" w:cs="仿宋"/>
          <w:sz w:val="32"/>
          <w:szCs w:val="32"/>
        </w:rPr>
        <w:t>8.其他治疗：派安普利单抗联合紫杉醇和铂类一线治疗局部晚期或转移性鳞状非小细胞肺癌（Ⅲ期临床研究</w:t>
      </w:r>
      <w:r w:rsidRPr="003C684F" w:rsidR="00750A52">
        <w:rPr>
          <w:rFonts w:hint="eastAsia" w:ascii="仿宋" w:hAnsi="仿宋" w:eastAsia="仿宋" w:cs="仿宋"/>
          <w:sz w:val="32"/>
          <w:szCs w:val="32"/>
        </w:rPr>
        <w:t>）</w:t>
      </w:r>
      <w:r w:rsidRPr="003C684F">
        <w:rPr>
          <w:rFonts w:hint="eastAsia" w:ascii="仿宋" w:hAnsi="仿宋" w:eastAsia="仿宋" w:cs="仿宋"/>
          <w:sz w:val="32"/>
          <w:szCs w:val="32"/>
        </w:rPr>
        <w:t>。派安普利单抗单药治疗至少经过二线化疗治疗失败的转移性鼻咽癌（Ⅱ期临床研究）。</w:t>
      </w:r>
    </w:p>
    <w:p w:rsidRPr="003C684F" w:rsidR="009730C1" w:rsidP="0037660B" w:rsidRDefault="00A315B9" w14:paraId="44E12745" w14:textId="62080ED4">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二十</w:t>
      </w:r>
      <w:r w:rsidRPr="003C684F" w:rsidR="0014630B">
        <w:rPr>
          <w:rFonts w:hint="eastAsia" w:ascii="黑体" w:hAnsi="黑体" w:eastAsia="黑体" w:cs="黑体"/>
          <w:sz w:val="32"/>
          <w:szCs w:val="32"/>
        </w:rPr>
        <w:t>五</w:t>
      </w:r>
      <w:r w:rsidRPr="003C684F">
        <w:rPr>
          <w:rFonts w:hint="eastAsia" w:ascii="黑体" w:hAnsi="黑体" w:eastAsia="黑体" w:cs="黑体"/>
          <w:sz w:val="32"/>
          <w:szCs w:val="32"/>
        </w:rPr>
        <w:t>、利妥昔单抗 R</w:t>
      </w:r>
      <w:r w:rsidRPr="003C684F">
        <w:rPr>
          <w:rFonts w:ascii="黑体" w:hAnsi="黑体" w:eastAsia="黑体" w:cs="黑体"/>
          <w:sz w:val="32"/>
          <w:szCs w:val="32"/>
        </w:rPr>
        <w:t>ituximab</w:t>
      </w:r>
    </w:p>
    <w:p w:rsidRPr="003C684F" w:rsidR="009730C1" w:rsidRDefault="00A315B9" w14:paraId="0CAC5D55"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w:t>
      </w:r>
      <w:r w:rsidRPr="003C684F" w:rsidR="003D2EB8">
        <w:rPr>
          <w:rFonts w:hint="eastAsia" w:ascii="仿宋" w:hAnsi="仿宋" w:eastAsia="仿宋" w:cs="仿宋"/>
          <w:sz w:val="32"/>
          <w:szCs w:val="32"/>
        </w:rPr>
        <w:t>剂</w:t>
      </w:r>
      <w:r w:rsidRPr="003C684F">
        <w:rPr>
          <w:rFonts w:hint="eastAsia" w:ascii="仿宋" w:hAnsi="仿宋" w:eastAsia="仿宋" w:cs="仿宋"/>
          <w:sz w:val="32"/>
          <w:szCs w:val="32"/>
        </w:rPr>
        <w:t>：</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10ml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r w:rsidRPr="003C684F">
        <w:rPr>
          <w:rFonts w:ascii="仿宋" w:hAnsi="仿宋" w:eastAsia="仿宋" w:cs="仿宋"/>
          <w:sz w:val="32"/>
          <w:szCs w:val="32"/>
        </w:rPr>
        <w:t>500mg</w:t>
      </w:r>
      <w:r w:rsidRPr="003C684F">
        <w:rPr>
          <w:rFonts w:hint="eastAsia" w:ascii="仿宋" w:hAnsi="仿宋" w:eastAsia="仿宋" w:cs="仿宋"/>
          <w:sz w:val="32"/>
          <w:szCs w:val="32"/>
        </w:rPr>
        <w:t>（</w:t>
      </w:r>
      <w:r w:rsidRPr="003C684F">
        <w:rPr>
          <w:rFonts w:ascii="仿宋" w:hAnsi="仿宋" w:eastAsia="仿宋" w:cs="仿宋"/>
          <w:sz w:val="32"/>
          <w:szCs w:val="32"/>
        </w:rPr>
        <w:t>50ml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9730C1" w:rsidRDefault="00A315B9" w14:paraId="4B85427F"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lastRenderedPageBreak/>
        <w:t>适应证：</w:t>
      </w:r>
    </w:p>
    <w:p w:rsidRPr="003C684F" w:rsidR="009730C1" w:rsidRDefault="00A315B9" w14:paraId="5254D9F4"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有治疗指征的滤泡性非霍奇金淋巴瘤。</w:t>
      </w:r>
    </w:p>
    <w:p w:rsidRPr="003C684F" w:rsidR="009730C1" w:rsidRDefault="00A315B9" w14:paraId="1C3A3AF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.CD20</w:t>
      </w:r>
      <w:r w:rsidRPr="003C684F">
        <w:rPr>
          <w:rFonts w:hint="eastAsia" w:ascii="仿宋" w:hAnsi="仿宋" w:eastAsia="仿宋" w:cs="仿宋"/>
          <w:sz w:val="32"/>
          <w:szCs w:val="32"/>
        </w:rPr>
        <w:t>阳性弥漫大</w:t>
      </w:r>
      <w:r w:rsidRPr="003C684F">
        <w:rPr>
          <w:rFonts w:ascii="仿宋" w:hAnsi="仿宋" w:eastAsia="仿宋" w:cs="仿宋"/>
          <w:sz w:val="32"/>
          <w:szCs w:val="32"/>
        </w:rPr>
        <w:t>B</w:t>
      </w:r>
      <w:r w:rsidRPr="003C684F">
        <w:rPr>
          <w:rFonts w:hint="eastAsia" w:ascii="仿宋" w:hAnsi="仿宋" w:eastAsia="仿宋" w:cs="仿宋"/>
          <w:sz w:val="32"/>
          <w:szCs w:val="32"/>
        </w:rPr>
        <w:t>细胞性非霍奇金淋巴瘤（</w:t>
      </w:r>
      <w:r w:rsidRPr="003C684F">
        <w:rPr>
          <w:rFonts w:ascii="仿宋" w:hAnsi="仿宋" w:eastAsia="仿宋" w:cs="仿宋"/>
          <w:sz w:val="32"/>
          <w:szCs w:val="32"/>
        </w:rPr>
        <w:t>DLBCL</w:t>
      </w:r>
      <w:r w:rsidRPr="003C684F">
        <w:rPr>
          <w:rFonts w:hint="eastAsia" w:ascii="仿宋" w:hAnsi="仿宋" w:eastAsia="仿宋" w:cs="仿宋"/>
          <w:sz w:val="32"/>
          <w:szCs w:val="32"/>
        </w:rPr>
        <w:t>）。</w:t>
      </w:r>
    </w:p>
    <w:p w:rsidRPr="003C684F" w:rsidR="009730C1" w:rsidRDefault="00A315B9" w14:paraId="00F5AB1F"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3.单药用于利妥昔单抗联合化疗后达完全或部分缓解后滤泡性淋巴瘤（FL）患者的维持治疗。</w:t>
      </w:r>
    </w:p>
    <w:p w:rsidRPr="003C684F" w:rsidR="009730C1" w:rsidRDefault="00A315B9" w14:paraId="6BB26202"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4.联合氟达拉滨和环磷酰胺（FC）用于初治复发性/难治性慢性淋巴细胞白血病的治疗。</w:t>
      </w:r>
    </w:p>
    <w:p w:rsidRPr="003C684F" w:rsidR="009730C1" w:rsidRDefault="00A315B9" w14:paraId="3566C4D7"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429A3084"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接受</w:t>
      </w:r>
      <w:r w:rsidRPr="003C684F">
        <w:rPr>
          <w:rFonts w:hint="eastAsia" w:ascii="仿宋" w:hAnsi="仿宋" w:eastAsia="仿宋" w:cs="仿宋"/>
          <w:color w:val="000000"/>
          <w:sz w:val="32"/>
          <w:szCs w:val="32"/>
        </w:rPr>
        <w:t>利妥昔单抗治疗后最常见的不良反应是输注相关反应，</w:t>
      </w:r>
      <w:r w:rsidRPr="003C684F">
        <w:rPr>
          <w:rFonts w:hint="eastAsia" w:ascii="仿宋" w:hAnsi="仿宋" w:eastAsia="仿宋" w:cs="仿宋"/>
          <w:sz w:val="32"/>
          <w:szCs w:val="32"/>
        </w:rPr>
        <w:t>主要在首次输注时发生，</w:t>
      </w:r>
      <w:r w:rsidRPr="003C684F">
        <w:rPr>
          <w:rFonts w:hint="eastAsia" w:ascii="仿宋" w:hAnsi="仿宋" w:eastAsia="仿宋" w:cs="仿宋"/>
          <w:color w:val="000000"/>
          <w:sz w:val="32"/>
          <w:szCs w:val="32"/>
        </w:rPr>
        <w:t>症状可表现为：恶心、瘙痒、发热、风疹</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皮疹、畏寒、寒战、喷嚏、血管神经性水肿、咽喉刺激、咳嗽和支气管痉挛，同时伴有或不伴有与药物治疗相关的低血压或高血压</w:t>
      </w:r>
      <w:r w:rsidRPr="003C684F">
        <w:rPr>
          <w:rFonts w:hint="eastAsia" w:ascii="仿宋" w:hAnsi="仿宋" w:eastAsia="仿宋" w:cs="仿宋"/>
          <w:sz w:val="32"/>
          <w:szCs w:val="32"/>
        </w:rPr>
        <w:t>。每次滴注利妥昔单抗前应预先使用抗过敏药物。如果所使用的治疗方案不包括糖皮质激素时，还应该预先使用糖皮质激素。</w:t>
      </w:r>
    </w:p>
    <w:p w:rsidRPr="003C684F" w:rsidR="009730C1" w:rsidRDefault="00A315B9" w14:paraId="30440B93" w14:textId="019EDE8E">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color w:val="000000"/>
          <w:sz w:val="32"/>
          <w:szCs w:val="32"/>
        </w:rPr>
        <w:t>在接受利妥昔单抗和抑制细胞增殖药物化疗的患者中，已报告发生乙型肝炎再激活的病例。应在开始利妥昔单抗治疗前对所有患者根据当地指南进行乙肝病毒的筛查，至少应包括乙肝表面抗原和乙肝核心抗体</w:t>
      </w:r>
      <w:r w:rsidRPr="003C684F">
        <w:rPr>
          <w:rFonts w:hint="eastAsia" w:ascii="仿宋" w:hAnsi="仿宋" w:eastAsia="仿宋" w:cs="仿宋"/>
          <w:color w:val="000000"/>
          <w:w w:val="97"/>
          <w:sz w:val="32"/>
          <w:szCs w:val="32"/>
        </w:rPr>
        <w:t>指标。</w:t>
      </w:r>
      <w:r w:rsidRPr="003C684F" w:rsidR="00C30F2D">
        <w:rPr>
          <w:rFonts w:hint="eastAsia" w:ascii="仿宋" w:hAnsi="仿宋" w:eastAsia="仿宋" w:cs="仿宋"/>
          <w:color w:val="000000"/>
          <w:w w:val="97"/>
          <w:sz w:val="32"/>
          <w:szCs w:val="32"/>
        </w:rPr>
        <w:t>对活动性乙肝患者暂缓使用利妥昔单抗进行治疗。</w:t>
      </w:r>
    </w:p>
    <w:p w:rsidRPr="003C684F" w:rsidR="009730C1" w:rsidRDefault="00A315B9" w14:paraId="3D7CD527" w14:textId="00ADCC82">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禁用于严重活动性感染或免疫应答严重损伤（如低球蛋白血症，</w:t>
      </w:r>
      <w:r w:rsidRPr="003C684F">
        <w:rPr>
          <w:rFonts w:ascii="仿宋" w:hAnsi="仿宋" w:eastAsia="仿宋" w:cs="仿宋"/>
          <w:sz w:val="32"/>
          <w:szCs w:val="32"/>
        </w:rPr>
        <w:t>CD4</w:t>
      </w:r>
      <w:r w:rsidRPr="003C684F">
        <w:rPr>
          <w:rFonts w:hint="eastAsia" w:ascii="仿宋" w:hAnsi="仿宋" w:eastAsia="仿宋" w:cs="仿宋"/>
          <w:sz w:val="32"/>
          <w:szCs w:val="32"/>
        </w:rPr>
        <w:t>或</w:t>
      </w:r>
      <w:r w:rsidRPr="003C684F">
        <w:rPr>
          <w:rFonts w:ascii="仿宋" w:hAnsi="仿宋" w:eastAsia="仿宋" w:cs="仿宋"/>
          <w:sz w:val="32"/>
          <w:szCs w:val="32"/>
        </w:rPr>
        <w:t>CD8</w:t>
      </w:r>
      <w:r w:rsidRPr="003C684F">
        <w:rPr>
          <w:rFonts w:hint="eastAsia" w:ascii="仿宋" w:hAnsi="仿宋" w:eastAsia="仿宋" w:cs="仿宋"/>
          <w:sz w:val="32"/>
          <w:szCs w:val="32"/>
        </w:rPr>
        <w:t>细胞计数严重下降）患者及严重心衰</w:t>
      </w:r>
      <w:r w:rsidRPr="003C684F">
        <w:rPr>
          <w:rFonts w:ascii="仿宋" w:hAnsi="仿宋" w:eastAsia="仿宋" w:cs="仿宋"/>
          <w:color w:val="000000"/>
          <w:sz w:val="32"/>
          <w:szCs w:val="32"/>
        </w:rPr>
        <w:t>[</w:t>
      </w:r>
      <w:r w:rsidRPr="003C684F">
        <w:rPr>
          <w:rFonts w:hint="eastAsia" w:ascii="仿宋" w:hAnsi="仿宋" w:eastAsia="仿宋" w:cs="仿宋"/>
          <w:color w:val="000000"/>
          <w:sz w:val="32"/>
          <w:szCs w:val="32"/>
        </w:rPr>
        <w:t>纽</w:t>
      </w:r>
      <w:r w:rsidRPr="003C684F">
        <w:rPr>
          <w:rFonts w:hint="eastAsia" w:ascii="仿宋" w:hAnsi="仿宋" w:eastAsia="仿宋" w:cs="仿宋"/>
          <w:color w:val="000000"/>
          <w:sz w:val="32"/>
          <w:szCs w:val="32"/>
        </w:rPr>
        <w:lastRenderedPageBreak/>
        <w:t>约心脏病学会（</w:t>
      </w:r>
      <w:r w:rsidRPr="003C684F">
        <w:rPr>
          <w:rFonts w:ascii="仿宋" w:hAnsi="仿宋" w:eastAsia="仿宋" w:cs="仿宋"/>
          <w:color w:val="000000"/>
          <w:sz w:val="32"/>
          <w:szCs w:val="32"/>
        </w:rPr>
        <w:t>NYHA</w:t>
      </w:r>
      <w:r w:rsidRPr="003C684F">
        <w:rPr>
          <w:rFonts w:hint="eastAsia" w:ascii="仿宋" w:hAnsi="仿宋" w:eastAsia="仿宋" w:cs="仿宋"/>
          <w:color w:val="000000"/>
          <w:sz w:val="32"/>
          <w:szCs w:val="32"/>
        </w:rPr>
        <w:t>）</w:t>
      </w:r>
      <w:r w:rsidRPr="003C684F">
        <w:rPr>
          <w:rFonts w:hint="eastAsia" w:ascii="仿宋" w:hAnsi="仿宋" w:eastAsia="仿宋" w:cs="仿宋"/>
          <w:sz w:val="32"/>
          <w:szCs w:val="32"/>
        </w:rPr>
        <w:t>分类</w:t>
      </w:r>
      <w:bookmarkStart w:name="_Hlk59362002" w:id="4"/>
      <w:r w:rsidRPr="003C684F">
        <w:rPr>
          <w:rFonts w:hint="eastAsia" w:ascii="仿宋" w:hAnsi="仿宋" w:eastAsia="仿宋" w:cs="仿宋"/>
          <w:sz w:val="32"/>
          <w:szCs w:val="32"/>
        </w:rPr>
        <w:t>Ⅳ</w:t>
      </w:r>
      <w:bookmarkEnd w:id="4"/>
      <w:r w:rsidRPr="003C684F">
        <w:rPr>
          <w:rFonts w:hint="eastAsia" w:ascii="仿宋" w:hAnsi="仿宋" w:eastAsia="仿宋" w:cs="仿宋"/>
          <w:sz w:val="32"/>
          <w:szCs w:val="32"/>
        </w:rPr>
        <w:t>级</w:t>
      </w:r>
      <w:r w:rsidRPr="003C684F">
        <w:rPr>
          <w:rFonts w:ascii="仿宋" w:hAnsi="仿宋" w:eastAsia="仿宋" w:cs="仿宋"/>
          <w:color w:val="000000"/>
          <w:sz w:val="32"/>
          <w:szCs w:val="32"/>
        </w:rPr>
        <w:t>]</w:t>
      </w:r>
      <w:r w:rsidRPr="003C684F">
        <w:rPr>
          <w:rFonts w:hint="eastAsia" w:ascii="仿宋" w:hAnsi="仿宋" w:eastAsia="仿宋" w:cs="仿宋"/>
          <w:sz w:val="32"/>
          <w:szCs w:val="32"/>
        </w:rPr>
        <w:t>患者；妊娠期间禁止利妥昔单抗与甲氨蝶呤</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790A0F55" w14:textId="00A81BA1">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color w:val="000000"/>
          <w:sz w:val="32"/>
          <w:szCs w:val="32"/>
        </w:rPr>
        <w:t>利妥昔单抗给药需要注意起始滴速的控制。</w:t>
      </w:r>
    </w:p>
    <w:p w:rsidRPr="003C684F" w:rsidR="009730C1" w:rsidRDefault="00A315B9" w14:paraId="11FB2BBD"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5.对用药患者进行严密监护，监测是否发生细胞因子释放综合征及肿瘤溶解综合征。</w:t>
      </w:r>
    </w:p>
    <w:p w:rsidRPr="003C684F" w:rsidR="009730C1" w:rsidRDefault="00A315B9" w14:paraId="6BC9AEE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预先存在肺功能不全或肿瘤肺浸润的患者必须进行胸部影像学检查。</w:t>
      </w:r>
    </w:p>
    <w:p w:rsidRPr="003C684F" w:rsidR="009730C1" w:rsidRDefault="00A315B9" w14:paraId="3346B093"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7.使用利妥昔单抗治疗的患者不宜使用活病毒疫苗进行接种，可以接受非活疫苗的接种，但对非活疫苗的应答率可能会下降。</w:t>
      </w:r>
    </w:p>
    <w:p w:rsidRPr="003C684F" w:rsidR="00A93A59" w:rsidP="00A93A59" w:rsidRDefault="00A93A59" w14:paraId="254B299C" w14:textId="56ABBD5F">
      <w:pPr>
        <w:spacing w:line="360" w:lineRule="auto"/>
        <w:ind w:firstLine="643" w:firstLineChars="200"/>
        <w:rPr>
          <w:rFonts w:ascii="仿宋" w:hAnsi="仿宋" w:eastAsia="仿宋" w:cs="Times New Roman"/>
          <w:sz w:val="32"/>
          <w:szCs w:val="32"/>
        </w:rPr>
      </w:pPr>
      <w:r w:rsidRPr="003C684F">
        <w:rPr>
          <w:rFonts w:hint="eastAsia" w:ascii="仿宋" w:hAnsi="仿宋" w:eastAsia="仿宋" w:cs="Times New Roman"/>
          <w:b/>
          <w:sz w:val="32"/>
          <w:szCs w:val="32"/>
          <w:vertAlign w:val="superscript"/>
        </w:rPr>
        <w:t>※</w:t>
      </w:r>
      <w:r w:rsidRPr="003C684F">
        <w:rPr>
          <w:rFonts w:hint="eastAsia" w:ascii="仿宋" w:hAnsi="仿宋" w:eastAsia="仿宋" w:cs="Times New Roman"/>
          <w:sz w:val="32"/>
          <w:szCs w:val="32"/>
        </w:rPr>
        <w:t>8、其他适应证：充分研究表明利妥昔单抗与化疗或者来那度胺、伊布替尼、维奈克拉等存在协同作用，可以提高其他B细胞来源淋巴瘤亚型治疗，包括：套细胞淋巴瘤、边缘区淋巴瘤、淋巴浆细胞淋巴瘤</w:t>
      </w:r>
      <w:r w:rsidRPr="003C684F" w:rsidR="001543C4">
        <w:rPr>
          <w:rFonts w:hint="eastAsia" w:ascii="仿宋" w:hAnsi="仿宋" w:eastAsia="仿宋" w:cs="Times New Roman"/>
          <w:sz w:val="32"/>
          <w:szCs w:val="32"/>
        </w:rPr>
        <w:t>（</w:t>
      </w:r>
      <w:r w:rsidRPr="003C684F">
        <w:rPr>
          <w:rFonts w:hint="eastAsia" w:ascii="仿宋" w:hAnsi="仿宋" w:eastAsia="仿宋" w:cs="Times New Roman"/>
          <w:sz w:val="32"/>
          <w:szCs w:val="32"/>
        </w:rPr>
        <w:t>包括</w:t>
      </w:r>
      <w:r w:rsidRPr="003C684F" w:rsidR="00F44C70">
        <w:rPr>
          <w:rFonts w:hint="eastAsia" w:ascii="仿宋" w:hAnsi="仿宋" w:eastAsia="仿宋" w:cs="Times New Roman"/>
          <w:sz w:val="32"/>
          <w:szCs w:val="32"/>
        </w:rPr>
        <w:t>华氏</w:t>
      </w:r>
      <w:r w:rsidRPr="003C684F">
        <w:rPr>
          <w:rFonts w:hint="eastAsia" w:ascii="仿宋" w:hAnsi="仿宋" w:eastAsia="仿宋" w:cs="Times New Roman"/>
          <w:sz w:val="32"/>
          <w:szCs w:val="32"/>
        </w:rPr>
        <w:t>巨球蛋白血症</w:t>
      </w:r>
      <w:r w:rsidRPr="003C684F" w:rsidR="001543C4">
        <w:rPr>
          <w:rFonts w:hint="eastAsia" w:ascii="仿宋" w:hAnsi="仿宋" w:eastAsia="仿宋" w:cs="Times New Roman"/>
          <w:sz w:val="32"/>
          <w:szCs w:val="32"/>
        </w:rPr>
        <w:t>）</w:t>
      </w:r>
      <w:r w:rsidRPr="003C684F">
        <w:rPr>
          <w:rFonts w:hint="eastAsia" w:ascii="仿宋" w:hAnsi="仿宋" w:eastAsia="仿宋" w:cs="Times New Roman"/>
          <w:sz w:val="32"/>
          <w:szCs w:val="32"/>
        </w:rPr>
        <w:t>。</w:t>
      </w:r>
      <w:r w:rsidRPr="003C684F" w:rsidR="001543C4">
        <w:rPr>
          <w:rFonts w:hint="eastAsia" w:ascii="仿宋" w:hAnsi="仿宋" w:eastAsia="仿宋" w:cs="Times New Roman"/>
          <w:sz w:val="32"/>
          <w:szCs w:val="32"/>
        </w:rPr>
        <w:t>（</w:t>
      </w:r>
      <w:r w:rsidRPr="003C684F">
        <w:rPr>
          <w:rFonts w:hint="eastAsia" w:ascii="仿宋" w:hAnsi="仿宋" w:eastAsia="仿宋" w:cs="Times New Roman"/>
          <w:sz w:val="32"/>
          <w:szCs w:val="32"/>
        </w:rPr>
        <w:t>国际及中国B细胞淋巴瘤指南共识推荐</w:t>
      </w:r>
      <w:r w:rsidRPr="003C684F" w:rsidR="001543C4">
        <w:rPr>
          <w:rFonts w:hint="eastAsia" w:ascii="仿宋" w:hAnsi="仿宋" w:eastAsia="仿宋" w:cs="Times New Roman"/>
          <w:sz w:val="32"/>
          <w:szCs w:val="32"/>
        </w:rPr>
        <w:t>）</w:t>
      </w:r>
    </w:p>
    <w:p w:rsidRPr="003C684F" w:rsidR="009730C1" w:rsidRDefault="00A315B9" w14:paraId="39F0D224" w14:textId="7AAD571E">
      <w:pPr>
        <w:spacing w:line="360" w:lineRule="auto"/>
        <w:ind w:firstLine="640" w:firstLineChars="200"/>
        <w:rPr>
          <w:rFonts w:ascii="仿宋" w:hAnsi="仿宋" w:eastAsia="仿宋" w:cs="Times New Roman"/>
          <w:sz w:val="32"/>
          <w:szCs w:val="32"/>
        </w:rPr>
      </w:pPr>
      <w:r w:rsidRPr="003C684F">
        <w:rPr>
          <w:rFonts w:hint="eastAsia" w:ascii="黑体" w:hAnsi="黑体" w:eastAsia="黑体"/>
          <w:sz w:val="32"/>
          <w:szCs w:val="32"/>
        </w:rPr>
        <w:t>二十</w:t>
      </w:r>
      <w:r w:rsidRPr="003C684F" w:rsidR="0014630B">
        <w:rPr>
          <w:rFonts w:hint="eastAsia" w:ascii="黑体" w:hAnsi="黑体" w:eastAsia="黑体"/>
          <w:sz w:val="32"/>
          <w:szCs w:val="32"/>
        </w:rPr>
        <w:t>六</w:t>
      </w:r>
      <w:r w:rsidRPr="003C684F">
        <w:rPr>
          <w:rFonts w:hint="eastAsia" w:ascii="黑体" w:hAnsi="黑体" w:eastAsia="黑体"/>
          <w:sz w:val="32"/>
          <w:szCs w:val="32"/>
        </w:rPr>
        <w:t>、奥妥珠单抗 O</w:t>
      </w:r>
      <w:r w:rsidRPr="003C684F">
        <w:rPr>
          <w:rFonts w:ascii="黑体" w:hAnsi="黑体" w:eastAsia="黑体"/>
          <w:sz w:val="32"/>
          <w:szCs w:val="32"/>
        </w:rPr>
        <w:t>binutuzumab</w:t>
      </w:r>
    </w:p>
    <w:p w:rsidRPr="003C684F" w:rsidR="009730C1" w:rsidRDefault="00A315B9" w14:paraId="66BA87A4"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w:t>
      </w:r>
      <w:r w:rsidRPr="003C684F" w:rsidR="007B6F25">
        <w:rPr>
          <w:rFonts w:hint="eastAsia" w:ascii="仿宋" w:hAnsi="仿宋" w:eastAsia="仿宋" w:cs="仿宋"/>
          <w:sz w:val="32"/>
          <w:szCs w:val="32"/>
        </w:rPr>
        <w:t>剂</w:t>
      </w:r>
      <w:r w:rsidRPr="003C684F">
        <w:rPr>
          <w:rFonts w:hint="eastAsia" w:ascii="仿宋" w:hAnsi="仿宋" w:eastAsia="仿宋" w:cs="仿宋"/>
          <w:sz w:val="32"/>
          <w:szCs w:val="32"/>
        </w:rPr>
        <w:t>：1</w:t>
      </w:r>
      <w:r w:rsidRPr="003C684F">
        <w:rPr>
          <w:rFonts w:ascii="仿宋" w:hAnsi="仿宋" w:eastAsia="仿宋" w:cs="仿宋"/>
          <w:sz w:val="32"/>
          <w:szCs w:val="32"/>
        </w:rPr>
        <w:t>000mg</w:t>
      </w:r>
      <w:r w:rsidRPr="003C684F">
        <w:rPr>
          <w:rFonts w:hint="eastAsia" w:ascii="仿宋" w:hAnsi="仿宋" w:eastAsia="仿宋" w:cs="仿宋"/>
          <w:sz w:val="32"/>
          <w:szCs w:val="32"/>
        </w:rPr>
        <w:t>（</w:t>
      </w:r>
      <w:r w:rsidRPr="003C684F">
        <w:rPr>
          <w:rFonts w:ascii="仿宋" w:hAnsi="仿宋" w:eastAsia="仿宋" w:cs="仿宋"/>
          <w:sz w:val="32"/>
          <w:szCs w:val="32"/>
        </w:rPr>
        <w:t>40ml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9730C1" w:rsidRDefault="00A315B9" w14:paraId="1CF2933E"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r w:rsidRPr="003C684F">
        <w:rPr>
          <w:rFonts w:ascii="仿宋" w:hAnsi="仿宋" w:eastAsia="仿宋"/>
          <w:sz w:val="32"/>
          <w:szCs w:val="32"/>
        </w:rPr>
        <w:t>本品与化疗联合，用于初治的</w:t>
      </w:r>
      <w:r w:rsidRPr="003C684F">
        <w:rPr>
          <w:rFonts w:hint="eastAsia" w:ascii="仿宋" w:hAnsi="仿宋" w:eastAsia="仿宋"/>
          <w:sz w:val="32"/>
          <w:szCs w:val="32"/>
        </w:rPr>
        <w:t>Ⅱ</w:t>
      </w:r>
      <w:r w:rsidRPr="003C684F">
        <w:rPr>
          <w:rFonts w:ascii="仿宋" w:hAnsi="仿宋" w:eastAsia="仿宋"/>
          <w:sz w:val="32"/>
          <w:szCs w:val="32"/>
        </w:rPr>
        <w:t>期伴有巨大肿块</w:t>
      </w:r>
      <w:r w:rsidRPr="003C684F">
        <w:rPr>
          <w:rFonts w:hint="eastAsia" w:ascii="仿宋" w:hAnsi="仿宋" w:eastAsia="仿宋"/>
          <w:sz w:val="32"/>
          <w:szCs w:val="32"/>
        </w:rPr>
        <w:t>（最大径≥7cm）</w:t>
      </w:r>
      <w:r w:rsidRPr="003C684F">
        <w:rPr>
          <w:rFonts w:ascii="仿宋" w:hAnsi="仿宋" w:eastAsia="仿宋"/>
          <w:sz w:val="32"/>
          <w:szCs w:val="32"/>
        </w:rPr>
        <w:t>、</w:t>
      </w:r>
      <w:r w:rsidRPr="003C684F">
        <w:rPr>
          <w:rFonts w:hint="eastAsia" w:ascii="仿宋" w:hAnsi="仿宋" w:eastAsia="仿宋"/>
          <w:sz w:val="32"/>
          <w:szCs w:val="32"/>
        </w:rPr>
        <w:t>Ⅲ</w:t>
      </w:r>
      <w:r w:rsidRPr="003C684F">
        <w:rPr>
          <w:rFonts w:ascii="仿宋" w:hAnsi="仿宋" w:eastAsia="仿宋"/>
          <w:sz w:val="32"/>
          <w:szCs w:val="32"/>
        </w:rPr>
        <w:t>期或</w:t>
      </w:r>
      <w:r w:rsidRPr="003C684F">
        <w:rPr>
          <w:rFonts w:hint="eastAsia" w:ascii="仿宋" w:hAnsi="仿宋" w:eastAsia="仿宋"/>
          <w:sz w:val="32"/>
          <w:szCs w:val="32"/>
        </w:rPr>
        <w:t>Ⅳ</w:t>
      </w:r>
      <w:r w:rsidRPr="003C684F">
        <w:rPr>
          <w:rFonts w:ascii="仿宋" w:hAnsi="仿宋" w:eastAsia="仿宋"/>
          <w:sz w:val="32"/>
          <w:szCs w:val="32"/>
        </w:rPr>
        <w:t>期滤泡性淋巴瘤成人患者，达到至少部分缓解的患者随后用奥妥珠单抗维持治疗。</w:t>
      </w:r>
    </w:p>
    <w:p w:rsidRPr="003C684F" w:rsidR="009730C1" w:rsidRDefault="00A315B9" w14:paraId="2107843F" w14:textId="77777777">
      <w:pPr>
        <w:spacing w:line="360" w:lineRule="auto"/>
        <w:ind w:firstLine="643" w:firstLineChars="200"/>
        <w:rPr>
          <w:rFonts w:ascii="仿宋" w:hAnsi="仿宋" w:eastAsia="仿宋" w:cs="Times New Roman"/>
          <w:b/>
          <w:sz w:val="32"/>
          <w:szCs w:val="32"/>
        </w:rPr>
      </w:pPr>
      <w:r w:rsidRPr="003C684F">
        <w:rPr>
          <w:rFonts w:hint="eastAsia" w:ascii="仿宋" w:hAnsi="仿宋" w:eastAsia="仿宋" w:cs="Times New Roman"/>
          <w:b/>
          <w:sz w:val="32"/>
          <w:szCs w:val="32"/>
        </w:rPr>
        <w:t>合理用药要点：</w:t>
      </w:r>
    </w:p>
    <w:p w:rsidRPr="003C684F" w:rsidR="009730C1" w:rsidRDefault="00A315B9" w14:paraId="38692CBE"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1.用药前必须明确诊断为滤泡性淋巴瘤1～</w:t>
      </w:r>
      <w:r w:rsidRPr="003C684F">
        <w:rPr>
          <w:rFonts w:ascii="仿宋" w:hAnsi="仿宋" w:eastAsia="仿宋"/>
          <w:sz w:val="32"/>
          <w:szCs w:val="32"/>
        </w:rPr>
        <w:t>3</w:t>
      </w:r>
      <w:r w:rsidRPr="003C684F">
        <w:rPr>
          <w:rFonts w:hint="eastAsia" w:ascii="仿宋" w:hAnsi="仿宋" w:eastAsia="仿宋"/>
          <w:sz w:val="32"/>
          <w:szCs w:val="32"/>
        </w:rPr>
        <w:t>a级，C</w:t>
      </w:r>
      <w:r w:rsidRPr="003C684F">
        <w:rPr>
          <w:rFonts w:ascii="仿宋" w:hAnsi="仿宋" w:eastAsia="仿宋"/>
          <w:sz w:val="32"/>
          <w:szCs w:val="32"/>
        </w:rPr>
        <w:t>D20</w:t>
      </w:r>
      <w:r w:rsidRPr="003C684F">
        <w:rPr>
          <w:rFonts w:hint="eastAsia" w:ascii="仿宋" w:hAnsi="仿宋" w:eastAsia="仿宋"/>
          <w:sz w:val="32"/>
          <w:szCs w:val="32"/>
        </w:rPr>
        <w:lastRenderedPageBreak/>
        <w:t>阳性。</w:t>
      </w:r>
    </w:p>
    <w:p w:rsidRPr="003C684F" w:rsidR="009730C1" w:rsidRDefault="00A315B9" w14:paraId="35E65648"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2.应该按照相关疾病指南，治疗前做基线评估，治疗期间定期监测治疗反应及毒性。</w:t>
      </w:r>
    </w:p>
    <w:p w:rsidRPr="003C684F" w:rsidR="009730C1" w:rsidRDefault="00A315B9" w14:paraId="6088D927" w14:textId="35CE6B52">
      <w:pPr>
        <w:widowControl/>
        <w:shd w:val="clear" w:color="auto" w:fill="FFFFFF"/>
        <w:spacing w:line="360" w:lineRule="auto"/>
        <w:ind w:firstLine="640" w:firstLineChars="200"/>
        <w:jc w:val="left"/>
        <w:rPr>
          <w:rFonts w:ascii="仿宋" w:hAnsi="仿宋" w:eastAsia="仿宋" w:cs="宋体"/>
          <w:kern w:val="0"/>
          <w:sz w:val="32"/>
          <w:szCs w:val="32"/>
        </w:rPr>
      </w:pPr>
      <w:r w:rsidRPr="003C684F">
        <w:rPr>
          <w:rFonts w:hint="eastAsia" w:ascii="仿宋" w:hAnsi="仿宋" w:eastAsia="仿宋"/>
          <w:sz w:val="32"/>
          <w:szCs w:val="32"/>
        </w:rPr>
        <w:t>3.本品推荐剂量为</w:t>
      </w:r>
      <w:r w:rsidRPr="003C684F">
        <w:rPr>
          <w:rFonts w:ascii="仿宋" w:hAnsi="仿宋" w:eastAsia="仿宋"/>
          <w:sz w:val="32"/>
          <w:szCs w:val="32"/>
        </w:rPr>
        <w:t>10</w:t>
      </w:r>
      <w:r w:rsidRPr="003C684F">
        <w:rPr>
          <w:rFonts w:hint="eastAsia" w:ascii="仿宋" w:hAnsi="仿宋" w:eastAsia="仿宋"/>
          <w:sz w:val="32"/>
          <w:szCs w:val="32"/>
        </w:rPr>
        <w:t>00mg</w:t>
      </w:r>
      <w:r w:rsidRPr="003C684F" w:rsidR="00042068">
        <w:rPr>
          <w:rFonts w:hint="eastAsia" w:ascii="仿宋" w:hAnsi="仿宋" w:eastAsia="仿宋"/>
          <w:sz w:val="32"/>
          <w:szCs w:val="32"/>
        </w:rPr>
        <w:t>/次，静脉输注</w:t>
      </w:r>
      <w:r w:rsidRPr="003C684F">
        <w:rPr>
          <w:rFonts w:hint="eastAsia" w:ascii="仿宋" w:hAnsi="仿宋" w:eastAsia="仿宋"/>
          <w:sz w:val="32"/>
          <w:szCs w:val="32"/>
        </w:rPr>
        <w:t>。对于初治滤泡性淋巴瘤患者，</w:t>
      </w:r>
      <w:r w:rsidRPr="003C684F">
        <w:rPr>
          <w:rFonts w:ascii="仿宋" w:hAnsi="仿宋" w:eastAsia="仿宋" w:cs="宋体"/>
          <w:kern w:val="0"/>
          <w:sz w:val="32"/>
          <w:szCs w:val="32"/>
        </w:rPr>
        <w:t>奥妥珠单抗与化疗</w:t>
      </w:r>
      <w:r w:rsidRPr="003C684F" w:rsidR="004B1BA5">
        <w:rPr>
          <w:rFonts w:ascii="仿宋" w:hAnsi="仿宋" w:eastAsia="仿宋" w:cs="宋体"/>
          <w:kern w:val="0"/>
          <w:sz w:val="32"/>
          <w:szCs w:val="32"/>
        </w:rPr>
        <w:t>联合使用</w:t>
      </w:r>
      <w:r w:rsidRPr="003C684F">
        <w:rPr>
          <w:rFonts w:ascii="仿宋" w:hAnsi="仿宋" w:eastAsia="仿宋" w:cs="宋体"/>
          <w:kern w:val="0"/>
          <w:sz w:val="32"/>
          <w:szCs w:val="32"/>
        </w:rPr>
        <w:t>：与苯达莫司汀</w:t>
      </w:r>
      <w:r w:rsidRPr="003C684F" w:rsidR="004B1BA5">
        <w:rPr>
          <w:rFonts w:ascii="仿宋" w:hAnsi="仿宋" w:eastAsia="仿宋" w:cs="宋体"/>
          <w:kern w:val="0"/>
          <w:sz w:val="32"/>
          <w:szCs w:val="32"/>
        </w:rPr>
        <w:t>联合使用</w:t>
      </w:r>
      <w:r w:rsidRPr="003C684F">
        <w:rPr>
          <w:rFonts w:hint="eastAsia" w:ascii="仿宋" w:hAnsi="仿宋" w:eastAsia="仿宋" w:cs="宋体"/>
          <w:kern w:val="0"/>
          <w:sz w:val="32"/>
          <w:szCs w:val="32"/>
        </w:rPr>
        <w:t>，</w:t>
      </w:r>
      <w:r w:rsidRPr="003C684F">
        <w:rPr>
          <w:rFonts w:ascii="仿宋" w:hAnsi="仿宋" w:eastAsia="仿宋" w:cs="宋体"/>
          <w:kern w:val="0"/>
          <w:sz w:val="32"/>
          <w:szCs w:val="32"/>
        </w:rPr>
        <w:t>6</w:t>
      </w:r>
      <w:r w:rsidRPr="003C684F">
        <w:rPr>
          <w:rFonts w:hint="eastAsia" w:ascii="仿宋" w:hAnsi="仿宋" w:eastAsia="仿宋" w:cs="宋体"/>
          <w:kern w:val="0"/>
          <w:sz w:val="32"/>
          <w:szCs w:val="32"/>
        </w:rPr>
        <w:t>个</w:t>
      </w:r>
      <w:r w:rsidRPr="003C684F">
        <w:rPr>
          <w:rFonts w:ascii="仿宋" w:hAnsi="仿宋" w:eastAsia="仿宋" w:cs="宋体"/>
          <w:kern w:val="0"/>
          <w:sz w:val="32"/>
          <w:szCs w:val="32"/>
        </w:rPr>
        <w:t>周期，每周期28天</w:t>
      </w:r>
      <w:r w:rsidRPr="003C684F">
        <w:rPr>
          <w:rFonts w:hint="eastAsia" w:ascii="仿宋" w:hAnsi="仿宋" w:eastAsia="仿宋" w:cs="宋体"/>
          <w:kern w:val="0"/>
          <w:sz w:val="32"/>
          <w:szCs w:val="32"/>
        </w:rPr>
        <w:t>；或</w:t>
      </w:r>
      <w:r w:rsidRPr="003C684F">
        <w:rPr>
          <w:rFonts w:ascii="仿宋" w:hAnsi="仿宋" w:eastAsia="仿宋" w:cs="宋体"/>
          <w:kern w:val="0"/>
          <w:sz w:val="32"/>
          <w:szCs w:val="32"/>
        </w:rPr>
        <w:t>与CH0P</w:t>
      </w:r>
      <w:r w:rsidRPr="003C684F" w:rsidR="004B1BA5">
        <w:rPr>
          <w:rFonts w:ascii="仿宋" w:hAnsi="仿宋" w:eastAsia="仿宋" w:cs="宋体"/>
          <w:kern w:val="0"/>
          <w:sz w:val="32"/>
          <w:szCs w:val="32"/>
        </w:rPr>
        <w:t>联合使用</w:t>
      </w:r>
      <w:r w:rsidRPr="003C684F">
        <w:rPr>
          <w:rFonts w:ascii="仿宋" w:hAnsi="仿宋" w:eastAsia="仿宋" w:cs="宋体"/>
          <w:kern w:val="0"/>
          <w:sz w:val="32"/>
          <w:szCs w:val="32"/>
        </w:rPr>
        <w:t>，6个周期，每周期21天，然后增加2个周期的奥妥珠单抗单药治疗</w:t>
      </w:r>
      <w:r w:rsidRPr="003C684F">
        <w:rPr>
          <w:rFonts w:hint="eastAsia" w:ascii="仿宋" w:hAnsi="仿宋" w:eastAsia="仿宋" w:cs="宋体"/>
          <w:kern w:val="0"/>
          <w:sz w:val="32"/>
          <w:szCs w:val="32"/>
        </w:rPr>
        <w:t>；</w:t>
      </w:r>
      <w:r w:rsidRPr="003C684F">
        <w:rPr>
          <w:rFonts w:ascii="仿宋" w:hAnsi="仿宋" w:eastAsia="仿宋" w:cs="宋体"/>
          <w:kern w:val="0"/>
          <w:sz w:val="32"/>
          <w:szCs w:val="32"/>
        </w:rPr>
        <w:t>或与CVP</w:t>
      </w:r>
      <w:r w:rsidRPr="003C684F" w:rsidR="004B1BA5">
        <w:rPr>
          <w:rFonts w:ascii="仿宋" w:hAnsi="仿宋" w:eastAsia="仿宋" w:cs="宋体"/>
          <w:kern w:val="0"/>
          <w:sz w:val="32"/>
          <w:szCs w:val="32"/>
        </w:rPr>
        <w:t>联合使用</w:t>
      </w:r>
      <w:r w:rsidRPr="003C684F">
        <w:rPr>
          <w:rFonts w:hint="eastAsia" w:ascii="仿宋" w:hAnsi="仿宋" w:eastAsia="仿宋" w:cs="宋体"/>
          <w:kern w:val="0"/>
          <w:sz w:val="32"/>
          <w:szCs w:val="32"/>
        </w:rPr>
        <w:t>，</w:t>
      </w:r>
      <w:r w:rsidRPr="003C684F">
        <w:rPr>
          <w:rFonts w:ascii="仿宋" w:hAnsi="仿宋" w:eastAsia="仿宋" w:cs="宋体"/>
          <w:kern w:val="0"/>
          <w:sz w:val="32"/>
          <w:szCs w:val="32"/>
        </w:rPr>
        <w:t>8个周期，每周期21天。</w:t>
      </w:r>
    </w:p>
    <w:p w:rsidRPr="003C684F" w:rsidR="009730C1" w:rsidRDefault="00A315B9" w14:paraId="7CFF9491" w14:textId="241CF39B">
      <w:pPr>
        <w:widowControl/>
        <w:shd w:val="clear" w:color="auto" w:fill="FFFFFF"/>
        <w:spacing w:line="360" w:lineRule="auto"/>
        <w:ind w:firstLine="640" w:firstLineChars="200"/>
        <w:jc w:val="left"/>
        <w:rPr>
          <w:rFonts w:ascii="仿宋" w:hAnsi="仿宋" w:eastAsia="仿宋" w:cs="宋体"/>
          <w:kern w:val="0"/>
          <w:sz w:val="32"/>
          <w:szCs w:val="32"/>
        </w:rPr>
      </w:pPr>
      <w:r w:rsidRPr="003C684F">
        <w:rPr>
          <w:rFonts w:ascii="仿宋" w:hAnsi="仿宋" w:eastAsia="仿宋" w:cs="宋体"/>
          <w:kern w:val="0"/>
          <w:sz w:val="32"/>
          <w:szCs w:val="32"/>
        </w:rPr>
        <w:t>经过奥妥珠单抗与化疗的联合治疗6或8个周期，达到完全或部分缓解的患者应继续接受奥妥珠单抗1000mg</w:t>
      </w:r>
      <w:r w:rsidRPr="003C684F" w:rsidR="00042068">
        <w:rPr>
          <w:rFonts w:hint="eastAsia" w:ascii="仿宋" w:hAnsi="仿宋" w:eastAsia="仿宋" w:cs="宋体"/>
          <w:kern w:val="0"/>
          <w:sz w:val="32"/>
          <w:szCs w:val="32"/>
        </w:rPr>
        <w:t>/次</w:t>
      </w:r>
      <w:r w:rsidRPr="003C684F">
        <w:rPr>
          <w:rFonts w:ascii="仿宋" w:hAnsi="仿宋" w:eastAsia="仿宋" w:cs="宋体"/>
          <w:kern w:val="0"/>
          <w:sz w:val="32"/>
          <w:szCs w:val="32"/>
        </w:rPr>
        <w:t>单药维持治疗，每2个月</w:t>
      </w:r>
      <w:r w:rsidRPr="003C684F">
        <w:rPr>
          <w:rFonts w:hint="eastAsia" w:ascii="仿宋" w:hAnsi="仿宋" w:eastAsia="仿宋" w:cs="宋体"/>
          <w:kern w:val="0"/>
          <w:sz w:val="32"/>
          <w:szCs w:val="32"/>
        </w:rPr>
        <w:t>一</w:t>
      </w:r>
      <w:r w:rsidRPr="003C684F">
        <w:rPr>
          <w:rFonts w:ascii="仿宋" w:hAnsi="仿宋" w:eastAsia="仿宋" w:cs="宋体"/>
          <w:kern w:val="0"/>
          <w:sz w:val="32"/>
          <w:szCs w:val="32"/>
        </w:rPr>
        <w:t>次，直至疾病进展或最长达2年。单药维持治疗在诱导治疗期最后一次奥妥珠单抗给药后大约2个月开始。</w:t>
      </w:r>
    </w:p>
    <w:p w:rsidRPr="003C684F" w:rsidR="009730C1" w:rsidRDefault="00A315B9" w14:paraId="73F371FD" w14:textId="02584DAD">
      <w:pPr>
        <w:widowControl/>
        <w:shd w:val="clear" w:color="auto" w:fill="FFFFFF"/>
        <w:spacing w:line="360" w:lineRule="auto"/>
        <w:ind w:firstLine="373" w:firstLineChars="177"/>
        <w:jc w:val="center"/>
        <w:rPr>
          <w:rFonts w:ascii="仿宋" w:hAnsi="仿宋" w:eastAsia="仿宋" w:cs="宋体"/>
          <w:kern w:val="0"/>
        </w:rPr>
      </w:pPr>
      <w:r w:rsidRPr="003C684F">
        <w:rPr>
          <w:rFonts w:hint="eastAsia" w:ascii="仿宋" w:hAnsi="仿宋" w:eastAsia="仿宋" w:cs="宋体"/>
          <w:b/>
          <w:kern w:val="0"/>
        </w:rPr>
        <w:t>表1</w:t>
      </w:r>
      <w:r w:rsidRPr="003C684F" w:rsidR="001B6FD3">
        <w:rPr>
          <w:rFonts w:hint="eastAsia" w:ascii="仿宋" w:hAnsi="仿宋" w:eastAsia="仿宋" w:cs="宋体"/>
          <w:b/>
          <w:kern w:val="0"/>
        </w:rPr>
        <w:t>1</w:t>
      </w:r>
      <w:r w:rsidRPr="003C684F">
        <w:rPr>
          <w:rFonts w:hint="eastAsia" w:ascii="仿宋" w:hAnsi="仿宋" w:eastAsia="仿宋" w:cs="宋体"/>
          <w:b/>
          <w:kern w:val="0"/>
        </w:rPr>
        <w:t xml:space="preserve">　奥妥珠单抗的给药剂量及输注速率</w:t>
      </w:r>
    </w:p>
    <w:tbl>
      <w:tblPr>
        <w:tblStyle w:val="ac"/>
        <w:tblW w:w="8330" w:type="dxa"/>
        <w:tblLook w:val="04A0" w:firstRow="1" w:lastRow="0" w:firstColumn="1" w:lastColumn="0" w:noHBand="0" w:noVBand="1"/>
      </w:tblPr>
      <w:tblGrid>
        <w:gridCol w:w="1384"/>
        <w:gridCol w:w="1701"/>
        <w:gridCol w:w="1276"/>
        <w:gridCol w:w="3969"/>
      </w:tblGrid>
      <w:tr w:rsidRPr="003C684F" w:rsidR="009730C1" w14:paraId="244D7204" w14:textId="77777777">
        <w:tc>
          <w:tcPr>
            <w:tcW w:w="3085" w:type="dxa"/>
            <w:gridSpan w:val="2"/>
          </w:tcPr>
          <w:p w:rsidRPr="003C684F" w:rsidR="009730C1" w:rsidRDefault="00A315B9" w14:paraId="5D68E5BA" w14:textId="77777777">
            <w:pPr>
              <w:widowControl/>
              <w:spacing w:line="360" w:lineRule="auto"/>
              <w:jc w:val="left"/>
              <w:rPr>
                <w:rFonts w:ascii="仿宋" w:hAnsi="仿宋" w:eastAsia="仿宋" w:cs="宋体"/>
                <w:b/>
                <w:szCs w:val="22"/>
              </w:rPr>
            </w:pPr>
            <w:r w:rsidRPr="003C684F">
              <w:rPr>
                <w:rFonts w:hint="eastAsia" w:ascii="仿宋" w:hAnsi="仿宋" w:eastAsia="仿宋" w:cs="宋体"/>
                <w:b/>
                <w:kern w:val="0"/>
                <w:sz w:val="20"/>
              </w:rPr>
              <w:t>治疗周期和天数</w:t>
            </w:r>
          </w:p>
        </w:tc>
        <w:tc>
          <w:tcPr>
            <w:tcW w:w="1276" w:type="dxa"/>
          </w:tcPr>
          <w:p w:rsidRPr="003C684F" w:rsidR="009730C1" w:rsidRDefault="00A315B9" w14:paraId="1C42034A" w14:textId="77777777">
            <w:pPr>
              <w:widowControl/>
              <w:spacing w:line="360" w:lineRule="auto"/>
              <w:jc w:val="left"/>
              <w:rPr>
                <w:rFonts w:ascii="仿宋" w:hAnsi="仿宋" w:eastAsia="仿宋" w:cs="宋体"/>
                <w:b/>
                <w:szCs w:val="22"/>
              </w:rPr>
            </w:pPr>
            <w:r w:rsidRPr="003C684F">
              <w:rPr>
                <w:rFonts w:hint="eastAsia" w:ascii="仿宋" w:hAnsi="仿宋" w:eastAsia="仿宋" w:cs="宋体"/>
                <w:b/>
                <w:kern w:val="0"/>
                <w:sz w:val="20"/>
              </w:rPr>
              <w:t>奥妥珠单抗剂量</w:t>
            </w:r>
          </w:p>
        </w:tc>
        <w:tc>
          <w:tcPr>
            <w:tcW w:w="3969" w:type="dxa"/>
          </w:tcPr>
          <w:p w:rsidRPr="003C684F" w:rsidR="009730C1" w:rsidRDefault="00A315B9" w14:paraId="2B84E4E2" w14:textId="77777777">
            <w:pPr>
              <w:widowControl/>
              <w:spacing w:line="360" w:lineRule="auto"/>
              <w:jc w:val="left"/>
              <w:rPr>
                <w:rFonts w:ascii="仿宋" w:hAnsi="仿宋" w:eastAsia="仿宋" w:cs="宋体"/>
                <w:b/>
                <w:szCs w:val="22"/>
              </w:rPr>
            </w:pPr>
            <w:r w:rsidRPr="003C684F">
              <w:rPr>
                <w:rFonts w:hint="eastAsia" w:ascii="仿宋" w:hAnsi="仿宋" w:eastAsia="仿宋" w:cs="宋体"/>
                <w:b/>
                <w:kern w:val="0"/>
                <w:sz w:val="20"/>
              </w:rPr>
              <w:t>输注速率</w:t>
            </w:r>
          </w:p>
        </w:tc>
      </w:tr>
      <w:tr w:rsidRPr="003C684F" w:rsidR="009730C1" w14:paraId="1F42CD57" w14:textId="77777777">
        <w:tc>
          <w:tcPr>
            <w:tcW w:w="1384" w:type="dxa"/>
            <w:vMerge w:val="restart"/>
          </w:tcPr>
          <w:p w:rsidRPr="003C684F" w:rsidR="009730C1" w:rsidRDefault="009730C1" w14:paraId="4A1BDAF8" w14:textId="77777777">
            <w:pPr>
              <w:widowControl/>
              <w:spacing w:line="360" w:lineRule="auto"/>
              <w:jc w:val="left"/>
              <w:rPr>
                <w:rFonts w:ascii="仿宋" w:hAnsi="仿宋" w:eastAsia="仿宋" w:cs="宋体"/>
                <w:kern w:val="0"/>
                <w:sz w:val="20"/>
              </w:rPr>
            </w:pPr>
          </w:p>
          <w:p w:rsidRPr="003C684F" w:rsidR="009730C1" w:rsidRDefault="00A315B9" w14:paraId="29AC3BEE"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第1周期</w:t>
            </w:r>
          </w:p>
        </w:tc>
        <w:tc>
          <w:tcPr>
            <w:tcW w:w="1701" w:type="dxa"/>
          </w:tcPr>
          <w:p w:rsidRPr="003C684F" w:rsidR="009730C1" w:rsidRDefault="00A315B9" w14:paraId="4F83D926"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第1天</w:t>
            </w:r>
          </w:p>
        </w:tc>
        <w:tc>
          <w:tcPr>
            <w:tcW w:w="1276" w:type="dxa"/>
          </w:tcPr>
          <w:p w:rsidRPr="003C684F" w:rsidR="009730C1" w:rsidRDefault="00A315B9" w14:paraId="102E6FC8"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1</w:t>
            </w:r>
            <w:r w:rsidRPr="003C684F">
              <w:rPr>
                <w:rFonts w:ascii="仿宋" w:hAnsi="仿宋" w:eastAsia="仿宋" w:cs="宋体"/>
                <w:kern w:val="0"/>
                <w:sz w:val="20"/>
              </w:rPr>
              <w:t>000</w:t>
            </w:r>
            <w:r w:rsidRPr="003C684F">
              <w:rPr>
                <w:rFonts w:hint="eastAsia" w:ascii="仿宋" w:hAnsi="仿宋" w:eastAsia="仿宋" w:cs="宋体"/>
                <w:kern w:val="0"/>
                <w:sz w:val="20"/>
              </w:rPr>
              <w:t>mg</w:t>
            </w:r>
          </w:p>
        </w:tc>
        <w:tc>
          <w:tcPr>
            <w:tcW w:w="3969" w:type="dxa"/>
          </w:tcPr>
          <w:p w:rsidRPr="003C684F" w:rsidR="009730C1" w:rsidRDefault="00A315B9" w14:paraId="6083117D" w14:textId="77777777">
            <w:pPr>
              <w:pStyle w:val="af0"/>
              <w:widowControl/>
              <w:spacing w:line="360" w:lineRule="auto"/>
              <w:ind w:firstLine="0" w:firstLineChars="0"/>
              <w:jc w:val="left"/>
              <w:rPr>
                <w:rFonts w:ascii="仿宋" w:hAnsi="仿宋" w:eastAsia="仿宋" w:cs="宋体"/>
                <w:kern w:val="0"/>
                <w:sz w:val="20"/>
              </w:rPr>
            </w:pPr>
            <w:r w:rsidRPr="003C684F">
              <w:rPr>
                <w:rFonts w:hint="eastAsia" w:ascii="仿宋" w:hAnsi="仿宋" w:eastAsia="仿宋" w:cs="宋体"/>
                <w:kern w:val="0"/>
                <w:sz w:val="20"/>
              </w:rPr>
              <w:t>以5</w:t>
            </w:r>
            <w:r w:rsidRPr="003C684F">
              <w:rPr>
                <w:rFonts w:ascii="仿宋" w:hAnsi="仿宋" w:eastAsia="仿宋" w:cs="宋体"/>
                <w:kern w:val="0"/>
                <w:sz w:val="20"/>
              </w:rPr>
              <w:t>0</w:t>
            </w:r>
            <w:r w:rsidRPr="003C684F">
              <w:rPr>
                <w:rFonts w:hint="eastAsia" w:ascii="仿宋" w:hAnsi="仿宋" w:eastAsia="仿宋" w:cs="宋体"/>
                <w:kern w:val="0"/>
                <w:sz w:val="20"/>
              </w:rPr>
              <w:t>mg/h速率开始给药，如无不适，可以每3</w:t>
            </w:r>
            <w:r w:rsidRPr="003C684F">
              <w:rPr>
                <w:rFonts w:ascii="仿宋" w:hAnsi="仿宋" w:eastAsia="仿宋" w:cs="宋体"/>
                <w:kern w:val="0"/>
                <w:sz w:val="20"/>
              </w:rPr>
              <w:t>0</w:t>
            </w:r>
            <w:r w:rsidRPr="003C684F">
              <w:rPr>
                <w:rFonts w:hint="eastAsia" w:ascii="仿宋" w:hAnsi="仿宋" w:eastAsia="仿宋" w:cs="宋体"/>
                <w:kern w:val="0"/>
                <w:sz w:val="20"/>
              </w:rPr>
              <w:t>分钟提高5</w:t>
            </w:r>
            <w:r w:rsidRPr="003C684F">
              <w:rPr>
                <w:rFonts w:ascii="仿宋" w:hAnsi="仿宋" w:eastAsia="仿宋" w:cs="宋体"/>
                <w:kern w:val="0"/>
                <w:sz w:val="20"/>
              </w:rPr>
              <w:t>0</w:t>
            </w:r>
            <w:r w:rsidRPr="003C684F">
              <w:rPr>
                <w:rFonts w:hint="eastAsia" w:ascii="仿宋" w:hAnsi="仿宋" w:eastAsia="仿宋" w:cs="宋体"/>
                <w:kern w:val="0"/>
                <w:sz w:val="20"/>
              </w:rPr>
              <w:t>mg/h，最大速率为4</w:t>
            </w:r>
            <w:r w:rsidRPr="003C684F">
              <w:rPr>
                <w:rFonts w:ascii="仿宋" w:hAnsi="仿宋" w:eastAsia="仿宋" w:cs="宋体"/>
                <w:kern w:val="0"/>
                <w:sz w:val="20"/>
              </w:rPr>
              <w:t>00</w:t>
            </w:r>
            <w:r w:rsidRPr="003C684F">
              <w:rPr>
                <w:rFonts w:hint="eastAsia" w:ascii="仿宋" w:hAnsi="仿宋" w:eastAsia="仿宋" w:cs="宋体"/>
                <w:kern w:val="0"/>
                <w:sz w:val="20"/>
              </w:rPr>
              <w:t>mg/h</w:t>
            </w:r>
          </w:p>
        </w:tc>
      </w:tr>
      <w:tr w:rsidRPr="003C684F" w:rsidR="009730C1" w14:paraId="0A6B175C" w14:textId="77777777">
        <w:tc>
          <w:tcPr>
            <w:tcW w:w="1384" w:type="dxa"/>
            <w:vMerge/>
          </w:tcPr>
          <w:p w:rsidRPr="003C684F" w:rsidR="009730C1" w:rsidRDefault="009730C1" w14:paraId="60CC4FC8" w14:textId="77777777">
            <w:pPr>
              <w:widowControl/>
              <w:spacing w:line="360" w:lineRule="auto"/>
              <w:jc w:val="left"/>
              <w:rPr>
                <w:rFonts w:ascii="仿宋" w:hAnsi="仿宋" w:eastAsia="仿宋" w:cs="宋体"/>
                <w:kern w:val="0"/>
                <w:sz w:val="20"/>
              </w:rPr>
            </w:pPr>
          </w:p>
        </w:tc>
        <w:tc>
          <w:tcPr>
            <w:tcW w:w="1701" w:type="dxa"/>
          </w:tcPr>
          <w:p w:rsidRPr="003C684F" w:rsidR="009730C1" w:rsidRDefault="00A315B9" w14:paraId="191D88F2"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w:t>
            </w:r>
            <w:r w:rsidRPr="003C684F">
              <w:rPr>
                <w:rFonts w:ascii="仿宋" w:hAnsi="仿宋" w:eastAsia="仿宋" w:cs="宋体"/>
                <w:kern w:val="0"/>
                <w:sz w:val="20"/>
              </w:rPr>
              <w:t>8</w:t>
            </w:r>
            <w:r w:rsidRPr="003C684F">
              <w:rPr>
                <w:rFonts w:hint="eastAsia" w:ascii="仿宋" w:hAnsi="仿宋" w:eastAsia="仿宋" w:cs="宋体"/>
                <w:kern w:val="0"/>
                <w:sz w:val="20"/>
              </w:rPr>
              <w:t>天</w:t>
            </w:r>
          </w:p>
        </w:tc>
        <w:tc>
          <w:tcPr>
            <w:tcW w:w="1276" w:type="dxa"/>
          </w:tcPr>
          <w:p w:rsidRPr="003C684F" w:rsidR="009730C1" w:rsidRDefault="00A315B9" w14:paraId="1D1B64DD" w14:textId="77777777">
            <w:pPr>
              <w:spacing w:line="360" w:lineRule="auto"/>
              <w:rPr>
                <w:rFonts w:ascii="仿宋" w:hAnsi="仿宋" w:eastAsia="仿宋"/>
                <w:kern w:val="0"/>
                <w:sz w:val="20"/>
              </w:rPr>
            </w:pPr>
            <w:r w:rsidRPr="003C684F">
              <w:rPr>
                <w:rFonts w:hint="eastAsia" w:ascii="仿宋" w:hAnsi="仿宋" w:eastAsia="仿宋" w:cs="宋体"/>
                <w:kern w:val="0"/>
                <w:sz w:val="20"/>
              </w:rPr>
              <w:t>1</w:t>
            </w:r>
            <w:r w:rsidRPr="003C684F">
              <w:rPr>
                <w:rFonts w:ascii="仿宋" w:hAnsi="仿宋" w:eastAsia="仿宋" w:cs="宋体"/>
                <w:kern w:val="0"/>
                <w:sz w:val="20"/>
              </w:rPr>
              <w:t>000</w:t>
            </w:r>
            <w:r w:rsidRPr="003C684F">
              <w:rPr>
                <w:rFonts w:hint="eastAsia" w:ascii="仿宋" w:hAnsi="仿宋" w:eastAsia="仿宋" w:cs="宋体"/>
                <w:kern w:val="0"/>
                <w:sz w:val="20"/>
              </w:rPr>
              <w:t>mg</w:t>
            </w:r>
          </w:p>
        </w:tc>
        <w:tc>
          <w:tcPr>
            <w:tcW w:w="3969" w:type="dxa"/>
            <w:vMerge w:val="restart"/>
          </w:tcPr>
          <w:p w:rsidRPr="003C684F" w:rsidR="009730C1" w:rsidRDefault="00A315B9" w14:paraId="3EF9278F" w14:textId="78A7A1A3">
            <w:pPr>
              <w:pStyle w:val="af0"/>
              <w:widowControl/>
              <w:spacing w:line="360" w:lineRule="auto"/>
              <w:ind w:firstLine="0" w:firstLineChars="0"/>
              <w:jc w:val="left"/>
              <w:rPr>
                <w:rFonts w:ascii="仿宋" w:hAnsi="仿宋" w:eastAsia="仿宋" w:cs="宋体"/>
                <w:kern w:val="0"/>
                <w:sz w:val="20"/>
              </w:rPr>
            </w:pPr>
            <w:r w:rsidRPr="003C684F">
              <w:rPr>
                <w:rFonts w:hint="eastAsia" w:ascii="仿宋" w:hAnsi="仿宋" w:eastAsia="仿宋" w:cs="宋体"/>
                <w:kern w:val="0"/>
                <w:sz w:val="20"/>
              </w:rPr>
              <w:t>若先前输注的最终速率≥1</w:t>
            </w:r>
            <w:r w:rsidRPr="003C684F">
              <w:rPr>
                <w:rFonts w:ascii="仿宋" w:hAnsi="仿宋" w:eastAsia="仿宋" w:cs="宋体"/>
                <w:kern w:val="0"/>
                <w:sz w:val="20"/>
              </w:rPr>
              <w:t>00</w:t>
            </w:r>
            <w:r w:rsidRPr="003C684F">
              <w:rPr>
                <w:rFonts w:hint="eastAsia" w:ascii="仿宋" w:hAnsi="仿宋" w:eastAsia="仿宋" w:cs="宋体"/>
                <w:kern w:val="0"/>
                <w:sz w:val="20"/>
              </w:rPr>
              <w:t>mg/h，未出现I</w:t>
            </w:r>
            <w:r w:rsidRPr="003C684F">
              <w:rPr>
                <w:rFonts w:ascii="仿宋" w:hAnsi="仿宋" w:eastAsia="仿宋" w:cs="宋体"/>
                <w:kern w:val="0"/>
                <w:sz w:val="20"/>
              </w:rPr>
              <w:t>RR</w:t>
            </w:r>
            <w:r w:rsidRPr="003C684F" w:rsidR="00DB4978">
              <w:rPr>
                <w:rFonts w:hint="eastAsia" w:ascii="仿宋" w:hAnsi="仿宋" w:eastAsia="仿宋" w:cs="宋体"/>
                <w:kern w:val="0"/>
                <w:sz w:val="20"/>
              </w:rPr>
              <w:t>或</w:t>
            </w:r>
            <w:r w:rsidRPr="003C684F">
              <w:rPr>
                <w:rFonts w:hint="eastAsia" w:ascii="仿宋" w:hAnsi="仿宋" w:eastAsia="仿宋" w:cs="宋体"/>
                <w:kern w:val="0"/>
                <w:sz w:val="20"/>
              </w:rPr>
              <w:t>出现１级I</w:t>
            </w:r>
            <w:r w:rsidRPr="003C684F">
              <w:rPr>
                <w:rFonts w:ascii="仿宋" w:hAnsi="仿宋" w:eastAsia="仿宋" w:cs="宋体"/>
                <w:kern w:val="0"/>
                <w:sz w:val="20"/>
              </w:rPr>
              <w:t>RR</w:t>
            </w:r>
            <w:r w:rsidRPr="003C684F">
              <w:rPr>
                <w:rFonts w:hint="eastAsia" w:ascii="仿宋" w:hAnsi="仿宋" w:eastAsia="仿宋" w:cs="宋体"/>
                <w:kern w:val="0"/>
                <w:sz w:val="20"/>
              </w:rPr>
              <w:t>，则可以1</w:t>
            </w:r>
            <w:r w:rsidRPr="003C684F">
              <w:rPr>
                <w:rFonts w:ascii="仿宋" w:hAnsi="仿宋" w:eastAsia="仿宋" w:cs="宋体"/>
                <w:kern w:val="0"/>
                <w:sz w:val="20"/>
              </w:rPr>
              <w:t>00</w:t>
            </w:r>
            <w:r w:rsidRPr="003C684F">
              <w:rPr>
                <w:rFonts w:hint="eastAsia" w:ascii="仿宋" w:hAnsi="仿宋" w:eastAsia="仿宋" w:cs="宋体"/>
                <w:kern w:val="0"/>
                <w:sz w:val="20"/>
              </w:rPr>
              <w:t>mg/h速率开始输注，每3</w:t>
            </w:r>
            <w:r w:rsidRPr="003C684F">
              <w:rPr>
                <w:rFonts w:ascii="仿宋" w:hAnsi="仿宋" w:eastAsia="仿宋" w:cs="宋体"/>
                <w:kern w:val="0"/>
                <w:sz w:val="20"/>
              </w:rPr>
              <w:t>0</w:t>
            </w:r>
            <w:r w:rsidRPr="003C684F">
              <w:rPr>
                <w:rFonts w:hint="eastAsia" w:ascii="仿宋" w:hAnsi="仿宋" w:eastAsia="仿宋" w:cs="宋体"/>
                <w:kern w:val="0"/>
                <w:sz w:val="20"/>
              </w:rPr>
              <w:t>分钟提高1</w:t>
            </w:r>
            <w:r w:rsidRPr="003C684F">
              <w:rPr>
                <w:rFonts w:ascii="仿宋" w:hAnsi="仿宋" w:eastAsia="仿宋" w:cs="宋体"/>
                <w:kern w:val="0"/>
                <w:sz w:val="20"/>
              </w:rPr>
              <w:t>00</w:t>
            </w:r>
            <w:r w:rsidRPr="003C684F">
              <w:rPr>
                <w:rFonts w:hint="eastAsia" w:ascii="仿宋" w:hAnsi="仿宋" w:eastAsia="仿宋" w:cs="宋体"/>
                <w:kern w:val="0"/>
                <w:sz w:val="20"/>
              </w:rPr>
              <w:t>mg/h，最大速率为4</w:t>
            </w:r>
            <w:r w:rsidRPr="003C684F">
              <w:rPr>
                <w:rFonts w:ascii="仿宋" w:hAnsi="仿宋" w:eastAsia="仿宋" w:cs="宋体"/>
                <w:kern w:val="0"/>
                <w:sz w:val="20"/>
              </w:rPr>
              <w:t>00</w:t>
            </w:r>
            <w:r w:rsidRPr="003C684F">
              <w:rPr>
                <w:rFonts w:hint="eastAsia" w:ascii="仿宋" w:hAnsi="仿宋" w:eastAsia="仿宋" w:cs="宋体"/>
                <w:kern w:val="0"/>
                <w:sz w:val="20"/>
              </w:rPr>
              <w:t>mg/h</w:t>
            </w:r>
          </w:p>
          <w:p w:rsidRPr="003C684F" w:rsidR="009730C1" w:rsidRDefault="00A315B9" w14:paraId="776F7868" w14:textId="77777777">
            <w:pPr>
              <w:pStyle w:val="af0"/>
              <w:widowControl/>
              <w:spacing w:line="360" w:lineRule="auto"/>
              <w:ind w:firstLine="0" w:firstLineChars="0"/>
              <w:jc w:val="left"/>
              <w:rPr>
                <w:rFonts w:ascii="仿宋" w:hAnsi="仿宋" w:eastAsia="仿宋" w:cs="宋体"/>
                <w:kern w:val="0"/>
                <w:sz w:val="20"/>
              </w:rPr>
            </w:pPr>
            <w:r w:rsidRPr="003C684F">
              <w:rPr>
                <w:rFonts w:hint="eastAsia" w:ascii="仿宋" w:hAnsi="仿宋" w:eastAsia="仿宋" w:cs="宋体"/>
                <w:kern w:val="0"/>
                <w:sz w:val="20"/>
              </w:rPr>
              <w:t>若先前输注期间出现≥</w:t>
            </w:r>
            <w:r w:rsidRPr="003C684F">
              <w:rPr>
                <w:rFonts w:ascii="仿宋" w:hAnsi="仿宋" w:eastAsia="仿宋" w:cs="宋体"/>
                <w:kern w:val="0"/>
                <w:sz w:val="20"/>
              </w:rPr>
              <w:t>2</w:t>
            </w:r>
            <w:r w:rsidRPr="003C684F">
              <w:rPr>
                <w:rFonts w:hint="eastAsia" w:ascii="仿宋" w:hAnsi="仿宋" w:eastAsia="仿宋" w:cs="宋体"/>
                <w:kern w:val="0"/>
                <w:sz w:val="20"/>
              </w:rPr>
              <w:t>级I</w:t>
            </w:r>
            <w:r w:rsidRPr="003C684F">
              <w:rPr>
                <w:rFonts w:ascii="仿宋" w:hAnsi="仿宋" w:eastAsia="仿宋" w:cs="宋体"/>
                <w:kern w:val="0"/>
                <w:sz w:val="20"/>
              </w:rPr>
              <w:t>RR</w:t>
            </w:r>
            <w:r w:rsidRPr="003C684F">
              <w:rPr>
                <w:rFonts w:hint="eastAsia" w:ascii="仿宋" w:hAnsi="仿宋" w:eastAsia="仿宋" w:cs="宋体"/>
                <w:kern w:val="0"/>
                <w:sz w:val="20"/>
              </w:rPr>
              <w:t>，则以5</w:t>
            </w:r>
            <w:r w:rsidRPr="003C684F">
              <w:rPr>
                <w:rFonts w:ascii="仿宋" w:hAnsi="仿宋" w:eastAsia="仿宋" w:cs="宋体"/>
                <w:kern w:val="0"/>
                <w:sz w:val="20"/>
              </w:rPr>
              <w:t>0</w:t>
            </w:r>
            <w:r w:rsidRPr="003C684F">
              <w:rPr>
                <w:rFonts w:hint="eastAsia" w:ascii="仿宋" w:hAnsi="仿宋" w:eastAsia="仿宋" w:cs="宋体"/>
                <w:kern w:val="0"/>
                <w:sz w:val="20"/>
              </w:rPr>
              <w:t>mg/h开始输注，每3</w:t>
            </w:r>
            <w:r w:rsidRPr="003C684F">
              <w:rPr>
                <w:rFonts w:ascii="仿宋" w:hAnsi="仿宋" w:eastAsia="仿宋" w:cs="宋体"/>
                <w:kern w:val="0"/>
                <w:sz w:val="20"/>
              </w:rPr>
              <w:t>0</w:t>
            </w:r>
            <w:r w:rsidRPr="003C684F">
              <w:rPr>
                <w:rFonts w:hint="eastAsia" w:ascii="仿宋" w:hAnsi="仿宋" w:eastAsia="仿宋" w:cs="宋体"/>
                <w:kern w:val="0"/>
                <w:sz w:val="20"/>
              </w:rPr>
              <w:t>分钟可以提高5</w:t>
            </w:r>
            <w:r w:rsidRPr="003C684F">
              <w:rPr>
                <w:rFonts w:ascii="仿宋" w:hAnsi="仿宋" w:eastAsia="仿宋" w:cs="宋体"/>
                <w:kern w:val="0"/>
                <w:sz w:val="20"/>
              </w:rPr>
              <w:t>0</w:t>
            </w:r>
            <w:r w:rsidRPr="003C684F">
              <w:rPr>
                <w:rFonts w:hint="eastAsia" w:ascii="仿宋" w:hAnsi="仿宋" w:eastAsia="仿宋" w:cs="宋体"/>
                <w:kern w:val="0"/>
                <w:sz w:val="20"/>
              </w:rPr>
              <w:t>mg/h，最大速率为4</w:t>
            </w:r>
            <w:r w:rsidRPr="003C684F">
              <w:rPr>
                <w:rFonts w:ascii="仿宋" w:hAnsi="仿宋" w:eastAsia="仿宋" w:cs="宋体"/>
                <w:kern w:val="0"/>
                <w:sz w:val="20"/>
              </w:rPr>
              <w:t>00</w:t>
            </w:r>
            <w:r w:rsidRPr="003C684F">
              <w:rPr>
                <w:rFonts w:hint="eastAsia" w:ascii="仿宋" w:hAnsi="仿宋" w:eastAsia="仿宋" w:cs="宋体"/>
                <w:kern w:val="0"/>
                <w:sz w:val="20"/>
              </w:rPr>
              <w:t>mg/h</w:t>
            </w:r>
          </w:p>
        </w:tc>
      </w:tr>
      <w:tr w:rsidRPr="003C684F" w:rsidR="009730C1" w14:paraId="13A080EE" w14:textId="77777777">
        <w:tc>
          <w:tcPr>
            <w:tcW w:w="1384" w:type="dxa"/>
            <w:vMerge/>
          </w:tcPr>
          <w:p w:rsidRPr="003C684F" w:rsidR="009730C1" w:rsidRDefault="009730C1" w14:paraId="496BD55A" w14:textId="77777777">
            <w:pPr>
              <w:widowControl/>
              <w:spacing w:line="360" w:lineRule="auto"/>
              <w:jc w:val="left"/>
              <w:rPr>
                <w:rFonts w:ascii="仿宋" w:hAnsi="仿宋" w:eastAsia="仿宋" w:cs="宋体"/>
                <w:kern w:val="0"/>
                <w:sz w:val="20"/>
              </w:rPr>
            </w:pPr>
          </w:p>
        </w:tc>
        <w:tc>
          <w:tcPr>
            <w:tcW w:w="1701" w:type="dxa"/>
          </w:tcPr>
          <w:p w:rsidRPr="003C684F" w:rsidR="009730C1" w:rsidRDefault="00A315B9" w14:paraId="48E4A8A0"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第1</w:t>
            </w:r>
            <w:r w:rsidRPr="003C684F">
              <w:rPr>
                <w:rFonts w:ascii="仿宋" w:hAnsi="仿宋" w:eastAsia="仿宋" w:cs="宋体"/>
                <w:kern w:val="0"/>
                <w:sz w:val="20"/>
              </w:rPr>
              <w:t>5</w:t>
            </w:r>
            <w:r w:rsidRPr="003C684F">
              <w:rPr>
                <w:rFonts w:hint="eastAsia" w:ascii="仿宋" w:hAnsi="仿宋" w:eastAsia="仿宋" w:cs="宋体"/>
                <w:kern w:val="0"/>
                <w:sz w:val="20"/>
              </w:rPr>
              <w:t>天</w:t>
            </w:r>
          </w:p>
        </w:tc>
        <w:tc>
          <w:tcPr>
            <w:tcW w:w="1276" w:type="dxa"/>
          </w:tcPr>
          <w:p w:rsidRPr="003C684F" w:rsidR="009730C1" w:rsidRDefault="00A315B9" w14:paraId="0725CE2E" w14:textId="77777777">
            <w:pPr>
              <w:spacing w:line="360" w:lineRule="auto"/>
              <w:rPr>
                <w:rFonts w:ascii="仿宋" w:hAnsi="仿宋" w:eastAsia="仿宋"/>
                <w:kern w:val="0"/>
                <w:sz w:val="20"/>
              </w:rPr>
            </w:pPr>
            <w:r w:rsidRPr="003C684F">
              <w:rPr>
                <w:rFonts w:hint="eastAsia" w:ascii="仿宋" w:hAnsi="仿宋" w:eastAsia="仿宋" w:cs="宋体"/>
                <w:kern w:val="0"/>
                <w:sz w:val="20"/>
              </w:rPr>
              <w:t>1</w:t>
            </w:r>
            <w:r w:rsidRPr="003C684F">
              <w:rPr>
                <w:rFonts w:ascii="仿宋" w:hAnsi="仿宋" w:eastAsia="仿宋" w:cs="宋体"/>
                <w:kern w:val="0"/>
                <w:sz w:val="20"/>
              </w:rPr>
              <w:t>000</w:t>
            </w:r>
            <w:r w:rsidRPr="003C684F">
              <w:rPr>
                <w:rFonts w:hint="eastAsia" w:ascii="仿宋" w:hAnsi="仿宋" w:eastAsia="仿宋" w:cs="宋体"/>
                <w:kern w:val="0"/>
                <w:sz w:val="20"/>
              </w:rPr>
              <w:t>mg</w:t>
            </w:r>
          </w:p>
        </w:tc>
        <w:tc>
          <w:tcPr>
            <w:tcW w:w="3969" w:type="dxa"/>
            <w:vMerge/>
          </w:tcPr>
          <w:p w:rsidRPr="003C684F" w:rsidR="009730C1" w:rsidRDefault="009730C1" w14:paraId="50637C33" w14:textId="77777777">
            <w:pPr>
              <w:widowControl/>
              <w:spacing w:line="360" w:lineRule="auto"/>
              <w:jc w:val="left"/>
              <w:rPr>
                <w:rFonts w:ascii="宋体" w:hAnsi="宋体" w:cs="宋体"/>
                <w:kern w:val="0"/>
                <w:sz w:val="24"/>
                <w:szCs w:val="32"/>
              </w:rPr>
            </w:pPr>
          </w:p>
        </w:tc>
      </w:tr>
      <w:tr w:rsidRPr="003C684F" w:rsidR="009730C1" w14:paraId="362827E4" w14:textId="77777777">
        <w:tc>
          <w:tcPr>
            <w:tcW w:w="1384" w:type="dxa"/>
          </w:tcPr>
          <w:p w:rsidRPr="003C684F" w:rsidR="009730C1" w:rsidRDefault="00A315B9" w14:paraId="0F7EDA1E"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第2～</w:t>
            </w:r>
            <w:r w:rsidRPr="003C684F">
              <w:rPr>
                <w:rFonts w:ascii="仿宋" w:hAnsi="仿宋" w:eastAsia="仿宋" w:cs="宋体"/>
                <w:kern w:val="0"/>
                <w:sz w:val="20"/>
              </w:rPr>
              <w:t>6</w:t>
            </w:r>
            <w:r w:rsidRPr="003C684F">
              <w:rPr>
                <w:rFonts w:hint="eastAsia" w:ascii="仿宋" w:hAnsi="仿宋" w:eastAsia="仿宋" w:cs="宋体"/>
                <w:kern w:val="0"/>
                <w:sz w:val="20"/>
              </w:rPr>
              <w:t>或</w:t>
            </w:r>
            <w:r w:rsidRPr="003C684F">
              <w:rPr>
                <w:rFonts w:ascii="仿宋" w:hAnsi="仿宋" w:eastAsia="仿宋" w:cs="宋体"/>
                <w:kern w:val="0"/>
                <w:sz w:val="20"/>
              </w:rPr>
              <w:t>2</w:t>
            </w:r>
            <w:r w:rsidRPr="003C684F">
              <w:rPr>
                <w:rFonts w:hint="eastAsia" w:ascii="仿宋" w:hAnsi="仿宋" w:eastAsia="仿宋" w:cs="宋体"/>
                <w:kern w:val="0"/>
                <w:sz w:val="20"/>
              </w:rPr>
              <w:t>～</w:t>
            </w:r>
            <w:r w:rsidRPr="003C684F">
              <w:rPr>
                <w:rFonts w:ascii="仿宋" w:hAnsi="仿宋" w:eastAsia="仿宋" w:cs="宋体"/>
                <w:kern w:val="0"/>
                <w:sz w:val="20"/>
              </w:rPr>
              <w:t>8</w:t>
            </w:r>
            <w:r w:rsidRPr="003C684F">
              <w:rPr>
                <w:rFonts w:hint="eastAsia" w:ascii="仿宋" w:hAnsi="仿宋" w:eastAsia="仿宋" w:cs="宋体"/>
                <w:kern w:val="0"/>
                <w:sz w:val="20"/>
              </w:rPr>
              <w:t>周期</w:t>
            </w:r>
          </w:p>
        </w:tc>
        <w:tc>
          <w:tcPr>
            <w:tcW w:w="1701" w:type="dxa"/>
          </w:tcPr>
          <w:p w:rsidRPr="003C684F" w:rsidR="009730C1" w:rsidRDefault="00A315B9" w14:paraId="10827875"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第1天</w:t>
            </w:r>
          </w:p>
        </w:tc>
        <w:tc>
          <w:tcPr>
            <w:tcW w:w="1276" w:type="dxa"/>
          </w:tcPr>
          <w:p w:rsidRPr="003C684F" w:rsidR="009730C1" w:rsidRDefault="00A315B9" w14:paraId="7853E5E2" w14:textId="77777777">
            <w:pPr>
              <w:spacing w:line="360" w:lineRule="auto"/>
              <w:rPr>
                <w:rFonts w:ascii="仿宋" w:hAnsi="仿宋" w:eastAsia="仿宋"/>
                <w:kern w:val="0"/>
                <w:sz w:val="20"/>
              </w:rPr>
            </w:pPr>
            <w:r w:rsidRPr="003C684F">
              <w:rPr>
                <w:rFonts w:hint="eastAsia" w:ascii="仿宋" w:hAnsi="仿宋" w:eastAsia="仿宋" w:cs="宋体"/>
                <w:kern w:val="0"/>
                <w:sz w:val="20"/>
              </w:rPr>
              <w:t>1</w:t>
            </w:r>
            <w:r w:rsidRPr="003C684F">
              <w:rPr>
                <w:rFonts w:ascii="仿宋" w:hAnsi="仿宋" w:eastAsia="仿宋" w:cs="宋体"/>
                <w:kern w:val="0"/>
                <w:sz w:val="20"/>
              </w:rPr>
              <w:t>000</w:t>
            </w:r>
            <w:r w:rsidRPr="003C684F">
              <w:rPr>
                <w:rFonts w:hint="eastAsia" w:ascii="仿宋" w:hAnsi="仿宋" w:eastAsia="仿宋" w:cs="宋体"/>
                <w:kern w:val="0"/>
                <w:sz w:val="20"/>
              </w:rPr>
              <w:t>mg</w:t>
            </w:r>
          </w:p>
        </w:tc>
        <w:tc>
          <w:tcPr>
            <w:tcW w:w="3969" w:type="dxa"/>
            <w:vMerge/>
          </w:tcPr>
          <w:p w:rsidRPr="003C684F" w:rsidR="009730C1" w:rsidRDefault="009730C1" w14:paraId="45A716F2" w14:textId="77777777">
            <w:pPr>
              <w:widowControl/>
              <w:spacing w:line="360" w:lineRule="auto"/>
              <w:jc w:val="left"/>
              <w:rPr>
                <w:rFonts w:ascii="宋体" w:hAnsi="宋体" w:cs="宋体"/>
                <w:kern w:val="0"/>
                <w:sz w:val="24"/>
                <w:szCs w:val="32"/>
              </w:rPr>
            </w:pPr>
          </w:p>
        </w:tc>
      </w:tr>
      <w:tr w:rsidRPr="003C684F" w:rsidR="009730C1" w14:paraId="23C3B987" w14:textId="77777777">
        <w:tc>
          <w:tcPr>
            <w:tcW w:w="1384" w:type="dxa"/>
          </w:tcPr>
          <w:p w:rsidRPr="003C684F" w:rsidR="009730C1" w:rsidRDefault="00A315B9" w14:paraId="3D8F37D6" w14:textId="77777777">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维持治疗</w:t>
            </w:r>
          </w:p>
        </w:tc>
        <w:tc>
          <w:tcPr>
            <w:tcW w:w="1701" w:type="dxa"/>
          </w:tcPr>
          <w:p w:rsidRPr="003C684F" w:rsidR="009730C1" w:rsidRDefault="00A315B9" w14:paraId="3A5DD6B2" w14:textId="1FEB38D0">
            <w:pPr>
              <w:widowControl/>
              <w:spacing w:line="360" w:lineRule="auto"/>
              <w:jc w:val="left"/>
              <w:rPr>
                <w:rFonts w:ascii="仿宋" w:hAnsi="仿宋" w:eastAsia="仿宋" w:cs="宋体"/>
                <w:kern w:val="0"/>
                <w:sz w:val="20"/>
              </w:rPr>
            </w:pPr>
            <w:r w:rsidRPr="003C684F">
              <w:rPr>
                <w:rFonts w:hint="eastAsia" w:ascii="仿宋" w:hAnsi="仿宋" w:eastAsia="仿宋" w:cs="宋体"/>
                <w:kern w:val="0"/>
                <w:sz w:val="20"/>
              </w:rPr>
              <w:t>每2月一次，直至P</w:t>
            </w:r>
            <w:r w:rsidRPr="003C684F">
              <w:rPr>
                <w:rFonts w:ascii="仿宋" w:hAnsi="仿宋" w:eastAsia="仿宋" w:cs="宋体"/>
                <w:kern w:val="0"/>
                <w:sz w:val="20"/>
              </w:rPr>
              <w:t>D</w:t>
            </w:r>
            <w:r w:rsidRPr="003C684F" w:rsidR="00DB4978">
              <w:rPr>
                <w:rFonts w:hint="eastAsia" w:ascii="仿宋" w:hAnsi="仿宋" w:eastAsia="仿宋" w:cs="宋体"/>
                <w:kern w:val="0"/>
                <w:sz w:val="20"/>
              </w:rPr>
              <w:t>或</w:t>
            </w:r>
            <w:r w:rsidRPr="003C684F">
              <w:rPr>
                <w:rFonts w:hint="eastAsia" w:ascii="仿宋" w:hAnsi="仿宋" w:eastAsia="仿宋" w:cs="宋体"/>
                <w:kern w:val="0"/>
                <w:sz w:val="20"/>
              </w:rPr>
              <w:t>最长达2年</w:t>
            </w:r>
          </w:p>
        </w:tc>
        <w:tc>
          <w:tcPr>
            <w:tcW w:w="1276" w:type="dxa"/>
          </w:tcPr>
          <w:p w:rsidRPr="003C684F" w:rsidR="009730C1" w:rsidRDefault="00A315B9" w14:paraId="3D024F38" w14:textId="77777777">
            <w:pPr>
              <w:spacing w:line="360" w:lineRule="auto"/>
              <w:rPr>
                <w:rFonts w:ascii="仿宋" w:hAnsi="仿宋" w:eastAsia="仿宋"/>
                <w:kern w:val="0"/>
                <w:sz w:val="20"/>
              </w:rPr>
            </w:pPr>
            <w:r w:rsidRPr="003C684F">
              <w:rPr>
                <w:rFonts w:hint="eastAsia" w:ascii="仿宋" w:hAnsi="仿宋" w:eastAsia="仿宋" w:cs="宋体"/>
                <w:kern w:val="0"/>
                <w:sz w:val="20"/>
              </w:rPr>
              <w:t>1</w:t>
            </w:r>
            <w:r w:rsidRPr="003C684F">
              <w:rPr>
                <w:rFonts w:ascii="仿宋" w:hAnsi="仿宋" w:eastAsia="仿宋" w:cs="宋体"/>
                <w:kern w:val="0"/>
                <w:sz w:val="20"/>
              </w:rPr>
              <w:t>000</w:t>
            </w:r>
            <w:r w:rsidRPr="003C684F">
              <w:rPr>
                <w:rFonts w:hint="eastAsia" w:ascii="仿宋" w:hAnsi="仿宋" w:eastAsia="仿宋" w:cs="宋体"/>
                <w:kern w:val="0"/>
                <w:sz w:val="20"/>
              </w:rPr>
              <w:t>mg</w:t>
            </w:r>
          </w:p>
        </w:tc>
        <w:tc>
          <w:tcPr>
            <w:tcW w:w="3969" w:type="dxa"/>
            <w:vMerge/>
          </w:tcPr>
          <w:p w:rsidRPr="003C684F" w:rsidR="009730C1" w:rsidRDefault="009730C1" w14:paraId="1CA5E80B" w14:textId="77777777">
            <w:pPr>
              <w:widowControl/>
              <w:spacing w:line="360" w:lineRule="auto"/>
              <w:jc w:val="left"/>
              <w:rPr>
                <w:rFonts w:ascii="宋体" w:hAnsi="宋体" w:cs="宋体"/>
                <w:kern w:val="0"/>
                <w:sz w:val="24"/>
                <w:szCs w:val="32"/>
              </w:rPr>
            </w:pPr>
          </w:p>
        </w:tc>
      </w:tr>
    </w:tbl>
    <w:p w:rsidRPr="003C684F" w:rsidR="009730C1" w:rsidRDefault="00A315B9" w14:paraId="26B1271E" w14:textId="77777777">
      <w:pPr>
        <w:widowControl/>
        <w:shd w:val="clear" w:color="auto" w:fill="FFFFFF"/>
        <w:snapToGrid w:val="0"/>
        <w:spacing w:before="100" w:beforeAutospacing="1" w:after="100" w:afterAutospacing="1" w:line="360" w:lineRule="auto"/>
        <w:ind w:firstLine="640" w:firstLineChars="200"/>
        <w:contextualSpacing/>
        <w:rPr>
          <w:rFonts w:ascii="仿宋" w:hAnsi="仿宋" w:eastAsia="仿宋" w:cs="宋体"/>
          <w:kern w:val="0"/>
          <w:sz w:val="32"/>
          <w:szCs w:val="32"/>
        </w:rPr>
      </w:pPr>
      <w:r w:rsidRPr="003C684F">
        <w:rPr>
          <w:rFonts w:hint="eastAsia" w:ascii="仿宋" w:hAnsi="仿宋" w:eastAsia="仿宋"/>
          <w:sz w:val="32"/>
          <w:szCs w:val="32"/>
        </w:rPr>
        <w:lastRenderedPageBreak/>
        <w:t>4</w:t>
      </w:r>
      <w:r w:rsidRPr="003C684F">
        <w:rPr>
          <w:rFonts w:ascii="仿宋" w:hAnsi="仿宋" w:eastAsia="仿宋"/>
          <w:sz w:val="32"/>
          <w:szCs w:val="32"/>
        </w:rPr>
        <w:t>.</w:t>
      </w:r>
      <w:r w:rsidRPr="003C684F">
        <w:rPr>
          <w:rFonts w:ascii="仿宋" w:hAnsi="仿宋" w:eastAsia="仿宋" w:cs="宋体"/>
          <w:kern w:val="0"/>
          <w:sz w:val="32"/>
          <w:szCs w:val="32"/>
        </w:rPr>
        <w:t>奥妥珠单抗治疗患者中最常见的不良反应是</w:t>
      </w:r>
      <w:r w:rsidRPr="003C684F">
        <w:rPr>
          <w:rFonts w:hint="eastAsia" w:ascii="仿宋" w:hAnsi="仿宋" w:eastAsia="仿宋" w:cs="宋体"/>
          <w:kern w:val="0"/>
          <w:sz w:val="32"/>
          <w:szCs w:val="32"/>
        </w:rPr>
        <w:t>I</w:t>
      </w:r>
      <w:r w:rsidRPr="003C684F">
        <w:rPr>
          <w:rFonts w:ascii="仿宋" w:hAnsi="仿宋" w:eastAsia="仿宋" w:cs="宋体"/>
          <w:kern w:val="0"/>
          <w:sz w:val="32"/>
          <w:szCs w:val="32"/>
        </w:rPr>
        <w:t>RR，主要发生在首个1000mg剂量的输注期间。</w:t>
      </w:r>
      <w:r w:rsidRPr="003C684F">
        <w:rPr>
          <w:rFonts w:ascii="仿宋" w:hAnsi="仿宋" w:eastAsia="仿宋"/>
          <w:kern w:val="0"/>
          <w:sz w:val="32"/>
          <w:szCs w:val="32"/>
        </w:rPr>
        <w:t>与IRR相关的症状有恶心、呕吐、腹泻、头痛、头晕、疲乏、寒战、发热、低血压、潮红、高血压、心动过速、呼吸困难和胸部不适</w:t>
      </w:r>
      <w:r w:rsidRPr="003C684F">
        <w:rPr>
          <w:rFonts w:hint="eastAsia" w:ascii="仿宋" w:hAnsi="仿宋" w:eastAsia="仿宋"/>
          <w:kern w:val="0"/>
          <w:sz w:val="32"/>
          <w:szCs w:val="32"/>
        </w:rPr>
        <w:t>，少见的有</w:t>
      </w:r>
      <w:r w:rsidRPr="003C684F">
        <w:rPr>
          <w:rFonts w:ascii="仿宋" w:hAnsi="仿宋" w:eastAsia="仿宋"/>
          <w:kern w:val="0"/>
          <w:sz w:val="32"/>
          <w:szCs w:val="32"/>
        </w:rPr>
        <w:t>支气管痉挛、咽喉刺激、哮鸣、喉水肿以及心脏症状如房颤</w:t>
      </w:r>
      <w:r w:rsidRPr="003C684F">
        <w:rPr>
          <w:rFonts w:hint="eastAsia" w:ascii="仿宋" w:hAnsi="仿宋" w:eastAsia="仿宋"/>
          <w:kern w:val="0"/>
          <w:sz w:val="32"/>
          <w:szCs w:val="32"/>
        </w:rPr>
        <w:t>等。</w:t>
      </w:r>
      <w:r w:rsidRPr="003C684F">
        <w:rPr>
          <w:rFonts w:ascii="仿宋" w:hAnsi="仿宋" w:eastAsia="仿宋" w:cs="宋体"/>
          <w:kern w:val="0"/>
          <w:sz w:val="32"/>
          <w:szCs w:val="32"/>
        </w:rPr>
        <w:t>IRR可能与细胞因子释放综合征有关</w:t>
      </w:r>
      <w:r w:rsidRPr="003C684F">
        <w:rPr>
          <w:rFonts w:hint="eastAsia" w:ascii="仿宋" w:hAnsi="仿宋" w:eastAsia="仿宋" w:cs="宋体"/>
          <w:kern w:val="0"/>
          <w:sz w:val="32"/>
          <w:szCs w:val="32"/>
        </w:rPr>
        <w:t>。因此每次输注奥妥珠单抗前应预先使用抗过敏药物，尤其注意起始输注速率的控制，需严格遵循说明书的用法用量及不良反应相关预防及处理建议。</w:t>
      </w:r>
    </w:p>
    <w:p w:rsidRPr="003C684F" w:rsidR="009730C1" w:rsidRDefault="00A315B9" w14:paraId="753670C7" w14:textId="77777777">
      <w:pPr>
        <w:widowControl/>
        <w:shd w:val="clear" w:color="auto" w:fill="FFFFFF"/>
        <w:snapToGrid w:val="0"/>
        <w:spacing w:line="360" w:lineRule="auto"/>
        <w:ind w:firstLine="640" w:firstLineChars="200"/>
        <w:contextualSpacing/>
        <w:rPr>
          <w:rFonts w:ascii="仿宋" w:hAnsi="仿宋" w:eastAsia="仿宋"/>
          <w:kern w:val="0"/>
          <w:sz w:val="32"/>
          <w:szCs w:val="32"/>
        </w:rPr>
      </w:pPr>
      <w:r w:rsidRPr="003C684F">
        <w:rPr>
          <w:rFonts w:ascii="仿宋" w:hAnsi="仿宋" w:eastAsia="仿宋" w:cs="宋体"/>
          <w:kern w:val="0"/>
          <w:sz w:val="32"/>
          <w:szCs w:val="32"/>
        </w:rPr>
        <w:t>5.</w:t>
      </w:r>
      <w:r w:rsidRPr="003C684F">
        <w:rPr>
          <w:rFonts w:ascii="仿宋" w:hAnsi="仿宋" w:eastAsia="仿宋"/>
          <w:kern w:val="0"/>
          <w:sz w:val="32"/>
          <w:szCs w:val="32"/>
        </w:rPr>
        <w:t>奥妥珠单抗</w:t>
      </w:r>
      <w:r w:rsidRPr="003C684F">
        <w:rPr>
          <w:rFonts w:hint="eastAsia" w:ascii="仿宋" w:hAnsi="仿宋" w:eastAsia="仿宋"/>
          <w:kern w:val="0"/>
          <w:sz w:val="32"/>
          <w:szCs w:val="32"/>
        </w:rPr>
        <w:t>用药后可能</w:t>
      </w:r>
      <w:r w:rsidRPr="003C684F">
        <w:rPr>
          <w:rFonts w:ascii="仿宋" w:hAnsi="仿宋" w:eastAsia="仿宋"/>
          <w:kern w:val="0"/>
          <w:sz w:val="32"/>
          <w:szCs w:val="32"/>
        </w:rPr>
        <w:t>发生肿瘤溶解综合征。</w:t>
      </w:r>
      <w:r w:rsidRPr="003C684F">
        <w:rPr>
          <w:rFonts w:hint="eastAsia" w:ascii="仿宋" w:hAnsi="仿宋" w:eastAsia="仿宋"/>
          <w:kern w:val="0"/>
          <w:sz w:val="32"/>
          <w:szCs w:val="32"/>
        </w:rPr>
        <w:t>对于有发生</w:t>
      </w:r>
      <w:r w:rsidRPr="003C684F">
        <w:rPr>
          <w:rFonts w:ascii="仿宋" w:hAnsi="仿宋" w:eastAsia="仿宋"/>
          <w:kern w:val="0"/>
          <w:sz w:val="32"/>
          <w:szCs w:val="32"/>
        </w:rPr>
        <w:t>肿瘤溶解综合征风险的患者[例如，高肿瘤负荷和/或肾功能</w:t>
      </w:r>
      <w:r w:rsidRPr="003C684F">
        <w:rPr>
          <w:rFonts w:hint="eastAsia" w:ascii="仿宋" w:hAnsi="仿宋" w:eastAsia="仿宋"/>
          <w:kern w:val="0"/>
          <w:sz w:val="32"/>
          <w:szCs w:val="32"/>
        </w:rPr>
        <w:t>损伤</w:t>
      </w:r>
      <w:r w:rsidRPr="003C684F">
        <w:rPr>
          <w:rFonts w:ascii="仿宋" w:hAnsi="仿宋" w:eastAsia="仿宋"/>
          <w:kern w:val="0"/>
          <w:sz w:val="32"/>
          <w:szCs w:val="32"/>
        </w:rPr>
        <w:t>（肌酐清除率</w:t>
      </w:r>
      <w:r w:rsidRPr="003C684F">
        <w:rPr>
          <w:rFonts w:hint="eastAsia" w:ascii="仿宋" w:hAnsi="仿宋" w:eastAsia="仿宋"/>
          <w:kern w:val="0"/>
          <w:sz w:val="32"/>
          <w:szCs w:val="32"/>
        </w:rPr>
        <w:t>＜</w:t>
      </w:r>
      <w:r w:rsidRPr="003C684F">
        <w:rPr>
          <w:rFonts w:ascii="仿宋" w:hAnsi="仿宋" w:eastAsia="仿宋"/>
          <w:kern w:val="0"/>
          <w:sz w:val="32"/>
          <w:szCs w:val="32"/>
        </w:rPr>
        <w:t>70m</w:t>
      </w:r>
      <w:r w:rsidRPr="003C684F">
        <w:rPr>
          <w:rFonts w:hint="eastAsia" w:ascii="仿宋" w:hAnsi="仿宋" w:eastAsia="仿宋"/>
          <w:kern w:val="0"/>
          <w:sz w:val="32"/>
          <w:szCs w:val="32"/>
        </w:rPr>
        <w:t>l</w:t>
      </w:r>
      <w:r w:rsidRPr="003C684F">
        <w:rPr>
          <w:rFonts w:ascii="仿宋" w:hAnsi="仿宋" w:eastAsia="仿宋"/>
          <w:kern w:val="0"/>
          <w:sz w:val="32"/>
          <w:szCs w:val="32"/>
        </w:rPr>
        <w:t>/min）患者]应接受预防性治疗</w:t>
      </w:r>
      <w:r w:rsidRPr="003C684F">
        <w:rPr>
          <w:rFonts w:hint="eastAsia" w:ascii="仿宋" w:hAnsi="仿宋" w:eastAsia="仿宋"/>
          <w:kern w:val="0"/>
          <w:sz w:val="32"/>
          <w:szCs w:val="32"/>
        </w:rPr>
        <w:t>，同时治疗中严密监护。</w:t>
      </w:r>
    </w:p>
    <w:p w:rsidRPr="003C684F" w:rsidR="009730C1" w:rsidRDefault="00A315B9" w14:paraId="44917C0D" w14:textId="2ECBA31E">
      <w:pPr>
        <w:widowControl/>
        <w:shd w:val="clear" w:color="auto" w:fill="FFFFFF"/>
        <w:snapToGrid w:val="0"/>
        <w:spacing w:line="360" w:lineRule="auto"/>
        <w:ind w:firstLine="640" w:firstLineChars="200"/>
        <w:contextualSpacing/>
        <w:rPr>
          <w:rFonts w:ascii="仿宋" w:hAnsi="仿宋" w:eastAsia="仿宋"/>
          <w:kern w:val="0"/>
          <w:sz w:val="32"/>
          <w:szCs w:val="32"/>
        </w:rPr>
      </w:pPr>
      <w:r w:rsidRPr="003C684F">
        <w:rPr>
          <w:rFonts w:hint="eastAsia" w:ascii="仿宋" w:hAnsi="仿宋" w:eastAsia="仿宋"/>
          <w:kern w:val="0"/>
          <w:sz w:val="32"/>
          <w:szCs w:val="32"/>
        </w:rPr>
        <w:t>6</w:t>
      </w:r>
      <w:r w:rsidRPr="003C684F">
        <w:rPr>
          <w:rFonts w:ascii="仿宋" w:hAnsi="仿宋" w:eastAsia="仿宋"/>
          <w:kern w:val="0"/>
          <w:sz w:val="32"/>
          <w:szCs w:val="32"/>
        </w:rPr>
        <w:t>.</w:t>
      </w:r>
      <w:r w:rsidRPr="003C684F">
        <w:rPr>
          <w:rFonts w:hint="eastAsia" w:ascii="仿宋" w:hAnsi="仿宋" w:eastAsia="仿宋"/>
          <w:kern w:val="0"/>
          <w:sz w:val="32"/>
          <w:szCs w:val="32"/>
        </w:rPr>
        <w:t>接受</w:t>
      </w:r>
      <w:r w:rsidRPr="003C684F">
        <w:rPr>
          <w:rFonts w:ascii="仿宋" w:hAnsi="仿宋" w:eastAsia="仿宋"/>
          <w:kern w:val="0"/>
          <w:sz w:val="32"/>
          <w:szCs w:val="32"/>
        </w:rPr>
        <w:t>抗CD20抗体（包括奥妥珠单抗）治疗的患者，可能会发生乙型肝炎病毒再激活，</w:t>
      </w:r>
      <w:r w:rsidRPr="003C684F">
        <w:rPr>
          <w:rFonts w:hint="eastAsia" w:ascii="仿宋" w:hAnsi="仿宋" w:eastAsia="仿宋"/>
          <w:kern w:val="0"/>
          <w:sz w:val="32"/>
          <w:szCs w:val="32"/>
        </w:rPr>
        <w:t>某些情况下</w:t>
      </w:r>
      <w:r w:rsidRPr="003C684F">
        <w:rPr>
          <w:rFonts w:ascii="仿宋" w:hAnsi="仿宋" w:eastAsia="仿宋"/>
          <w:kern w:val="0"/>
          <w:sz w:val="32"/>
          <w:szCs w:val="32"/>
        </w:rPr>
        <w:t>会导致暴发性肝炎、肝功能衰竭和死亡。</w:t>
      </w:r>
      <w:r w:rsidRPr="003C684F">
        <w:rPr>
          <w:rFonts w:hint="eastAsia" w:ascii="仿宋" w:hAnsi="仿宋" w:eastAsia="仿宋"/>
          <w:kern w:val="0"/>
          <w:sz w:val="32"/>
          <w:szCs w:val="32"/>
        </w:rPr>
        <w:t>应在</w:t>
      </w:r>
      <w:r w:rsidRPr="003C684F">
        <w:rPr>
          <w:rFonts w:ascii="仿宋" w:hAnsi="仿宋" w:eastAsia="仿宋"/>
          <w:kern w:val="0"/>
          <w:sz w:val="32"/>
          <w:szCs w:val="32"/>
        </w:rPr>
        <w:t>开始奥妥珠单抗治疗之前，</w:t>
      </w:r>
      <w:r w:rsidRPr="003C684F">
        <w:rPr>
          <w:rFonts w:hint="eastAsia" w:ascii="仿宋" w:hAnsi="仿宋" w:eastAsia="仿宋"/>
          <w:kern w:val="0"/>
          <w:sz w:val="32"/>
          <w:szCs w:val="32"/>
        </w:rPr>
        <w:t>根据当地指南对</w:t>
      </w:r>
      <w:r w:rsidRPr="003C684F">
        <w:rPr>
          <w:rFonts w:ascii="仿宋" w:hAnsi="仿宋" w:eastAsia="仿宋"/>
          <w:kern w:val="0"/>
          <w:sz w:val="32"/>
          <w:szCs w:val="32"/>
        </w:rPr>
        <w:t>所有患者进行乙型肝炎病毒筛查</w:t>
      </w:r>
      <w:r w:rsidRPr="003C684F">
        <w:rPr>
          <w:rFonts w:hint="eastAsia" w:ascii="仿宋" w:hAnsi="仿宋" w:eastAsia="仿宋"/>
          <w:kern w:val="0"/>
          <w:sz w:val="32"/>
          <w:szCs w:val="32"/>
        </w:rPr>
        <w:t>，</w:t>
      </w:r>
      <w:r w:rsidRPr="003C684F">
        <w:rPr>
          <w:rFonts w:ascii="仿宋" w:hAnsi="仿宋" w:eastAsia="仿宋"/>
          <w:kern w:val="0"/>
          <w:sz w:val="32"/>
          <w:szCs w:val="32"/>
        </w:rPr>
        <w:t>至少应包括HBsAg和HBcAb检查。</w:t>
      </w:r>
      <w:r w:rsidRPr="003C684F" w:rsidR="00EA13CC">
        <w:rPr>
          <w:rFonts w:hint="eastAsia" w:ascii="仿宋" w:hAnsi="仿宋" w:eastAsia="仿宋"/>
          <w:kern w:val="0"/>
          <w:sz w:val="32"/>
          <w:szCs w:val="32"/>
        </w:rPr>
        <w:t>对活动性乙肝患者暂缓使用奥妥珠单抗进行治疗</w:t>
      </w:r>
      <w:r w:rsidRPr="003C684F">
        <w:rPr>
          <w:rFonts w:ascii="仿宋" w:hAnsi="仿宋" w:eastAsia="仿宋"/>
          <w:kern w:val="0"/>
          <w:sz w:val="32"/>
          <w:szCs w:val="32"/>
        </w:rPr>
        <w:t>。在治疗开始之前，血清学阳性的乙型肝炎患者应咨询肝病专家，并且应按照当地医疗规范接受监测和管理，以预防肝炎病毒再激活。</w:t>
      </w:r>
    </w:p>
    <w:p w:rsidRPr="003C684F" w:rsidR="009730C1" w:rsidRDefault="00A315B9" w14:paraId="1C50DF02" w14:textId="77777777">
      <w:pPr>
        <w:widowControl/>
        <w:topLinePunct/>
        <w:spacing w:line="360" w:lineRule="auto"/>
        <w:ind w:firstLine="640" w:firstLineChars="200"/>
        <w:rPr>
          <w:rFonts w:ascii="仿宋" w:hAnsi="仿宋" w:eastAsia="仿宋"/>
          <w:kern w:val="0"/>
          <w:sz w:val="32"/>
          <w:szCs w:val="32"/>
        </w:rPr>
      </w:pPr>
      <w:r w:rsidRPr="003C684F">
        <w:rPr>
          <w:rFonts w:hint="eastAsia" w:ascii="仿宋" w:hAnsi="仿宋" w:eastAsia="仿宋"/>
          <w:kern w:val="0"/>
          <w:sz w:val="32"/>
          <w:szCs w:val="32"/>
        </w:rPr>
        <w:lastRenderedPageBreak/>
        <w:t>7</w:t>
      </w:r>
      <w:r w:rsidRPr="003C684F">
        <w:rPr>
          <w:rFonts w:ascii="仿宋" w:hAnsi="仿宋" w:eastAsia="仿宋"/>
          <w:kern w:val="0"/>
          <w:sz w:val="32"/>
          <w:szCs w:val="32"/>
        </w:rPr>
        <w:t>.不应在有活动性感染的情况下给予奥妥珠单抗，对于有</w:t>
      </w:r>
      <w:r w:rsidRPr="003C684F">
        <w:rPr>
          <w:rFonts w:hint="eastAsia" w:ascii="仿宋" w:hAnsi="仿宋" w:eastAsia="仿宋"/>
          <w:kern w:val="0"/>
          <w:sz w:val="32"/>
          <w:szCs w:val="32"/>
        </w:rPr>
        <w:t>反复感染</w:t>
      </w:r>
      <w:r w:rsidRPr="003C684F">
        <w:rPr>
          <w:rFonts w:ascii="仿宋" w:hAnsi="仿宋" w:eastAsia="仿宋"/>
          <w:kern w:val="0"/>
          <w:sz w:val="32"/>
          <w:szCs w:val="32"/>
        </w:rPr>
        <w:t>或慢性感染史的患者，应慎用奥妥珠单抗。</w:t>
      </w:r>
    </w:p>
    <w:p w:rsidRPr="003C684F" w:rsidR="009730C1" w:rsidRDefault="00A315B9" w14:paraId="658812DC" w14:textId="77777777">
      <w:pPr>
        <w:widowControl/>
        <w:topLinePunct/>
        <w:spacing w:line="360" w:lineRule="auto"/>
        <w:ind w:firstLine="640" w:firstLineChars="200"/>
        <w:rPr>
          <w:rFonts w:ascii="仿宋" w:hAnsi="仿宋" w:eastAsia="仿宋"/>
          <w:kern w:val="0"/>
          <w:sz w:val="32"/>
          <w:szCs w:val="32"/>
        </w:rPr>
      </w:pPr>
      <w:r w:rsidRPr="003C684F">
        <w:rPr>
          <w:rFonts w:hint="eastAsia" w:ascii="仿宋" w:hAnsi="仿宋" w:eastAsia="仿宋"/>
          <w:kern w:val="0"/>
          <w:sz w:val="32"/>
          <w:szCs w:val="32"/>
        </w:rPr>
        <w:t>8</w:t>
      </w:r>
      <w:r w:rsidRPr="003C684F">
        <w:rPr>
          <w:rFonts w:ascii="仿宋" w:hAnsi="仿宋" w:eastAsia="仿宋"/>
          <w:kern w:val="0"/>
          <w:sz w:val="32"/>
          <w:szCs w:val="32"/>
        </w:rPr>
        <w:t>.不建议在</w:t>
      </w:r>
      <w:r w:rsidRPr="003C684F">
        <w:rPr>
          <w:rFonts w:hint="eastAsia" w:ascii="仿宋" w:hAnsi="仿宋" w:eastAsia="仿宋"/>
          <w:kern w:val="0"/>
          <w:sz w:val="32"/>
          <w:szCs w:val="32"/>
        </w:rPr>
        <w:t>奥妥珠单抗</w:t>
      </w:r>
      <w:r w:rsidRPr="003C684F">
        <w:rPr>
          <w:rFonts w:ascii="仿宋" w:hAnsi="仿宋" w:eastAsia="仿宋"/>
          <w:kern w:val="0"/>
          <w:sz w:val="32"/>
          <w:szCs w:val="32"/>
        </w:rPr>
        <w:t>治疗期间以及B细胞恢复前接种活病毒疫苗。</w:t>
      </w:r>
    </w:p>
    <w:p w:rsidRPr="003C684F" w:rsidR="009730C1" w:rsidRDefault="00A315B9" w14:paraId="30487889" w14:textId="77777777">
      <w:pPr>
        <w:topLinePunct/>
        <w:spacing w:line="360" w:lineRule="auto"/>
        <w:ind w:firstLine="640" w:firstLineChars="200"/>
        <w:rPr>
          <w:rFonts w:ascii="仿宋" w:hAnsi="仿宋" w:eastAsia="仿宋"/>
          <w:kern w:val="0"/>
          <w:sz w:val="32"/>
          <w:szCs w:val="32"/>
        </w:rPr>
      </w:pPr>
      <w:r w:rsidRPr="003C684F">
        <w:rPr>
          <w:rFonts w:hint="eastAsia" w:ascii="仿宋" w:hAnsi="仿宋" w:eastAsia="仿宋"/>
          <w:kern w:val="0"/>
          <w:sz w:val="32"/>
          <w:szCs w:val="32"/>
        </w:rPr>
        <w:t>9</w:t>
      </w:r>
      <w:r w:rsidRPr="003C684F">
        <w:rPr>
          <w:rFonts w:ascii="仿宋" w:hAnsi="仿宋" w:eastAsia="仿宋"/>
          <w:kern w:val="0"/>
          <w:sz w:val="32"/>
          <w:szCs w:val="32"/>
        </w:rPr>
        <w:t>.应避免在妊娠期间使用奥妥珠单抗，除非对母亲的潜在获益超过对胎儿的潜在风险。对于在妊娠期间曾接受过奥妥珠单抗治疗的母亲所生育的婴儿，应考虑推迟减毒活疫苗的接种，直至婴儿的B细胞水平在正常范围内。哺乳女性在奥妥珠单抗治疗期间和在奥妥珠单抗末次给药之后18个月内</w:t>
      </w:r>
      <w:r w:rsidRPr="003C684F">
        <w:rPr>
          <w:rFonts w:hint="eastAsia" w:ascii="仿宋" w:hAnsi="仿宋" w:eastAsia="仿宋"/>
          <w:kern w:val="0"/>
          <w:sz w:val="32"/>
          <w:szCs w:val="32"/>
        </w:rPr>
        <w:t>建议</w:t>
      </w:r>
      <w:r w:rsidRPr="003C684F">
        <w:rPr>
          <w:rFonts w:ascii="仿宋" w:hAnsi="仿宋" w:eastAsia="仿宋"/>
          <w:kern w:val="0"/>
          <w:sz w:val="32"/>
          <w:szCs w:val="32"/>
        </w:rPr>
        <w:t>停止哺乳</w:t>
      </w:r>
      <w:r w:rsidRPr="003C684F">
        <w:rPr>
          <w:rFonts w:hint="eastAsia" w:ascii="仿宋" w:hAnsi="仿宋" w:eastAsia="仿宋"/>
          <w:kern w:val="0"/>
          <w:sz w:val="32"/>
          <w:szCs w:val="32"/>
        </w:rPr>
        <w:t>。</w:t>
      </w:r>
    </w:p>
    <w:p w:rsidRPr="003C684F" w:rsidR="009730C1" w:rsidP="0037660B" w:rsidRDefault="00A315B9" w14:paraId="6744E7D9" w14:textId="3DC26762">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二十</w:t>
      </w:r>
      <w:r w:rsidRPr="003C684F" w:rsidR="0014630B">
        <w:rPr>
          <w:rFonts w:hint="eastAsia" w:ascii="黑体" w:hAnsi="黑体" w:eastAsia="黑体"/>
          <w:color w:val="000000"/>
          <w:sz w:val="32"/>
          <w:szCs w:val="32"/>
        </w:rPr>
        <w:t>七</w:t>
      </w:r>
      <w:r w:rsidRPr="003C684F">
        <w:rPr>
          <w:rFonts w:hint="eastAsia" w:ascii="黑体" w:hAnsi="黑体" w:eastAsia="黑体"/>
          <w:color w:val="000000"/>
          <w:sz w:val="32"/>
          <w:szCs w:val="32"/>
        </w:rPr>
        <w:t xml:space="preserve">、维布妥昔单抗 </w:t>
      </w:r>
      <w:r w:rsidRPr="003C684F">
        <w:rPr>
          <w:rFonts w:ascii="黑体" w:hAnsi="黑体" w:eastAsia="黑体"/>
          <w:color w:val="000000"/>
          <w:sz w:val="32"/>
          <w:szCs w:val="32"/>
        </w:rPr>
        <w:t>Brentuximab</w:t>
      </w:r>
      <w:r w:rsidRPr="003C684F" w:rsidR="00754B37">
        <w:rPr>
          <w:rFonts w:hint="eastAsia" w:ascii="黑体" w:hAnsi="黑体" w:eastAsia="黑体"/>
          <w:color w:val="000000"/>
          <w:sz w:val="32"/>
          <w:szCs w:val="32"/>
        </w:rPr>
        <w:t xml:space="preserve"> </w:t>
      </w:r>
      <w:r w:rsidRPr="003C684F">
        <w:rPr>
          <w:rFonts w:ascii="黑体" w:hAnsi="黑体" w:eastAsia="黑体"/>
          <w:color w:val="000000"/>
          <w:sz w:val="32"/>
          <w:szCs w:val="32"/>
        </w:rPr>
        <w:t>Vedotin</w:t>
      </w:r>
    </w:p>
    <w:p w:rsidRPr="003C684F" w:rsidR="009730C1" w:rsidRDefault="00A315B9" w14:paraId="597F65FE"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粉针剂：</w:t>
      </w:r>
      <w:r w:rsidRPr="003C684F">
        <w:rPr>
          <w:rFonts w:ascii="仿宋" w:hAnsi="仿宋" w:eastAsia="仿宋"/>
          <w:color w:val="000000"/>
          <w:sz w:val="32"/>
          <w:szCs w:val="32"/>
        </w:rPr>
        <w:t>5</w:t>
      </w:r>
      <w:r w:rsidRPr="003C684F">
        <w:rPr>
          <w:rFonts w:hint="eastAsia" w:ascii="仿宋" w:hAnsi="仿宋" w:eastAsia="仿宋"/>
          <w:color w:val="000000"/>
          <w:sz w:val="32"/>
          <w:szCs w:val="32"/>
        </w:rPr>
        <w:t>0mg/瓶</w:t>
      </w:r>
    </w:p>
    <w:p w:rsidRPr="003C684F" w:rsidR="004C7A87" w:rsidP="004C7A87" w:rsidRDefault="00A315B9" w14:paraId="42007766" w14:textId="7DF1EEEC">
      <w:pPr>
        <w:spacing w:line="360" w:lineRule="auto"/>
        <w:ind w:firstLine="643" w:firstLineChars="200"/>
        <w:rPr>
          <w:rFonts w:ascii="仿宋" w:hAnsi="仿宋" w:eastAsia="仿宋"/>
          <w:bCs/>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bCs/>
          <w:color w:val="000000"/>
          <w:sz w:val="32"/>
          <w:szCs w:val="32"/>
        </w:rPr>
        <w:t>复发性或难治性系统性间变性大细胞淋巴瘤患者。复发性或难治性经典型霍奇金淋巴瘤患者。</w:t>
      </w:r>
      <w:r w:rsidRPr="003C684F" w:rsidR="004C7A87">
        <w:rPr>
          <w:rFonts w:hint="eastAsia" w:ascii="仿宋" w:hAnsi="仿宋" w:eastAsia="仿宋"/>
          <w:bCs/>
          <w:color w:val="000000"/>
          <w:sz w:val="32"/>
          <w:szCs w:val="32"/>
        </w:rPr>
        <w:t>既往接受过系统性治疗的原发性皮肤间变性大细胞淋巴瘤或蕈样真菌病。</w:t>
      </w:r>
    </w:p>
    <w:p w:rsidRPr="003C684F" w:rsidR="009730C1" w:rsidRDefault="00A315B9" w14:paraId="3B75BB98"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EAA789B"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1.周围神经病变：维</w:t>
      </w:r>
      <w:r w:rsidRPr="003C684F">
        <w:rPr>
          <w:rFonts w:hint="eastAsia" w:ascii="仿宋" w:hAnsi="仿宋" w:eastAsia="仿宋"/>
          <w:bCs/>
          <w:color w:val="000000"/>
          <w:sz w:val="32"/>
          <w:szCs w:val="32"/>
        </w:rPr>
        <w:t>布妥昔单抗治疗可引起感觉和运动性周围神经病变且具有累积效应，可能需要推迟给药或终止治疗。</w:t>
      </w:r>
    </w:p>
    <w:p w:rsidRPr="003C684F" w:rsidR="009730C1" w:rsidRDefault="00A315B9" w14:paraId="5CE1A999"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2.输</w:t>
      </w:r>
      <w:r w:rsidRPr="003C684F">
        <w:rPr>
          <w:rFonts w:hint="eastAsia" w:ascii="仿宋" w:hAnsi="仿宋" w:eastAsia="仿宋"/>
          <w:bCs/>
          <w:color w:val="000000"/>
          <w:sz w:val="32"/>
          <w:szCs w:val="32"/>
        </w:rPr>
        <w:t>注相关反应：单药治疗输液反应发生率为</w:t>
      </w:r>
      <w:r w:rsidRPr="003C684F">
        <w:rPr>
          <w:rFonts w:ascii="仿宋" w:hAnsi="仿宋" w:eastAsia="仿宋"/>
          <w:bCs/>
          <w:color w:val="000000"/>
          <w:sz w:val="32"/>
          <w:szCs w:val="32"/>
        </w:rPr>
        <w:t>13%，3级事件发生率9.8%。超敏反应发生少见，如发生应立即终止</w:t>
      </w:r>
      <w:r w:rsidRPr="003C684F">
        <w:rPr>
          <w:rFonts w:ascii="仿宋" w:hAnsi="仿宋" w:eastAsia="仿宋"/>
          <w:bCs/>
          <w:color w:val="000000"/>
          <w:sz w:val="32"/>
          <w:szCs w:val="32"/>
        </w:rPr>
        <w:lastRenderedPageBreak/>
        <w:t>输注并给予相应处理。</w:t>
      </w:r>
    </w:p>
    <w:p w:rsidRPr="003C684F" w:rsidR="009730C1" w:rsidRDefault="00A315B9" w14:paraId="583443DF"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3.血液毒性：每次给药前，应</w:t>
      </w:r>
      <w:r w:rsidRPr="003C684F">
        <w:rPr>
          <w:rFonts w:hint="eastAsia" w:ascii="仿宋" w:hAnsi="仿宋" w:eastAsia="仿宋"/>
          <w:bCs/>
          <w:color w:val="000000"/>
          <w:sz w:val="32"/>
          <w:szCs w:val="32"/>
        </w:rPr>
        <w:t>监测全血细胞计数。</w:t>
      </w:r>
    </w:p>
    <w:p w:rsidRPr="003C684F" w:rsidR="009730C1" w:rsidRDefault="00A315B9" w14:paraId="681CB46D"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4.肿瘤溶解综合征：肿瘤增殖迅速和高肿瘤负荷的患者发生肿瘤溶解综合征的风险较高，应密切监测并采取适当的措施。</w:t>
      </w:r>
    </w:p>
    <w:p w:rsidRPr="003C684F" w:rsidR="009730C1" w:rsidRDefault="00A315B9" w14:paraId="3042A173" w14:textId="77777777">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5.严重皮肤反应：包括Stevens-Johnson综合征和中毒性表皮坏死松解症。若发生应</w:t>
      </w:r>
      <w:r w:rsidRPr="003C684F">
        <w:rPr>
          <w:rFonts w:hint="eastAsia" w:ascii="仿宋" w:hAnsi="仿宋" w:eastAsia="仿宋"/>
          <w:bCs/>
          <w:color w:val="000000"/>
          <w:sz w:val="32"/>
          <w:szCs w:val="32"/>
        </w:rPr>
        <w:t>终止维布妥昔单抗给药，并应提供适当治疗。</w:t>
      </w:r>
    </w:p>
    <w:p w:rsidRPr="003C684F" w:rsidR="009730C1" w:rsidRDefault="00A315B9" w14:paraId="0738892E" w14:textId="268B460F">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6.肺毒性：包括肺炎、间质性肺炎和急性呼吸窘迫综合征，应监测并避免与博来霉素</w:t>
      </w:r>
      <w:r w:rsidRPr="003C684F" w:rsidR="00C3674D">
        <w:rPr>
          <w:rFonts w:hint="eastAsia" w:ascii="仿宋" w:hAnsi="仿宋" w:eastAsia="仿宋"/>
          <w:bCs/>
          <w:color w:val="000000"/>
          <w:sz w:val="32"/>
          <w:szCs w:val="32"/>
        </w:rPr>
        <w:t>联合</w:t>
      </w:r>
      <w:r w:rsidRPr="003C684F">
        <w:rPr>
          <w:rFonts w:ascii="仿宋" w:hAnsi="仿宋" w:eastAsia="仿宋"/>
          <w:bCs/>
          <w:color w:val="000000"/>
          <w:sz w:val="32"/>
          <w:szCs w:val="32"/>
        </w:rPr>
        <w:t>使用。</w:t>
      </w:r>
    </w:p>
    <w:p w:rsidRPr="003C684F" w:rsidR="009730C1" w:rsidRDefault="00A315B9" w14:paraId="1EF3595E" w14:textId="480B7515">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7.维</w:t>
      </w:r>
      <w:r w:rsidRPr="003C684F">
        <w:rPr>
          <w:rFonts w:hint="eastAsia" w:ascii="仿宋" w:hAnsi="仿宋" w:eastAsia="仿宋"/>
          <w:bCs/>
          <w:color w:val="000000"/>
          <w:sz w:val="32"/>
          <w:szCs w:val="32"/>
        </w:rPr>
        <w:t>布妥昔单抗与</w:t>
      </w:r>
      <w:r w:rsidRPr="003C684F">
        <w:rPr>
          <w:rFonts w:ascii="仿宋" w:hAnsi="仿宋" w:eastAsia="仿宋"/>
          <w:bCs/>
          <w:color w:val="000000"/>
          <w:sz w:val="32"/>
          <w:szCs w:val="32"/>
        </w:rPr>
        <w:t>CYP3A4途径代谢的药物存在相互作用（CYP3A4抑制剂/诱导剂）：如与酮康</w:t>
      </w:r>
      <w:r w:rsidRPr="003C684F">
        <w:rPr>
          <w:rFonts w:hint="eastAsia" w:ascii="仿宋" w:hAnsi="仿宋" w:eastAsia="仿宋"/>
          <w:bCs/>
          <w:color w:val="000000"/>
          <w:sz w:val="32"/>
          <w:szCs w:val="32"/>
        </w:rPr>
        <w:t>唑</w:t>
      </w:r>
      <w:r w:rsidRPr="003C684F" w:rsidR="00DE313C">
        <w:rPr>
          <w:rFonts w:hint="eastAsia" w:ascii="仿宋" w:hAnsi="仿宋" w:eastAsia="仿宋"/>
          <w:bCs/>
          <w:color w:val="000000"/>
          <w:sz w:val="32"/>
          <w:szCs w:val="32"/>
        </w:rPr>
        <w:t>联合使用</w:t>
      </w:r>
      <w:r w:rsidRPr="003C684F">
        <w:rPr>
          <w:rFonts w:hint="eastAsia" w:ascii="仿宋" w:hAnsi="仿宋" w:eastAsia="仿宋"/>
          <w:bCs/>
          <w:color w:val="000000"/>
          <w:sz w:val="32"/>
          <w:szCs w:val="32"/>
        </w:rPr>
        <w:t>可能会提高中性粒细胞减少症的发生率；利福平对维布妥昔单抗的血浆暴露量没有影响。</w:t>
      </w:r>
    </w:p>
    <w:p w:rsidRPr="003C684F" w:rsidR="009730C1" w:rsidRDefault="00A315B9" w14:paraId="78B832B4" w14:textId="3A62B766">
      <w:pPr>
        <w:spacing w:line="360" w:lineRule="auto"/>
        <w:ind w:firstLine="640" w:firstLineChars="200"/>
        <w:rPr>
          <w:rFonts w:ascii="仿宋" w:hAnsi="仿宋" w:eastAsia="仿宋"/>
          <w:bCs/>
          <w:color w:val="000000"/>
          <w:sz w:val="32"/>
          <w:szCs w:val="32"/>
        </w:rPr>
      </w:pPr>
      <w:r w:rsidRPr="003C684F">
        <w:rPr>
          <w:rFonts w:ascii="仿宋" w:hAnsi="仿宋" w:eastAsia="仿宋"/>
          <w:bCs/>
          <w:color w:val="000000"/>
          <w:sz w:val="32"/>
          <w:szCs w:val="32"/>
        </w:rPr>
        <w:t>8.重度肾功能损伤患者的毒性增加：主要是其共价</w:t>
      </w:r>
      <w:r w:rsidRPr="003C684F">
        <w:rPr>
          <w:rFonts w:hint="eastAsia" w:ascii="仿宋" w:hAnsi="仿宋" w:eastAsia="仿宋"/>
          <w:bCs/>
          <w:color w:val="000000"/>
          <w:sz w:val="32"/>
          <w:szCs w:val="32"/>
        </w:rPr>
        <w:t>耦</w:t>
      </w:r>
      <w:r w:rsidR="00FD4739">
        <w:rPr>
          <w:rFonts w:hint="eastAsia" w:ascii="仿宋" w:hAnsi="仿宋" w:eastAsia="仿宋"/>
          <w:bCs/>
          <w:color w:val="000000"/>
          <w:sz w:val="32"/>
          <w:szCs w:val="32"/>
        </w:rPr>
        <w:t>联</w:t>
      </w:r>
      <w:r w:rsidRPr="003C684F">
        <w:rPr>
          <w:rFonts w:hint="eastAsia" w:ascii="仿宋" w:hAnsi="仿宋" w:eastAsia="仿宋"/>
          <w:bCs/>
          <w:color w:val="000000"/>
          <w:sz w:val="32"/>
          <w:szCs w:val="32"/>
        </w:rPr>
        <w:t>的微管抑制剂单甲基澳瑞他汀</w:t>
      </w:r>
      <w:r w:rsidRPr="003C684F">
        <w:rPr>
          <w:rFonts w:ascii="仿宋" w:hAnsi="仿宋" w:eastAsia="仿宋"/>
          <w:bCs/>
          <w:color w:val="000000"/>
          <w:sz w:val="32"/>
          <w:szCs w:val="32"/>
        </w:rPr>
        <w:t>E</w:t>
      </w:r>
      <w:r w:rsidRPr="003C684F">
        <w:rPr>
          <w:rFonts w:hint="eastAsia" w:ascii="仿宋" w:hAnsi="仿宋" w:eastAsia="仿宋"/>
          <w:bCs/>
          <w:color w:val="000000"/>
          <w:sz w:val="32"/>
          <w:szCs w:val="32"/>
        </w:rPr>
        <w:t>集聚引起，重度肾功能损伤（</w:t>
      </w:r>
      <w:r w:rsidRPr="003C684F">
        <w:rPr>
          <w:rFonts w:ascii="仿宋" w:hAnsi="仿宋" w:eastAsia="仿宋"/>
          <w:bCs/>
          <w:color w:val="000000"/>
          <w:sz w:val="32"/>
          <w:szCs w:val="32"/>
        </w:rPr>
        <w:t>肌酐清除率</w:t>
      </w:r>
      <w:r w:rsidRPr="003C684F">
        <w:rPr>
          <w:rFonts w:hint="eastAsia" w:ascii="仿宋" w:hAnsi="仿宋" w:eastAsia="仿宋" w:cs="仿宋"/>
          <w:color w:val="000000"/>
          <w:sz w:val="32"/>
          <w:szCs w:val="32"/>
        </w:rPr>
        <w:t>＜</w:t>
      </w:r>
      <w:r w:rsidRPr="003C684F">
        <w:rPr>
          <w:rFonts w:ascii="仿宋" w:hAnsi="仿宋" w:eastAsia="仿宋"/>
          <w:bCs/>
          <w:color w:val="000000"/>
          <w:sz w:val="32"/>
          <w:szCs w:val="32"/>
        </w:rPr>
        <w:t>30ml</w:t>
      </w:r>
      <w:r w:rsidRPr="003C684F">
        <w:rPr>
          <w:rFonts w:hint="eastAsia" w:ascii="仿宋" w:hAnsi="仿宋" w:eastAsia="仿宋"/>
          <w:bCs/>
          <w:color w:val="000000"/>
          <w:sz w:val="32"/>
          <w:szCs w:val="32"/>
        </w:rPr>
        <w:t>/min）</w:t>
      </w:r>
      <w:r w:rsidRPr="003C684F">
        <w:rPr>
          <w:rFonts w:ascii="仿宋" w:hAnsi="仿宋" w:eastAsia="仿宋"/>
          <w:bCs/>
          <w:color w:val="000000"/>
          <w:sz w:val="32"/>
          <w:szCs w:val="32"/>
        </w:rPr>
        <w:t>患者避免使用维</w:t>
      </w:r>
      <w:r w:rsidRPr="003C684F">
        <w:rPr>
          <w:rFonts w:hint="eastAsia" w:ascii="仿宋" w:hAnsi="仿宋" w:eastAsia="仿宋"/>
          <w:bCs/>
          <w:color w:val="000000"/>
          <w:sz w:val="32"/>
          <w:szCs w:val="32"/>
        </w:rPr>
        <w:t>布妥昔单抗。</w:t>
      </w:r>
    </w:p>
    <w:p w:rsidRPr="003C684F" w:rsidR="009730C1" w:rsidRDefault="00A315B9" w14:paraId="4D7E0F23" w14:textId="77777777">
      <w:pPr>
        <w:spacing w:line="360" w:lineRule="auto"/>
        <w:ind w:firstLine="643" w:firstLineChars="200"/>
        <w:rPr>
          <w:rFonts w:ascii="仿宋" w:hAnsi="仿宋" w:eastAsia="仿宋"/>
          <w:bCs/>
          <w:color w:val="000000"/>
          <w:sz w:val="32"/>
          <w:szCs w:val="32"/>
        </w:rPr>
      </w:pPr>
      <w:r w:rsidRPr="003C684F">
        <w:rPr>
          <w:rFonts w:hint="eastAsia" w:ascii="仿宋" w:hAnsi="仿宋" w:eastAsia="仿宋" w:cs="仿宋"/>
          <w:b/>
          <w:bCs/>
          <w:sz w:val="32"/>
          <w:szCs w:val="32"/>
          <w:vertAlign w:val="superscript"/>
        </w:rPr>
        <w:t>※</w:t>
      </w:r>
      <w:r w:rsidRPr="003C684F">
        <w:rPr>
          <w:rFonts w:hint="eastAsia" w:ascii="仿宋" w:hAnsi="仿宋" w:eastAsia="仿宋"/>
          <w:bCs/>
          <w:color w:val="000000"/>
          <w:sz w:val="32"/>
          <w:szCs w:val="32"/>
        </w:rPr>
        <w:t>9.美国FDA获批的其他适应证：先前接受过系统治疗的原发性皮肤间变性大细胞淋巴瘤或CD30阳性蕈样真菌病成人患者；联合化疗治疗初治</w:t>
      </w:r>
      <w:r w:rsidRPr="003C684F">
        <w:rPr>
          <w:rFonts w:hint="eastAsia" w:ascii="仿宋" w:hAnsi="仿宋" w:eastAsia="仿宋"/>
          <w:color w:val="000000"/>
          <w:sz w:val="32"/>
          <w:szCs w:val="32"/>
        </w:rPr>
        <w:t>Ⅲ</w:t>
      </w:r>
      <w:r w:rsidRPr="003C684F">
        <w:rPr>
          <w:rFonts w:hint="eastAsia" w:ascii="仿宋" w:hAnsi="仿宋" w:eastAsia="仿宋"/>
          <w:bCs/>
          <w:color w:val="000000"/>
          <w:sz w:val="32"/>
          <w:szCs w:val="32"/>
        </w:rPr>
        <w:t>或</w:t>
      </w:r>
      <w:r w:rsidRPr="003C684F">
        <w:rPr>
          <w:rFonts w:hint="eastAsia" w:ascii="仿宋" w:hAnsi="仿宋" w:eastAsia="仿宋" w:cs="仿宋"/>
          <w:sz w:val="32"/>
          <w:szCs w:val="32"/>
        </w:rPr>
        <w:t>Ⅳ</w:t>
      </w:r>
      <w:r w:rsidRPr="003C684F">
        <w:rPr>
          <w:rFonts w:hint="eastAsia" w:ascii="仿宋" w:hAnsi="仿宋" w:eastAsia="仿宋"/>
          <w:bCs/>
          <w:color w:val="000000"/>
          <w:sz w:val="32"/>
          <w:szCs w:val="32"/>
        </w:rPr>
        <w:t>期经典型霍奇金淋巴瘤、初治系统性间变性大细胞淋巴瘤或其他表达CD30的外周T细胞淋巴瘤患者。</w:t>
      </w:r>
    </w:p>
    <w:p w:rsidRPr="003C684F" w:rsidR="009730C1" w:rsidP="0037660B" w:rsidRDefault="00A315B9" w14:paraId="78179358" w14:textId="6536DAD6">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lastRenderedPageBreak/>
        <w:t>二十</w:t>
      </w:r>
      <w:r w:rsidRPr="003C684F" w:rsidR="0014630B">
        <w:rPr>
          <w:rFonts w:hint="eastAsia" w:ascii="黑体" w:hAnsi="黑体" w:eastAsia="黑体" w:cs="黑体"/>
          <w:sz w:val="32"/>
          <w:szCs w:val="32"/>
        </w:rPr>
        <w:t>八</w:t>
      </w:r>
      <w:r w:rsidRPr="003C684F">
        <w:rPr>
          <w:rFonts w:hint="eastAsia" w:ascii="黑体" w:hAnsi="黑体" w:eastAsia="黑体" w:cs="黑体"/>
          <w:sz w:val="32"/>
          <w:szCs w:val="32"/>
        </w:rPr>
        <w:t>、西达本胺 C</w:t>
      </w:r>
      <w:r w:rsidRPr="003C684F">
        <w:rPr>
          <w:rFonts w:ascii="黑体" w:hAnsi="黑体" w:eastAsia="黑体" w:cs="黑体"/>
          <w:sz w:val="32"/>
          <w:szCs w:val="32"/>
        </w:rPr>
        <w:t>hidamide</w:t>
      </w:r>
    </w:p>
    <w:p w:rsidRPr="003C684F" w:rsidR="009730C1" w:rsidRDefault="00A315B9" w14:paraId="3B7C8ACF"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5mg</w:t>
      </w:r>
    </w:p>
    <w:p w:rsidRPr="003C684F" w:rsidR="009730C1" w:rsidRDefault="00A315B9" w14:paraId="33E5FA25"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color w:val="000000"/>
          <w:sz w:val="32"/>
          <w:szCs w:val="32"/>
        </w:rPr>
        <w:t>适用于既往至少接受过一次全身化疗的复发或难治的外周</w:t>
      </w:r>
      <w:r w:rsidRPr="003C684F">
        <w:rPr>
          <w:rFonts w:ascii="仿宋" w:hAnsi="仿宋" w:eastAsia="仿宋" w:cs="仿宋"/>
          <w:color w:val="000000"/>
          <w:sz w:val="32"/>
          <w:szCs w:val="32"/>
        </w:rPr>
        <w:t>T</w:t>
      </w:r>
      <w:r w:rsidRPr="003C684F">
        <w:rPr>
          <w:rFonts w:hint="eastAsia" w:ascii="仿宋" w:hAnsi="仿宋" w:eastAsia="仿宋" w:cs="仿宋"/>
          <w:color w:val="000000"/>
          <w:sz w:val="32"/>
          <w:szCs w:val="32"/>
        </w:rPr>
        <w:t>细胞淋巴瘤患者。</w:t>
      </w:r>
    </w:p>
    <w:p w:rsidRPr="003C684F" w:rsidR="009730C1" w:rsidRDefault="00A315B9" w14:paraId="18BA3A35"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3B57B1C9" w14:textId="4776EC3E">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仿宋"/>
          <w:sz w:val="32"/>
          <w:szCs w:val="32"/>
        </w:rPr>
        <w:t>1.</w:t>
      </w:r>
      <w:r w:rsidRPr="003C684F">
        <w:rPr>
          <w:rFonts w:hint="eastAsia" w:ascii="仿宋" w:hAnsi="仿宋" w:eastAsia="仿宋" w:cs="仿宋"/>
          <w:color w:val="000000"/>
          <w:sz w:val="32"/>
          <w:szCs w:val="32"/>
        </w:rPr>
        <w:t>成人推荐</w:t>
      </w:r>
      <w:r w:rsidRPr="003C684F" w:rsidR="00EE6160">
        <w:rPr>
          <w:rFonts w:hint="eastAsia" w:ascii="仿宋" w:hAnsi="仿宋" w:eastAsia="仿宋" w:cs="仿宋"/>
          <w:color w:val="000000"/>
          <w:sz w:val="32"/>
          <w:szCs w:val="32"/>
        </w:rPr>
        <w:t>剂量</w:t>
      </w:r>
      <w:r w:rsidRPr="003C684F">
        <w:rPr>
          <w:rFonts w:ascii="仿宋" w:hAnsi="仿宋" w:eastAsia="仿宋" w:cs="仿宋"/>
          <w:color w:val="000000"/>
          <w:sz w:val="32"/>
          <w:szCs w:val="32"/>
        </w:rPr>
        <w:t>30mg</w:t>
      </w:r>
      <w:r w:rsidRPr="003C684F" w:rsidR="00EE6160">
        <w:rPr>
          <w:rFonts w:hint="eastAsia" w:ascii="仿宋" w:hAnsi="仿宋" w:eastAsia="仿宋" w:cs="仿宋"/>
          <w:color w:val="000000"/>
          <w:sz w:val="32"/>
          <w:szCs w:val="32"/>
        </w:rPr>
        <w:t>/次</w:t>
      </w:r>
      <w:r w:rsidRPr="003C684F">
        <w:rPr>
          <w:rFonts w:hint="eastAsia" w:ascii="仿宋" w:hAnsi="仿宋" w:eastAsia="仿宋" w:cs="仿宋"/>
          <w:color w:val="000000"/>
          <w:sz w:val="32"/>
          <w:szCs w:val="32"/>
        </w:rPr>
        <w:t>，每周两次，</w:t>
      </w:r>
      <w:r w:rsidRPr="003C684F" w:rsidR="00EE6160">
        <w:rPr>
          <w:rFonts w:hint="eastAsia" w:ascii="仿宋" w:hAnsi="仿宋" w:eastAsia="仿宋" w:cs="仿宋"/>
          <w:color w:val="000000"/>
          <w:sz w:val="32"/>
          <w:szCs w:val="32"/>
        </w:rPr>
        <w:t>口服，</w:t>
      </w:r>
      <w:r w:rsidRPr="003C684F">
        <w:rPr>
          <w:rFonts w:hint="eastAsia" w:ascii="仿宋" w:hAnsi="仿宋" w:eastAsia="仿宋" w:cs="仿宋"/>
          <w:color w:val="000000"/>
          <w:sz w:val="32"/>
          <w:szCs w:val="32"/>
        </w:rPr>
        <w:t>两次服药间隔不应少于</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天（如周一和周四、周二和周五、周三和周六等），早餐后</w:t>
      </w:r>
      <w:r w:rsidRPr="003C684F">
        <w:rPr>
          <w:rFonts w:ascii="仿宋" w:hAnsi="仿宋" w:eastAsia="仿宋" w:cs="仿宋"/>
          <w:color w:val="000000"/>
          <w:sz w:val="32"/>
          <w:szCs w:val="32"/>
        </w:rPr>
        <w:t>30</w:t>
      </w:r>
      <w:r w:rsidRPr="003C684F">
        <w:rPr>
          <w:rFonts w:hint="eastAsia" w:ascii="仿宋" w:hAnsi="仿宋" w:eastAsia="仿宋" w:cs="仿宋"/>
          <w:color w:val="000000"/>
          <w:sz w:val="32"/>
          <w:szCs w:val="32"/>
        </w:rPr>
        <w:t>分钟服用。若病情未进展或未出现不能耐受的不良反应，建议持续服药。</w:t>
      </w:r>
    </w:p>
    <w:p w:rsidRPr="003C684F" w:rsidR="009730C1" w:rsidRDefault="00A315B9" w14:paraId="2E4C3E24" w14:textId="77777777">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仿宋"/>
          <w:color w:val="000000"/>
          <w:sz w:val="32"/>
          <w:szCs w:val="32"/>
        </w:rPr>
        <w:t>2.</w:t>
      </w:r>
      <w:r w:rsidRPr="003C684F">
        <w:rPr>
          <w:rFonts w:hint="eastAsia" w:ascii="仿宋" w:hAnsi="仿宋" w:eastAsia="仿宋" w:cs="仿宋"/>
          <w:color w:val="000000"/>
          <w:sz w:val="32"/>
          <w:szCs w:val="32"/>
        </w:rPr>
        <w:t>剂量调整：</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级或</w:t>
      </w:r>
      <w:r w:rsidRPr="003C684F">
        <w:rPr>
          <w:rFonts w:ascii="仿宋" w:hAnsi="仿宋" w:eastAsia="仿宋" w:cs="仿宋"/>
          <w:color w:val="000000"/>
          <w:sz w:val="32"/>
          <w:szCs w:val="32"/>
        </w:rPr>
        <w:t>4</w:t>
      </w:r>
      <w:r w:rsidRPr="003C684F">
        <w:rPr>
          <w:rFonts w:hint="eastAsia" w:ascii="仿宋" w:hAnsi="仿宋" w:eastAsia="仿宋" w:cs="仿宋"/>
          <w:color w:val="000000"/>
          <w:sz w:val="32"/>
          <w:szCs w:val="32"/>
        </w:rPr>
        <w:t>级</w:t>
      </w:r>
      <w:r w:rsidRPr="003C684F" w:rsidR="00691EDE">
        <w:rPr>
          <w:rFonts w:hint="eastAsia" w:ascii="仿宋" w:hAnsi="仿宋" w:eastAsia="仿宋" w:cs="仿宋"/>
          <w:color w:val="000000"/>
          <w:sz w:val="32"/>
          <w:szCs w:val="32"/>
        </w:rPr>
        <w:t>中性粒细胞减少症</w:t>
      </w:r>
      <w:r w:rsidRPr="003C684F">
        <w:rPr>
          <w:rFonts w:hint="eastAsia" w:ascii="仿宋" w:hAnsi="仿宋" w:eastAsia="仿宋" w:cs="仿宋"/>
          <w:color w:val="000000"/>
          <w:sz w:val="32"/>
          <w:szCs w:val="32"/>
        </w:rPr>
        <w:t>（中性粒细胞计数＜</w:t>
      </w:r>
      <w:r w:rsidRPr="003C684F">
        <w:rPr>
          <w:rFonts w:ascii="仿宋" w:hAnsi="仿宋" w:eastAsia="仿宋" w:cs="仿宋"/>
          <w:color w:val="000000"/>
          <w:sz w:val="32"/>
          <w:szCs w:val="32"/>
        </w:rPr>
        <w:t>1</w:t>
      </w:r>
      <w:r w:rsidRPr="003C684F">
        <w:rPr>
          <w:rFonts w:hint="eastAsia" w:ascii="仿宋" w:hAnsi="仿宋" w:eastAsia="仿宋" w:cs="仿宋"/>
          <w:color w:val="000000"/>
          <w:sz w:val="32"/>
          <w:szCs w:val="32"/>
        </w:rPr>
        <w:t>×</w:t>
      </w:r>
      <w:r w:rsidRPr="003C684F">
        <w:rPr>
          <w:rFonts w:ascii="仿宋" w:hAnsi="仿宋" w:eastAsia="仿宋" w:cs="仿宋"/>
          <w:color w:val="000000"/>
          <w:sz w:val="32"/>
          <w:szCs w:val="32"/>
        </w:rPr>
        <w:t>10</w:t>
      </w:r>
      <w:r w:rsidRPr="003C684F">
        <w:rPr>
          <w:rFonts w:ascii="仿宋" w:hAnsi="仿宋" w:eastAsia="仿宋" w:cs="仿宋"/>
          <w:color w:val="000000"/>
          <w:sz w:val="32"/>
          <w:szCs w:val="32"/>
          <w:vertAlign w:val="superscript"/>
        </w:rPr>
        <w:t>9</w:t>
      </w:r>
      <w:r w:rsidRPr="003C684F">
        <w:rPr>
          <w:rFonts w:ascii="仿宋" w:hAnsi="仿宋" w:eastAsia="仿宋" w:cs="仿宋"/>
          <w:color w:val="000000"/>
          <w:sz w:val="32"/>
          <w:szCs w:val="32"/>
        </w:rPr>
        <w:t>/L</w:t>
      </w:r>
      <w:r w:rsidRPr="003C684F">
        <w:rPr>
          <w:rFonts w:hint="eastAsia" w:ascii="仿宋" w:hAnsi="仿宋" w:eastAsia="仿宋" w:cs="仿宋"/>
          <w:color w:val="000000"/>
          <w:sz w:val="32"/>
          <w:szCs w:val="32"/>
        </w:rPr>
        <w:t>）、</w:t>
      </w:r>
      <w:r w:rsidRPr="003C684F" w:rsidR="00701C08">
        <w:rPr>
          <w:rFonts w:hint="eastAsia" w:ascii="仿宋" w:hAnsi="仿宋" w:eastAsia="仿宋" w:cs="仿宋"/>
          <w:color w:val="000000"/>
          <w:sz w:val="32"/>
          <w:szCs w:val="32"/>
        </w:rPr>
        <w:t>血小板减少症</w:t>
      </w:r>
      <w:r w:rsidRPr="003C684F">
        <w:rPr>
          <w:rFonts w:hint="eastAsia" w:ascii="仿宋" w:hAnsi="仿宋" w:eastAsia="仿宋" w:cs="仿宋"/>
          <w:color w:val="000000"/>
          <w:sz w:val="32"/>
          <w:szCs w:val="32"/>
        </w:rPr>
        <w:t>（血小板计数＜</w:t>
      </w:r>
      <w:r w:rsidRPr="003C684F">
        <w:rPr>
          <w:rFonts w:ascii="仿宋" w:hAnsi="仿宋" w:eastAsia="仿宋" w:cs="仿宋"/>
          <w:color w:val="000000"/>
          <w:sz w:val="32"/>
          <w:szCs w:val="32"/>
        </w:rPr>
        <w:t>50</w:t>
      </w:r>
      <w:r w:rsidRPr="003C684F">
        <w:rPr>
          <w:rFonts w:hint="eastAsia" w:ascii="仿宋" w:hAnsi="仿宋" w:eastAsia="仿宋" w:cs="仿宋"/>
          <w:color w:val="000000"/>
          <w:sz w:val="32"/>
          <w:szCs w:val="32"/>
        </w:rPr>
        <w:t>×</w:t>
      </w:r>
      <w:r w:rsidRPr="003C684F">
        <w:rPr>
          <w:rFonts w:ascii="仿宋" w:hAnsi="仿宋" w:eastAsia="仿宋" w:cs="仿宋"/>
          <w:color w:val="000000"/>
          <w:sz w:val="32"/>
          <w:szCs w:val="32"/>
        </w:rPr>
        <w:t>10</w:t>
      </w:r>
      <w:r w:rsidRPr="003C684F">
        <w:rPr>
          <w:rFonts w:ascii="仿宋" w:hAnsi="仿宋" w:eastAsia="仿宋" w:cs="仿宋"/>
          <w:color w:val="000000"/>
          <w:sz w:val="32"/>
          <w:szCs w:val="32"/>
          <w:vertAlign w:val="superscript"/>
        </w:rPr>
        <w:t>9</w:t>
      </w:r>
      <w:r w:rsidRPr="003C684F">
        <w:rPr>
          <w:rFonts w:ascii="仿宋" w:hAnsi="仿宋" w:eastAsia="仿宋" w:cs="仿宋"/>
          <w:color w:val="000000"/>
          <w:sz w:val="32"/>
          <w:szCs w:val="32"/>
        </w:rPr>
        <w:t>/L</w:t>
      </w:r>
      <w:r w:rsidRPr="003C684F">
        <w:rPr>
          <w:rFonts w:hint="eastAsia" w:ascii="仿宋" w:hAnsi="仿宋" w:eastAsia="仿宋" w:cs="仿宋"/>
          <w:color w:val="000000"/>
          <w:sz w:val="32"/>
          <w:szCs w:val="32"/>
        </w:rPr>
        <w:t>）、贫血（血红蛋白降低至＜</w:t>
      </w:r>
      <w:r w:rsidRPr="003C684F">
        <w:rPr>
          <w:rFonts w:ascii="仿宋" w:hAnsi="仿宋" w:eastAsia="仿宋" w:cs="仿宋"/>
          <w:color w:val="000000"/>
          <w:sz w:val="32"/>
          <w:szCs w:val="32"/>
        </w:rPr>
        <w:t>80g/</w:t>
      </w:r>
      <w:r w:rsidRPr="003C684F">
        <w:rPr>
          <w:rFonts w:hint="eastAsia" w:ascii="仿宋" w:hAnsi="仿宋" w:eastAsia="仿宋" w:cs="仿宋"/>
          <w:color w:val="000000"/>
          <w:sz w:val="32"/>
          <w:szCs w:val="32"/>
        </w:rPr>
        <w:t>L）时，暂停用药。待中性粒细胞绝对值恢复至≥</w:t>
      </w:r>
      <w:r w:rsidRPr="003C684F">
        <w:rPr>
          <w:rFonts w:ascii="仿宋" w:hAnsi="仿宋" w:eastAsia="仿宋" w:cs="仿宋"/>
          <w:color w:val="000000"/>
          <w:sz w:val="32"/>
          <w:szCs w:val="32"/>
        </w:rPr>
        <w:t>1.5</w:t>
      </w:r>
      <w:r w:rsidRPr="003C684F">
        <w:rPr>
          <w:rFonts w:hint="eastAsia" w:ascii="仿宋" w:hAnsi="仿宋" w:eastAsia="仿宋" w:cs="仿宋"/>
          <w:color w:val="000000"/>
          <w:sz w:val="32"/>
          <w:szCs w:val="32"/>
        </w:rPr>
        <w:t>×</w:t>
      </w:r>
      <w:r w:rsidRPr="003C684F">
        <w:rPr>
          <w:rFonts w:ascii="仿宋" w:hAnsi="仿宋" w:eastAsia="仿宋" w:cs="仿宋"/>
          <w:color w:val="000000"/>
          <w:sz w:val="32"/>
          <w:szCs w:val="32"/>
        </w:rPr>
        <w:t>10</w:t>
      </w:r>
      <w:r w:rsidRPr="003C684F">
        <w:rPr>
          <w:rFonts w:ascii="仿宋" w:hAnsi="仿宋" w:eastAsia="仿宋" w:cs="仿宋"/>
          <w:color w:val="000000"/>
          <w:sz w:val="32"/>
          <w:szCs w:val="32"/>
          <w:vertAlign w:val="superscript"/>
        </w:rPr>
        <w:t>9</w:t>
      </w:r>
      <w:r w:rsidRPr="003C684F">
        <w:rPr>
          <w:rFonts w:ascii="仿宋" w:hAnsi="仿宋" w:eastAsia="仿宋" w:cs="仿宋"/>
          <w:color w:val="000000"/>
          <w:sz w:val="32"/>
          <w:szCs w:val="32"/>
        </w:rPr>
        <w:t>/L</w:t>
      </w:r>
      <w:r w:rsidRPr="003C684F">
        <w:rPr>
          <w:rFonts w:hint="eastAsia" w:ascii="仿宋" w:hAnsi="仿宋" w:eastAsia="仿宋" w:cs="仿宋"/>
          <w:color w:val="000000"/>
          <w:sz w:val="32"/>
          <w:szCs w:val="32"/>
        </w:rPr>
        <w:t>、血小板恢复至≥</w:t>
      </w:r>
      <w:r w:rsidRPr="003C684F">
        <w:rPr>
          <w:rFonts w:ascii="仿宋" w:hAnsi="仿宋" w:eastAsia="仿宋" w:cs="仿宋"/>
          <w:color w:val="000000"/>
          <w:sz w:val="32"/>
          <w:szCs w:val="32"/>
        </w:rPr>
        <w:t>75</w:t>
      </w:r>
      <w:r w:rsidRPr="003C684F">
        <w:rPr>
          <w:rFonts w:hint="eastAsia" w:ascii="仿宋" w:hAnsi="仿宋" w:eastAsia="仿宋" w:cs="仿宋"/>
          <w:color w:val="000000"/>
          <w:sz w:val="32"/>
          <w:szCs w:val="32"/>
        </w:rPr>
        <w:t>×</w:t>
      </w:r>
      <w:r w:rsidRPr="003C684F">
        <w:rPr>
          <w:rFonts w:ascii="仿宋" w:hAnsi="仿宋" w:eastAsia="仿宋" w:cs="仿宋"/>
          <w:color w:val="000000"/>
          <w:sz w:val="32"/>
          <w:szCs w:val="32"/>
        </w:rPr>
        <w:t>10</w:t>
      </w:r>
      <w:r w:rsidRPr="003C684F">
        <w:rPr>
          <w:rFonts w:ascii="仿宋" w:hAnsi="仿宋" w:eastAsia="仿宋" w:cs="仿宋"/>
          <w:color w:val="000000"/>
          <w:sz w:val="32"/>
          <w:szCs w:val="32"/>
          <w:vertAlign w:val="superscript"/>
        </w:rPr>
        <w:t>9</w:t>
      </w:r>
      <w:r w:rsidRPr="003C684F">
        <w:rPr>
          <w:rFonts w:ascii="仿宋" w:hAnsi="仿宋" w:eastAsia="仿宋" w:cs="仿宋"/>
          <w:color w:val="000000"/>
          <w:sz w:val="32"/>
          <w:szCs w:val="32"/>
        </w:rPr>
        <w:t>/L</w:t>
      </w:r>
      <w:r w:rsidRPr="003C684F">
        <w:rPr>
          <w:rFonts w:hint="eastAsia" w:ascii="仿宋" w:hAnsi="仿宋" w:eastAsia="仿宋" w:cs="仿宋"/>
          <w:color w:val="000000"/>
          <w:sz w:val="32"/>
          <w:szCs w:val="32"/>
        </w:rPr>
        <w:t>、血红蛋白恢复至≥</w:t>
      </w:r>
      <w:r w:rsidRPr="003C684F">
        <w:rPr>
          <w:rFonts w:ascii="仿宋" w:hAnsi="仿宋" w:eastAsia="仿宋" w:cs="仿宋"/>
          <w:color w:val="000000"/>
          <w:sz w:val="32"/>
          <w:szCs w:val="32"/>
        </w:rPr>
        <w:t>90g/</w:t>
      </w:r>
      <w:r w:rsidRPr="003C684F">
        <w:rPr>
          <w:rFonts w:hint="eastAsia" w:ascii="仿宋" w:hAnsi="仿宋" w:eastAsia="仿宋" w:cs="仿宋"/>
          <w:color w:val="000000"/>
          <w:sz w:val="32"/>
          <w:szCs w:val="32"/>
        </w:rPr>
        <w:t>L，并经连续两次检查确认，可继续治疗。如之前的不良反应为</w:t>
      </w: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级，恢复用药时可采用原剂量或剂量降低至</w:t>
      </w:r>
      <w:r w:rsidRPr="003C684F">
        <w:rPr>
          <w:rFonts w:ascii="仿宋" w:hAnsi="仿宋" w:eastAsia="仿宋" w:cs="仿宋"/>
          <w:color w:val="000000"/>
          <w:sz w:val="32"/>
          <w:szCs w:val="32"/>
        </w:rPr>
        <w:t>20mg/</w:t>
      </w:r>
      <w:r w:rsidRPr="003C684F">
        <w:rPr>
          <w:rFonts w:hint="eastAsia" w:ascii="仿宋" w:hAnsi="仿宋" w:eastAsia="仿宋" w:cs="仿宋"/>
          <w:color w:val="000000"/>
          <w:sz w:val="32"/>
          <w:szCs w:val="32"/>
        </w:rPr>
        <w:t>次；如之前的不良反应为</w:t>
      </w:r>
      <w:r w:rsidRPr="003C684F">
        <w:rPr>
          <w:rFonts w:ascii="仿宋" w:hAnsi="仿宋" w:eastAsia="仿宋" w:cs="仿宋"/>
          <w:color w:val="000000"/>
          <w:sz w:val="32"/>
          <w:szCs w:val="32"/>
        </w:rPr>
        <w:t>4</w:t>
      </w:r>
      <w:r w:rsidRPr="003C684F">
        <w:rPr>
          <w:rFonts w:hint="eastAsia" w:ascii="仿宋" w:hAnsi="仿宋" w:eastAsia="仿宋" w:cs="仿宋"/>
          <w:color w:val="000000"/>
          <w:sz w:val="32"/>
          <w:szCs w:val="32"/>
        </w:rPr>
        <w:t>级，恢复用药时剂量应降低至</w:t>
      </w:r>
      <w:r w:rsidRPr="003C684F">
        <w:rPr>
          <w:rFonts w:ascii="仿宋" w:hAnsi="仿宋" w:eastAsia="仿宋" w:cs="仿宋"/>
          <w:color w:val="000000"/>
          <w:sz w:val="32"/>
          <w:szCs w:val="32"/>
        </w:rPr>
        <w:t>20mg/</w:t>
      </w:r>
      <w:r w:rsidRPr="003C684F">
        <w:rPr>
          <w:rFonts w:hint="eastAsia" w:ascii="仿宋" w:hAnsi="仿宋" w:eastAsia="仿宋" w:cs="仿宋"/>
          <w:color w:val="000000"/>
          <w:sz w:val="32"/>
          <w:szCs w:val="32"/>
        </w:rPr>
        <w:t>次。</w:t>
      </w:r>
    </w:p>
    <w:p w:rsidRPr="003C684F" w:rsidR="009730C1" w:rsidRDefault="00A315B9" w14:paraId="3DF8C7EA" w14:textId="77777777">
      <w:pPr>
        <w:spacing w:line="360" w:lineRule="auto"/>
        <w:ind w:firstLine="640" w:firstLineChars="200"/>
        <w:rPr>
          <w:rFonts w:ascii="仿宋" w:hAnsi="仿宋" w:eastAsia="仿宋" w:cs="Times New Roman"/>
          <w:color w:val="000000"/>
          <w:sz w:val="32"/>
          <w:szCs w:val="32"/>
        </w:rPr>
      </w:pPr>
      <w:r w:rsidRPr="003C684F">
        <w:rPr>
          <w:rFonts w:ascii="仿宋" w:hAnsi="仿宋" w:eastAsia="仿宋" w:cs="仿宋"/>
          <w:color w:val="000000"/>
          <w:sz w:val="32"/>
          <w:szCs w:val="32"/>
        </w:rPr>
        <w:t>3.</w:t>
      </w:r>
      <w:r w:rsidRPr="003C684F">
        <w:rPr>
          <w:rFonts w:hint="eastAsia" w:ascii="仿宋" w:hAnsi="仿宋" w:eastAsia="仿宋" w:cs="仿宋"/>
          <w:color w:val="000000"/>
          <w:sz w:val="32"/>
          <w:szCs w:val="32"/>
        </w:rPr>
        <w:t>常见不良反应有：血液学不良反应，包括</w:t>
      </w:r>
      <w:r w:rsidRPr="003C684F" w:rsidR="00AA068D">
        <w:rPr>
          <w:rFonts w:hint="eastAsia" w:ascii="仿宋" w:hAnsi="仿宋" w:eastAsia="仿宋" w:cs="仿宋"/>
          <w:color w:val="000000"/>
          <w:sz w:val="32"/>
          <w:szCs w:val="32"/>
        </w:rPr>
        <w:t>血小板减少症</w:t>
      </w:r>
      <w:r w:rsidRPr="003C684F">
        <w:rPr>
          <w:rFonts w:hint="eastAsia" w:ascii="仿宋" w:hAnsi="仿宋" w:eastAsia="仿宋" w:cs="仿宋"/>
          <w:color w:val="000000"/>
          <w:sz w:val="32"/>
          <w:szCs w:val="32"/>
        </w:rPr>
        <w:t>、白细胞</w:t>
      </w:r>
      <w:r w:rsidRPr="003C684F" w:rsidR="00AA068D">
        <w:rPr>
          <w:rFonts w:hint="eastAsia" w:ascii="仿宋" w:hAnsi="仿宋" w:eastAsia="仿宋" w:cs="仿宋"/>
          <w:color w:val="000000"/>
          <w:sz w:val="32"/>
          <w:szCs w:val="32"/>
        </w:rPr>
        <w:t>/中性粒细胞减少症</w:t>
      </w:r>
      <w:r w:rsidRPr="003C684F">
        <w:rPr>
          <w:rFonts w:hint="eastAsia" w:ascii="仿宋" w:hAnsi="仿宋" w:eastAsia="仿宋" w:cs="仿宋"/>
          <w:color w:val="000000"/>
          <w:sz w:val="32"/>
          <w:szCs w:val="32"/>
        </w:rPr>
        <w:t>、血红蛋白降低；全身不良反应，包括乏力、发热；胃肠道不良反应，包括腹泻、恶心和呕吐；代谢及营养系统不良反应，包括食欲下降、低钾血症和低钙血症；以及头晕、皮疹等；极少数患者心电图会出</w:t>
      </w:r>
      <w:r w:rsidRPr="003C684F">
        <w:rPr>
          <w:rFonts w:hint="eastAsia" w:ascii="仿宋" w:hAnsi="仿宋" w:eastAsia="仿宋" w:cs="仿宋"/>
          <w:color w:val="000000"/>
          <w:sz w:val="32"/>
          <w:szCs w:val="32"/>
        </w:rPr>
        <w:lastRenderedPageBreak/>
        <w:t>现</w:t>
      </w:r>
      <w:r w:rsidRPr="003C684F">
        <w:rPr>
          <w:rFonts w:hint="eastAsia" w:ascii="仿宋" w:hAnsi="仿宋" w:eastAsia="仿宋" w:cs="仿宋"/>
          <w:sz w:val="32"/>
          <w:szCs w:val="32"/>
        </w:rPr>
        <w:t>QTc</w:t>
      </w:r>
      <w:r w:rsidRPr="003C684F">
        <w:rPr>
          <w:rFonts w:ascii="仿宋" w:hAnsi="仿宋" w:eastAsia="仿宋" w:cs="仿宋"/>
          <w:color w:val="000000"/>
          <w:sz w:val="32"/>
          <w:szCs w:val="32"/>
        </w:rPr>
        <w:t>间期</w:t>
      </w:r>
      <w:r w:rsidRPr="003C684F">
        <w:rPr>
          <w:rFonts w:hint="eastAsia" w:ascii="仿宋" w:hAnsi="仿宋" w:eastAsia="仿宋" w:cs="仿宋"/>
          <w:color w:val="000000"/>
          <w:sz w:val="32"/>
          <w:szCs w:val="32"/>
        </w:rPr>
        <w:t>延长。</w:t>
      </w:r>
    </w:p>
    <w:p w:rsidRPr="003C684F" w:rsidR="009730C1" w:rsidRDefault="00A315B9" w14:paraId="0C1A37E0" w14:textId="77777777">
      <w:pPr>
        <w:spacing w:line="360" w:lineRule="auto"/>
        <w:ind w:firstLine="640" w:firstLineChars="200"/>
        <w:rPr>
          <w:rFonts w:ascii="仿宋" w:hAnsi="仿宋" w:eastAsia="仿宋"/>
          <w:color w:val="000000"/>
          <w:sz w:val="32"/>
          <w:szCs w:val="32"/>
        </w:rPr>
      </w:pPr>
      <w:r w:rsidRPr="003C684F">
        <w:rPr>
          <w:rFonts w:ascii="仿宋" w:hAnsi="仿宋" w:eastAsia="仿宋" w:cs="仿宋"/>
          <w:color w:val="000000"/>
          <w:sz w:val="32"/>
          <w:szCs w:val="32"/>
        </w:rPr>
        <w:t>4.</w:t>
      </w:r>
      <w:r w:rsidRPr="003C684F">
        <w:rPr>
          <w:rFonts w:hint="eastAsia" w:ascii="仿宋" w:hAnsi="仿宋" w:eastAsia="仿宋" w:cs="仿宋"/>
          <w:color w:val="000000"/>
          <w:sz w:val="32"/>
          <w:szCs w:val="32"/>
        </w:rPr>
        <w:t>妊娠期女性患者、严重心功能不全患者（</w:t>
      </w:r>
      <w:r w:rsidRPr="003C684F">
        <w:rPr>
          <w:rFonts w:ascii="仿宋" w:hAnsi="仿宋" w:eastAsia="仿宋" w:cs="仿宋"/>
          <w:color w:val="000000"/>
          <w:sz w:val="32"/>
          <w:szCs w:val="32"/>
        </w:rPr>
        <w:t>NYHA</w:t>
      </w:r>
      <w:r w:rsidRPr="003C684F">
        <w:rPr>
          <w:rFonts w:hint="eastAsia" w:ascii="仿宋" w:hAnsi="仿宋" w:eastAsia="仿宋" w:cs="仿宋"/>
          <w:color w:val="000000"/>
          <w:sz w:val="32"/>
          <w:szCs w:val="32"/>
        </w:rPr>
        <w:t>心功能不全分级Ⅳ级）禁用。</w:t>
      </w:r>
    </w:p>
    <w:p w:rsidRPr="003C684F" w:rsidR="009730C1" w:rsidP="0037660B" w:rsidRDefault="00A315B9" w14:paraId="64DE3403" w14:textId="4467B722">
      <w:pPr>
        <w:spacing w:line="360" w:lineRule="auto"/>
        <w:ind w:firstLine="640" w:firstLineChars="200"/>
        <w:outlineLvl w:val="0"/>
        <w:rPr>
          <w:rFonts w:ascii="黑体" w:hAnsi="黑体" w:eastAsia="黑体" w:cs="Times New Roman"/>
          <w:sz w:val="32"/>
          <w:szCs w:val="32"/>
        </w:rPr>
      </w:pPr>
      <w:r w:rsidRPr="003C684F">
        <w:rPr>
          <w:rFonts w:hint="eastAsia" w:ascii="黑体" w:hAnsi="黑体" w:eastAsia="黑体" w:cs="黑体"/>
          <w:sz w:val="32"/>
          <w:szCs w:val="32"/>
        </w:rPr>
        <w:t>二十</w:t>
      </w:r>
      <w:r w:rsidRPr="003C684F" w:rsidR="0014630B">
        <w:rPr>
          <w:rFonts w:hint="eastAsia" w:ascii="黑体" w:hAnsi="黑体" w:eastAsia="黑体" w:cs="黑体"/>
          <w:sz w:val="32"/>
          <w:szCs w:val="32"/>
        </w:rPr>
        <w:t>九</w:t>
      </w:r>
      <w:r w:rsidRPr="003C684F">
        <w:rPr>
          <w:rFonts w:hint="eastAsia" w:ascii="黑体" w:hAnsi="黑体" w:eastAsia="黑体" w:cs="黑体"/>
          <w:sz w:val="32"/>
          <w:szCs w:val="32"/>
        </w:rPr>
        <w:t>、芦可替尼 R</w:t>
      </w:r>
      <w:r w:rsidRPr="003C684F">
        <w:rPr>
          <w:rFonts w:ascii="黑体" w:hAnsi="黑体" w:eastAsia="黑体" w:cs="黑体"/>
          <w:sz w:val="32"/>
          <w:szCs w:val="32"/>
        </w:rPr>
        <w:t>uxolitinib</w:t>
      </w:r>
    </w:p>
    <w:p w:rsidRPr="003C684F" w:rsidR="009730C1" w:rsidRDefault="00A315B9" w14:paraId="3B7E344D"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5mg</w:t>
      </w:r>
    </w:p>
    <w:p w:rsidRPr="003C684F" w:rsidR="009730C1" w:rsidRDefault="00A315B9" w14:paraId="73A9464F"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用于中危或高危的原发性骨髓纤维化（亦称为慢性特发性骨髓纤维化）、真性红细胞增多症继发的骨髓纤维化或原发性血小板增多症继发的骨髓纤维化的成年患者，治疗疾病相关脾肿大或疾病相关症状。</w:t>
      </w:r>
    </w:p>
    <w:p w:rsidRPr="003C684F" w:rsidR="009730C1" w:rsidRDefault="00A315B9" w14:paraId="3FFB4AD2"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合理用药要点</w:t>
      </w:r>
      <w:r w:rsidRPr="003C684F">
        <w:rPr>
          <w:rFonts w:hint="eastAsia" w:ascii="仿宋" w:hAnsi="仿宋" w:eastAsia="仿宋" w:cs="仿宋"/>
          <w:sz w:val="32"/>
          <w:szCs w:val="32"/>
        </w:rPr>
        <w:t>：</w:t>
      </w:r>
    </w:p>
    <w:p w:rsidRPr="003C684F" w:rsidR="009730C1" w:rsidRDefault="00A315B9" w14:paraId="26723986" w14:textId="465FC4EC">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治疗剂量：按照血小板计数给予起始剂量。（</w:t>
      </w:r>
      <w:r w:rsidRPr="003C684F">
        <w:rPr>
          <w:rFonts w:ascii="仿宋" w:hAnsi="仿宋" w:eastAsia="仿宋" w:cs="仿宋"/>
          <w:sz w:val="32"/>
          <w:szCs w:val="32"/>
        </w:rPr>
        <w:t>1</w:t>
      </w:r>
      <w:r w:rsidRPr="003C684F">
        <w:rPr>
          <w:rFonts w:hint="eastAsia" w:ascii="仿宋" w:hAnsi="仿宋" w:eastAsia="仿宋" w:cs="仿宋"/>
          <w:sz w:val="32"/>
          <w:szCs w:val="32"/>
        </w:rPr>
        <w:t>）血小板计数在（</w:t>
      </w:r>
      <w:r w:rsidRPr="003C684F">
        <w:rPr>
          <w:rFonts w:ascii="仿宋" w:hAnsi="仿宋" w:eastAsia="仿宋" w:cs="仿宋"/>
          <w:sz w:val="32"/>
          <w:szCs w:val="32"/>
        </w:rPr>
        <w:t>100</w:t>
      </w:r>
      <w:r w:rsidRPr="003C684F">
        <w:rPr>
          <w:rFonts w:hint="eastAsia" w:ascii="仿宋" w:hAnsi="仿宋" w:eastAsia="仿宋" w:cs="仿宋"/>
          <w:sz w:val="32"/>
          <w:szCs w:val="32"/>
        </w:rPr>
        <w:t>～</w:t>
      </w:r>
      <w:r w:rsidRPr="003C684F">
        <w:rPr>
          <w:rFonts w:ascii="仿宋" w:hAnsi="仿宋" w:eastAsia="仿宋" w:cs="仿宋"/>
          <w:sz w:val="32"/>
          <w:szCs w:val="32"/>
        </w:rPr>
        <w:t>200</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s="仿宋"/>
          <w:sz w:val="32"/>
          <w:szCs w:val="32"/>
        </w:rPr>
        <w:t>，起始剂量为</w:t>
      </w:r>
      <w:r w:rsidRPr="003C684F">
        <w:rPr>
          <w:rFonts w:ascii="仿宋" w:hAnsi="仿宋" w:eastAsia="仿宋" w:cs="仿宋"/>
          <w:sz w:val="32"/>
          <w:szCs w:val="32"/>
        </w:rPr>
        <w:t>15mg</w:t>
      </w:r>
      <w:r w:rsidRPr="003C684F" w:rsidR="00EE6160">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EE6160">
        <w:rPr>
          <w:rFonts w:hint="eastAsia" w:ascii="仿宋" w:hAnsi="仿宋" w:eastAsia="仿宋" w:cs="仿宋"/>
          <w:sz w:val="32"/>
          <w:szCs w:val="32"/>
        </w:rPr>
        <w:t>，口服</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）血小板计数＞</w:t>
      </w:r>
      <w:r w:rsidRPr="003C684F">
        <w:rPr>
          <w:rFonts w:ascii="仿宋" w:hAnsi="仿宋" w:eastAsia="仿宋" w:cs="仿宋"/>
          <w:sz w:val="32"/>
          <w:szCs w:val="32"/>
        </w:rPr>
        <w:t>200</w:t>
      </w:r>
      <w:r w:rsidRPr="003C684F">
        <w:rPr>
          <w:rFonts w:hint="eastAsia" w:ascii="仿宋" w:hAnsi="仿宋" w:eastAsia="仿宋"/>
          <w:color w:val="000000"/>
          <w:sz w:val="32"/>
          <w:szCs w:val="32"/>
        </w:rPr>
        <w:t>×</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s="仿宋"/>
          <w:sz w:val="32"/>
          <w:szCs w:val="32"/>
        </w:rPr>
        <w:t>，起始剂量为</w:t>
      </w:r>
      <w:r w:rsidRPr="003C684F">
        <w:rPr>
          <w:rFonts w:ascii="仿宋" w:hAnsi="仿宋" w:eastAsia="仿宋" w:cs="仿宋"/>
          <w:sz w:val="32"/>
          <w:szCs w:val="32"/>
        </w:rPr>
        <w:t>20mg</w:t>
      </w:r>
      <w:r w:rsidRPr="003C684F" w:rsidR="00EE6160">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EE6160">
        <w:rPr>
          <w:rFonts w:hint="eastAsia" w:ascii="仿宋" w:hAnsi="仿宋" w:eastAsia="仿宋" w:cs="仿宋"/>
          <w:sz w:val="32"/>
          <w:szCs w:val="32"/>
        </w:rPr>
        <w:t>，口服</w:t>
      </w:r>
      <w:r w:rsidRPr="003C684F">
        <w:rPr>
          <w:rFonts w:hint="eastAsia" w:ascii="仿宋" w:hAnsi="仿宋" w:eastAsia="仿宋" w:cs="仿宋"/>
          <w:sz w:val="32"/>
          <w:szCs w:val="32"/>
        </w:rPr>
        <w:t>。（</w:t>
      </w:r>
      <w:r w:rsidRPr="003C684F">
        <w:rPr>
          <w:rFonts w:ascii="仿宋" w:hAnsi="仿宋" w:eastAsia="仿宋" w:cs="仿宋"/>
          <w:sz w:val="32"/>
          <w:szCs w:val="32"/>
        </w:rPr>
        <w:t>3</w:t>
      </w:r>
      <w:r w:rsidRPr="003C684F">
        <w:rPr>
          <w:rFonts w:hint="eastAsia" w:ascii="仿宋" w:hAnsi="仿宋" w:eastAsia="仿宋" w:cs="仿宋"/>
          <w:sz w:val="32"/>
          <w:szCs w:val="32"/>
        </w:rPr>
        <w:t>）血小板计数在（</w:t>
      </w:r>
      <w:r w:rsidRPr="003C684F">
        <w:rPr>
          <w:rFonts w:ascii="仿宋" w:hAnsi="仿宋" w:eastAsia="仿宋" w:cs="仿宋"/>
          <w:sz w:val="32"/>
          <w:szCs w:val="32"/>
        </w:rPr>
        <w:t>50</w:t>
      </w:r>
      <w:r w:rsidRPr="003C684F">
        <w:rPr>
          <w:rFonts w:hint="eastAsia" w:ascii="仿宋" w:hAnsi="仿宋" w:eastAsia="仿宋" w:cs="仿宋"/>
          <w:sz w:val="32"/>
          <w:szCs w:val="32"/>
        </w:rPr>
        <w:t>～</w:t>
      </w:r>
      <w:r w:rsidRPr="003C684F">
        <w:rPr>
          <w:rFonts w:ascii="仿宋" w:hAnsi="仿宋" w:eastAsia="仿宋" w:cs="仿宋"/>
          <w:sz w:val="32"/>
          <w:szCs w:val="32"/>
        </w:rPr>
        <w:t>100</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s="仿宋"/>
          <w:sz w:val="32"/>
          <w:szCs w:val="32"/>
        </w:rPr>
        <w:t>，起始剂量为</w:t>
      </w:r>
      <w:r w:rsidRPr="003C684F">
        <w:rPr>
          <w:rFonts w:ascii="仿宋" w:hAnsi="仿宋" w:eastAsia="仿宋" w:cs="仿宋"/>
          <w:sz w:val="32"/>
          <w:szCs w:val="32"/>
        </w:rPr>
        <w:t>5mg</w:t>
      </w:r>
      <w:r w:rsidRPr="003C684F" w:rsidR="00EE6160">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EE6160">
        <w:rPr>
          <w:rFonts w:hint="eastAsia" w:ascii="仿宋" w:hAnsi="仿宋" w:eastAsia="仿宋" w:cs="仿宋"/>
          <w:sz w:val="32"/>
          <w:szCs w:val="32"/>
        </w:rPr>
        <w:t>，口服</w:t>
      </w:r>
      <w:r w:rsidRPr="003C684F">
        <w:rPr>
          <w:rFonts w:hint="eastAsia" w:ascii="仿宋" w:hAnsi="仿宋" w:eastAsia="仿宋" w:cs="仿宋"/>
          <w:sz w:val="32"/>
          <w:szCs w:val="32"/>
        </w:rPr>
        <w:t>。</w:t>
      </w:r>
    </w:p>
    <w:p w:rsidRPr="003C684F" w:rsidR="009730C1" w:rsidRDefault="00A315B9" w14:paraId="07159E5A"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本品可能造成血液系统不良反应，包括</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、贫血和</w:t>
      </w:r>
      <w:r w:rsidRPr="003C684F" w:rsidR="00691EDE">
        <w:rPr>
          <w:rFonts w:hint="eastAsia" w:ascii="仿宋" w:hAnsi="仿宋" w:eastAsia="仿宋" w:cs="仿宋"/>
          <w:sz w:val="32"/>
          <w:szCs w:val="32"/>
        </w:rPr>
        <w:t>中性粒细胞减少症</w:t>
      </w:r>
      <w:r w:rsidRPr="003C684F">
        <w:rPr>
          <w:rFonts w:hint="eastAsia" w:ascii="仿宋" w:hAnsi="仿宋" w:eastAsia="仿宋" w:cs="仿宋"/>
          <w:sz w:val="32"/>
          <w:szCs w:val="32"/>
        </w:rPr>
        <w:t>。治疗前，必须进行全血细胞计数检查，之后每周监测一次，</w:t>
      </w:r>
      <w:r w:rsidRPr="003C684F">
        <w:rPr>
          <w:rFonts w:ascii="仿宋" w:hAnsi="仿宋" w:eastAsia="仿宋" w:cs="仿宋"/>
          <w:sz w:val="32"/>
          <w:szCs w:val="32"/>
        </w:rPr>
        <w:t>4</w:t>
      </w:r>
      <w:r w:rsidRPr="003C684F">
        <w:rPr>
          <w:rFonts w:hint="eastAsia" w:ascii="仿宋" w:hAnsi="仿宋" w:eastAsia="仿宋" w:cs="仿宋"/>
          <w:sz w:val="32"/>
          <w:szCs w:val="32"/>
        </w:rPr>
        <w:t>周后可每</w:t>
      </w:r>
      <w:r w:rsidRPr="003C684F">
        <w:rPr>
          <w:rFonts w:ascii="仿宋" w:hAnsi="仿宋" w:eastAsia="仿宋" w:cs="仿宋"/>
          <w:sz w:val="32"/>
          <w:szCs w:val="32"/>
        </w:rPr>
        <w:t>2</w:t>
      </w:r>
      <w:r w:rsidRPr="003C684F">
        <w:rPr>
          <w:rFonts w:hint="eastAsia" w:ascii="仿宋" w:hAnsi="仿宋" w:eastAsia="仿宋" w:cs="仿宋"/>
          <w:sz w:val="32"/>
          <w:szCs w:val="32"/>
        </w:rPr>
        <w:t>～</w:t>
      </w:r>
      <w:r w:rsidRPr="003C684F">
        <w:rPr>
          <w:rFonts w:ascii="仿宋" w:hAnsi="仿宋" w:eastAsia="仿宋" w:cs="仿宋"/>
          <w:sz w:val="32"/>
          <w:szCs w:val="32"/>
        </w:rPr>
        <w:t>4</w:t>
      </w:r>
      <w:r w:rsidRPr="003C684F">
        <w:rPr>
          <w:rFonts w:hint="eastAsia" w:ascii="仿宋" w:hAnsi="仿宋" w:eastAsia="仿宋" w:cs="仿宋"/>
          <w:sz w:val="32"/>
          <w:szCs w:val="32"/>
        </w:rPr>
        <w:t>周监测一次，直到达到稳定，然后可以根据临床需要进行监测。当出现</w:t>
      </w:r>
      <w:r w:rsidRPr="003C684F" w:rsidR="00701C08">
        <w:rPr>
          <w:rFonts w:hint="eastAsia" w:ascii="仿宋" w:hAnsi="仿宋" w:eastAsia="仿宋" w:cs="仿宋"/>
          <w:sz w:val="32"/>
          <w:szCs w:val="32"/>
        </w:rPr>
        <w:t>血小板减少症</w:t>
      </w:r>
      <w:r w:rsidRPr="003C684F">
        <w:rPr>
          <w:rFonts w:hint="eastAsia" w:ascii="仿宋" w:hAnsi="仿宋" w:eastAsia="仿宋" w:cs="仿宋"/>
          <w:sz w:val="32"/>
          <w:szCs w:val="32"/>
        </w:rPr>
        <w:t>或贫血时，可减少剂量或暂时停止用药，必要时输注血小板或红细胞。</w:t>
      </w:r>
    </w:p>
    <w:p w:rsidRPr="003C684F" w:rsidR="009730C1" w:rsidRDefault="00A315B9" w14:paraId="63689FE9"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中断或终止本品治疗后，骨髓纤维化的症状可能在大</w:t>
      </w:r>
      <w:r w:rsidRPr="003C684F">
        <w:rPr>
          <w:rFonts w:hint="eastAsia" w:ascii="仿宋" w:hAnsi="仿宋" w:eastAsia="仿宋" w:cs="仿宋"/>
          <w:sz w:val="32"/>
          <w:szCs w:val="32"/>
        </w:rPr>
        <w:lastRenderedPageBreak/>
        <w:t>约一周后再次出现。若非必须紧急终止治疗，应可以考虑逐步减少本品的用药剂量。</w:t>
      </w:r>
    </w:p>
    <w:p w:rsidRPr="003C684F" w:rsidR="009730C1" w:rsidRDefault="00A315B9" w14:paraId="3FCB96D8" w14:textId="77CED6F0">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本品与</w:t>
      </w:r>
      <w:r w:rsidRPr="003C684F">
        <w:rPr>
          <w:rFonts w:ascii="仿宋" w:hAnsi="仿宋" w:eastAsia="仿宋" w:cs="仿宋"/>
          <w:sz w:val="32"/>
          <w:szCs w:val="32"/>
        </w:rPr>
        <w:t>CYP3A4</w:t>
      </w:r>
      <w:r w:rsidRPr="003C684F" w:rsidR="00AD5C27">
        <w:rPr>
          <w:rFonts w:hint="eastAsia" w:ascii="仿宋" w:hAnsi="仿宋" w:eastAsia="仿宋" w:cs="仿宋"/>
          <w:sz w:val="32"/>
          <w:szCs w:val="32"/>
        </w:rPr>
        <w:t>强效</w:t>
      </w:r>
      <w:r w:rsidRPr="003C684F">
        <w:rPr>
          <w:rFonts w:hint="eastAsia" w:ascii="仿宋" w:hAnsi="仿宋" w:eastAsia="仿宋" w:cs="仿宋"/>
          <w:sz w:val="32"/>
          <w:szCs w:val="32"/>
        </w:rPr>
        <w:t>抑制剂或</w:t>
      </w:r>
      <w:r w:rsidRPr="003C684F">
        <w:rPr>
          <w:rFonts w:ascii="仿宋" w:hAnsi="仿宋" w:eastAsia="仿宋" w:cs="仿宋"/>
          <w:sz w:val="32"/>
          <w:szCs w:val="32"/>
        </w:rPr>
        <w:t>CYP2C9</w:t>
      </w:r>
      <w:r w:rsidRPr="003C684F">
        <w:rPr>
          <w:rFonts w:hint="eastAsia" w:ascii="仿宋" w:hAnsi="仿宋" w:eastAsia="仿宋" w:cs="仿宋"/>
          <w:sz w:val="32"/>
          <w:szCs w:val="32"/>
        </w:rPr>
        <w:t>和</w:t>
      </w:r>
      <w:r w:rsidRPr="003C684F">
        <w:rPr>
          <w:rFonts w:ascii="仿宋" w:hAnsi="仿宋" w:eastAsia="仿宋" w:cs="仿宋"/>
          <w:sz w:val="32"/>
          <w:szCs w:val="32"/>
        </w:rPr>
        <w:t>CYP3A4</w:t>
      </w:r>
      <w:r w:rsidRPr="003C684F">
        <w:rPr>
          <w:rFonts w:hint="eastAsia" w:ascii="仿宋" w:hAnsi="仿宋" w:eastAsia="仿宋" w:cs="仿宋"/>
          <w:sz w:val="32"/>
          <w:szCs w:val="32"/>
        </w:rPr>
        <w:t>酶双重抑制剂</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使用时，每天总剂量应减少约</w:t>
      </w:r>
      <w:r w:rsidRPr="003C684F">
        <w:rPr>
          <w:rFonts w:ascii="仿宋" w:hAnsi="仿宋" w:eastAsia="仿宋" w:cs="仿宋"/>
          <w:sz w:val="32"/>
          <w:szCs w:val="32"/>
        </w:rPr>
        <w:t>50%</w:t>
      </w:r>
      <w:r w:rsidRPr="003C684F">
        <w:rPr>
          <w:rFonts w:hint="eastAsia" w:ascii="仿宋" w:hAnsi="仿宋" w:eastAsia="仿宋" w:cs="仿宋"/>
          <w:sz w:val="32"/>
          <w:szCs w:val="32"/>
        </w:rPr>
        <w:t>。</w:t>
      </w:r>
    </w:p>
    <w:p w:rsidR="00BD7579" w:rsidRDefault="00BD7579" w14:paraId="6AD12D90" w14:textId="77777777">
      <w:pPr>
        <w:spacing w:line="360" w:lineRule="auto"/>
        <w:ind w:firstLine="883" w:firstLineChars="200"/>
        <w:jc w:val="center"/>
        <w:rPr>
          <w:rFonts w:ascii="宋体" w:hAnsi="宋体" w:cs="宋体"/>
          <w:b/>
          <w:bCs/>
          <w:sz w:val="44"/>
          <w:szCs w:val="44"/>
        </w:rPr>
      </w:pPr>
    </w:p>
    <w:p w:rsidRPr="003C684F" w:rsidR="009730C1" w:rsidRDefault="00A315B9" w14:paraId="7F8F44D1" w14:textId="77777777">
      <w:pPr>
        <w:spacing w:line="360" w:lineRule="auto"/>
        <w:ind w:firstLine="883" w:firstLineChars="200"/>
        <w:jc w:val="center"/>
        <w:rPr>
          <w:rFonts w:ascii="宋体" w:cs="Times New Roman"/>
          <w:b/>
          <w:bCs/>
          <w:sz w:val="44"/>
          <w:szCs w:val="44"/>
        </w:rPr>
      </w:pPr>
      <w:r w:rsidRPr="003C684F">
        <w:rPr>
          <w:rFonts w:hint="eastAsia" w:ascii="宋体" w:hAnsi="宋体" w:cs="宋体"/>
          <w:b/>
          <w:bCs/>
          <w:sz w:val="44"/>
          <w:szCs w:val="44"/>
        </w:rPr>
        <w:t>泌尿系统肿瘤用药</w:t>
      </w:r>
    </w:p>
    <w:p w:rsidRPr="003C684F" w:rsidR="009730C1" w:rsidRDefault="009730C1" w14:paraId="364FFA97" w14:textId="77777777">
      <w:pPr>
        <w:spacing w:line="360" w:lineRule="auto"/>
        <w:ind w:firstLine="643" w:firstLineChars="200"/>
        <w:jc w:val="center"/>
        <w:rPr>
          <w:rFonts w:ascii="仿宋" w:hAnsi="仿宋" w:eastAsia="仿宋" w:cs="Times New Roman"/>
          <w:b/>
          <w:bCs/>
          <w:sz w:val="32"/>
          <w:szCs w:val="32"/>
        </w:rPr>
      </w:pPr>
    </w:p>
    <w:p w:rsidRPr="003C684F" w:rsidR="009730C1" w:rsidP="0037660B" w:rsidRDefault="00A315B9" w14:paraId="354D540A"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一、索拉非尼 Sorafenib</w:t>
      </w:r>
    </w:p>
    <w:p w:rsidRPr="003C684F" w:rsidR="009730C1" w:rsidRDefault="00A315B9" w14:paraId="729DCDA9"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片剂：200mg</w:t>
      </w:r>
    </w:p>
    <w:p w:rsidRPr="003C684F" w:rsidR="009730C1" w:rsidRDefault="00A315B9" w14:paraId="2AE7B7EB"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晚期肾细胞癌。</w:t>
      </w:r>
    </w:p>
    <w:p w:rsidRPr="003C684F" w:rsidR="009730C1" w:rsidRDefault="00A315B9" w14:paraId="16877F07"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9730C1" w:rsidRDefault="00A315B9" w14:paraId="6720DC0C" w14:textId="51EC25F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1.推荐剂量为</w:t>
      </w:r>
      <w:r w:rsidRPr="003C684F">
        <w:rPr>
          <w:rFonts w:ascii="仿宋" w:hAnsi="仿宋" w:eastAsia="仿宋" w:cs="仿宋"/>
          <w:sz w:val="32"/>
          <w:szCs w:val="32"/>
        </w:rPr>
        <w:t>400</w:t>
      </w:r>
      <w:r w:rsidRPr="003C684F">
        <w:rPr>
          <w:rFonts w:hint="eastAsia" w:ascii="仿宋" w:hAnsi="仿宋" w:eastAsia="仿宋" w:cs="仿宋"/>
          <w:sz w:val="32"/>
          <w:szCs w:val="32"/>
        </w:rPr>
        <w:t>mg</w:t>
      </w:r>
      <w:r w:rsidRPr="003C684F" w:rsidR="00A07E03">
        <w:rPr>
          <w:rFonts w:hint="eastAsia" w:ascii="仿宋" w:hAnsi="仿宋" w:eastAsia="仿宋" w:cs="仿宋"/>
          <w:sz w:val="32"/>
          <w:szCs w:val="32"/>
        </w:rPr>
        <w:t>/次</w:t>
      </w:r>
      <w:r w:rsidRPr="003C684F">
        <w:rPr>
          <w:rFonts w:hint="eastAsia" w:ascii="仿宋" w:hAnsi="仿宋" w:eastAsia="仿宋" w:cs="仿宋"/>
          <w:sz w:val="32"/>
          <w:szCs w:val="32"/>
        </w:rPr>
        <w:t>，每天两次，口服，空腹给药，用药前无需进行基因检测。</w:t>
      </w:r>
    </w:p>
    <w:p w:rsidRPr="003C684F" w:rsidR="009730C1" w:rsidRDefault="00A315B9" w14:paraId="72A6B483"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CYP3A4诱导剂联合索拉非尼可降低索拉非尼的药物浓度，而根据目前数据，CYP3A4抑制剂和索拉非尼在临床药代动力学方面不太可能存在相互作用。</w:t>
      </w:r>
    </w:p>
    <w:p w:rsidRPr="003C684F" w:rsidR="009730C1" w:rsidRDefault="00A315B9" w14:paraId="006804F9"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3.存在可疑的药物不良反应时，可能需要暂停和/或减少索拉非尼剂量。</w:t>
      </w:r>
      <w:r w:rsidRPr="003C684F" w:rsidR="005854C4">
        <w:rPr>
          <w:rFonts w:hint="eastAsia" w:ascii="仿宋" w:hAnsi="仿宋" w:eastAsia="仿宋" w:cs="仿宋"/>
          <w:sz w:val="32"/>
          <w:szCs w:val="32"/>
        </w:rPr>
        <w:t>择期手术前至少暂停使用索拉非尼10天。大手术后至伤口充分愈合之前，至少2周不要服用。</w:t>
      </w:r>
    </w:p>
    <w:p w:rsidRPr="003C684F" w:rsidR="009730C1" w:rsidRDefault="00A315B9" w14:paraId="31936FD7" w14:textId="2C320CB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4.最常见的不良反应有腹泻、乏力、脱发、感染、手足皮肤反应、皮疹。避免</w:t>
      </w:r>
      <w:r w:rsidR="007C186F">
        <w:rPr>
          <w:rFonts w:hint="eastAsia" w:ascii="仿宋" w:hAnsi="仿宋" w:eastAsia="仿宋" w:cs="仿宋"/>
          <w:sz w:val="32"/>
          <w:szCs w:val="32"/>
        </w:rPr>
        <w:t>联合使用</w:t>
      </w:r>
      <w:r w:rsidRPr="003C684F">
        <w:rPr>
          <w:rFonts w:hint="eastAsia" w:ascii="仿宋" w:hAnsi="仿宋" w:eastAsia="仿宋" w:cs="仿宋"/>
          <w:sz w:val="32"/>
          <w:szCs w:val="32"/>
        </w:rPr>
        <w:t>CYP3A4强效</w:t>
      </w:r>
      <w:r w:rsidRPr="003C684F" w:rsidR="00366291">
        <w:rPr>
          <w:rFonts w:hint="eastAsia" w:ascii="仿宋" w:hAnsi="仿宋" w:eastAsia="仿宋" w:cs="仿宋"/>
          <w:sz w:val="32"/>
          <w:szCs w:val="32"/>
        </w:rPr>
        <w:t>诱导剂或</w:t>
      </w:r>
      <w:r w:rsidRPr="003C684F">
        <w:rPr>
          <w:rFonts w:hint="eastAsia" w:ascii="仿宋" w:hAnsi="仿宋" w:eastAsia="仿宋" w:cs="仿宋"/>
          <w:sz w:val="32"/>
          <w:szCs w:val="32"/>
        </w:rPr>
        <w:t>抑制剂。</w:t>
      </w:r>
    </w:p>
    <w:p w:rsidRPr="003C684F" w:rsidR="009730C1" w:rsidRDefault="00A315B9" w14:paraId="00366B78"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lastRenderedPageBreak/>
        <w:t>5.对索拉非尼或本品任一非活性成分有严重过敏症状的患者禁用。</w:t>
      </w:r>
    </w:p>
    <w:p w:rsidRPr="003C684F" w:rsidR="009730C1" w:rsidRDefault="00A315B9" w14:paraId="42C58CB9"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二、舒尼替尼 Sunitinib</w:t>
      </w:r>
    </w:p>
    <w:p w:rsidRPr="003C684F" w:rsidR="009730C1" w:rsidRDefault="00A315B9" w14:paraId="2FB45C8B"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12.5mg</w:t>
      </w:r>
      <w:r w:rsidRPr="003C684F">
        <w:rPr>
          <w:rFonts w:hint="eastAsia" w:ascii="仿宋" w:hAnsi="仿宋" w:eastAsia="仿宋" w:cs="仿宋"/>
          <w:sz w:val="32"/>
          <w:szCs w:val="32"/>
        </w:rPr>
        <w:t>、</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37.5mg</w:t>
      </w:r>
      <w:r w:rsidRPr="003C684F">
        <w:rPr>
          <w:rFonts w:hint="eastAsia" w:ascii="仿宋" w:hAnsi="仿宋" w:eastAsia="仿宋" w:cs="仿宋"/>
          <w:sz w:val="32"/>
          <w:szCs w:val="32"/>
        </w:rPr>
        <w:t>、</w:t>
      </w:r>
      <w:r w:rsidRPr="003C684F">
        <w:rPr>
          <w:rFonts w:ascii="仿宋" w:hAnsi="仿宋" w:eastAsia="仿宋" w:cs="仿宋"/>
          <w:sz w:val="32"/>
          <w:szCs w:val="32"/>
        </w:rPr>
        <w:t>50mg</w:t>
      </w:r>
    </w:p>
    <w:p w:rsidRPr="003C684F" w:rsidR="009730C1" w:rsidRDefault="00A315B9" w14:paraId="354EFF5D"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晚期肾细胞癌。</w:t>
      </w:r>
    </w:p>
    <w:p w:rsidRPr="003C684F" w:rsidR="009730C1" w:rsidRDefault="00A315B9" w14:paraId="32A75579"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9730C1" w:rsidRDefault="00A315B9" w14:paraId="5886CFC2" w14:textId="267F228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1.推荐剂量为50mg</w:t>
      </w:r>
      <w:r w:rsidRPr="003C684F" w:rsidR="00EC4407">
        <w:rPr>
          <w:rFonts w:hint="eastAsia" w:ascii="仿宋" w:hAnsi="仿宋" w:eastAsia="仿宋" w:cs="仿宋"/>
          <w:sz w:val="32"/>
          <w:szCs w:val="32"/>
        </w:rPr>
        <w:t>/次</w:t>
      </w:r>
      <w:r w:rsidRPr="003C684F">
        <w:rPr>
          <w:rFonts w:hint="eastAsia" w:ascii="仿宋" w:hAnsi="仿宋" w:eastAsia="仿宋" w:cs="仿宋"/>
          <w:sz w:val="32"/>
          <w:szCs w:val="32"/>
        </w:rPr>
        <w:t>，每天一次，口服，服药4周</w:t>
      </w:r>
      <w:r w:rsidRPr="003C684F" w:rsidR="00EC4407">
        <w:rPr>
          <w:rFonts w:hint="eastAsia" w:ascii="仿宋" w:hAnsi="仿宋" w:eastAsia="仿宋" w:cs="仿宋"/>
          <w:sz w:val="32"/>
          <w:szCs w:val="32"/>
        </w:rPr>
        <w:t>、</w:t>
      </w:r>
      <w:r w:rsidRPr="003C684F">
        <w:rPr>
          <w:rFonts w:hint="eastAsia" w:ascii="仿宋" w:hAnsi="仿宋" w:eastAsia="仿宋" w:cs="仿宋"/>
          <w:sz w:val="32"/>
          <w:szCs w:val="32"/>
        </w:rPr>
        <w:t>停药2周（</w:t>
      </w:r>
      <w:r w:rsidRPr="003C684F" w:rsidR="00F61CF1">
        <w:rPr>
          <w:rFonts w:hint="eastAsia" w:ascii="仿宋" w:hAnsi="仿宋" w:eastAsia="仿宋" w:cs="仿宋"/>
          <w:sz w:val="32"/>
          <w:szCs w:val="32"/>
        </w:rPr>
        <w:t>即</w:t>
      </w:r>
      <w:r w:rsidRPr="003C684F">
        <w:rPr>
          <w:rFonts w:hint="eastAsia" w:ascii="仿宋" w:hAnsi="仿宋" w:eastAsia="仿宋" w:cs="仿宋"/>
          <w:sz w:val="32"/>
          <w:szCs w:val="32"/>
        </w:rPr>
        <w:t>4/2给药方案），也可采用舒尼替尼50mg</w:t>
      </w:r>
      <w:r w:rsidRPr="003C684F" w:rsidR="00EC4407">
        <w:rPr>
          <w:rFonts w:hint="eastAsia" w:ascii="仿宋" w:hAnsi="仿宋" w:eastAsia="仿宋" w:cs="仿宋"/>
          <w:sz w:val="32"/>
          <w:szCs w:val="32"/>
        </w:rPr>
        <w:t>/次</w:t>
      </w:r>
      <w:r w:rsidRPr="003C684F">
        <w:rPr>
          <w:rFonts w:hint="eastAsia" w:ascii="仿宋" w:hAnsi="仿宋" w:eastAsia="仿宋" w:cs="仿宋"/>
          <w:sz w:val="32"/>
          <w:szCs w:val="32"/>
        </w:rPr>
        <w:t>，每天一次，服用2周，停药1周</w:t>
      </w:r>
      <w:r w:rsidRPr="003C684F" w:rsidR="00F61CF1">
        <w:rPr>
          <w:rFonts w:hint="eastAsia" w:ascii="仿宋" w:hAnsi="仿宋" w:eastAsia="仿宋" w:cs="仿宋"/>
          <w:sz w:val="32"/>
          <w:szCs w:val="32"/>
        </w:rPr>
        <w:t>（即2/1给药方案）</w:t>
      </w:r>
      <w:r w:rsidRPr="003C684F">
        <w:rPr>
          <w:rFonts w:hint="eastAsia" w:ascii="仿宋" w:hAnsi="仿宋" w:eastAsia="仿宋" w:cs="仿宋"/>
          <w:sz w:val="32"/>
          <w:szCs w:val="32"/>
        </w:rPr>
        <w:t>。</w:t>
      </w:r>
    </w:p>
    <w:p w:rsidRPr="003C684F" w:rsidR="009730C1" w:rsidRDefault="00A315B9" w14:paraId="46DD2649" w14:textId="06EE17A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2.根据患者个体的安全性和耐受性，以12.5mg为梯度单位逐步调整剂量。每天最高剂量不超过75mg，根据患者个体的安全性和耐受性情况可能需要中断治疗。</w:t>
      </w:r>
    </w:p>
    <w:p w:rsidRPr="003C684F" w:rsidR="009730C1" w:rsidRDefault="00A315B9" w14:paraId="2D128C12" w14:textId="2FEFC339">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3.避免与CYP3A4</w:t>
      </w:r>
      <w:r w:rsidRPr="003C684F" w:rsidR="00366291">
        <w:rPr>
          <w:rFonts w:hint="eastAsia" w:ascii="仿宋" w:hAnsi="仿宋" w:eastAsia="仿宋" w:cs="仿宋"/>
          <w:sz w:val="32"/>
          <w:szCs w:val="32"/>
        </w:rPr>
        <w:t>强效诱导剂或抑制剂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w:t>
      </w:r>
      <w:r w:rsidRPr="003C684F" w:rsidR="006A23F0">
        <w:rPr>
          <w:rFonts w:hint="eastAsia" w:ascii="仿宋" w:hAnsi="仿宋" w:eastAsia="仿宋" w:cs="仿宋"/>
          <w:sz w:val="32"/>
          <w:szCs w:val="32"/>
        </w:rPr>
        <w:t>如无法避免与强效诱导剂</w:t>
      </w:r>
      <w:r w:rsidRPr="003C684F" w:rsidR="00F92328">
        <w:rPr>
          <w:rFonts w:hint="eastAsia" w:ascii="仿宋" w:hAnsi="仿宋" w:eastAsia="仿宋" w:cs="仿宋"/>
          <w:sz w:val="32"/>
          <w:szCs w:val="32"/>
        </w:rPr>
        <w:t>联合使用</w:t>
      </w:r>
      <w:r w:rsidRPr="003C684F" w:rsidR="006A23F0">
        <w:rPr>
          <w:rFonts w:hint="eastAsia" w:ascii="仿宋" w:hAnsi="仿宋" w:eastAsia="仿宋" w:cs="仿宋"/>
          <w:sz w:val="32"/>
          <w:szCs w:val="32"/>
        </w:rPr>
        <w:t>考虑下调本品剂量。</w:t>
      </w:r>
    </w:p>
    <w:p w:rsidRPr="003C684F" w:rsidR="009730C1" w:rsidRDefault="00A315B9" w14:paraId="3B94684E"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4.用药期间需要密切监测</w:t>
      </w:r>
      <w:r w:rsidRPr="003C684F" w:rsidR="006A23F0">
        <w:rPr>
          <w:rFonts w:hint="eastAsia" w:ascii="仿宋" w:hAnsi="仿宋" w:eastAsia="仿宋" w:cs="仿宋"/>
          <w:sz w:val="32"/>
          <w:szCs w:val="32"/>
        </w:rPr>
        <w:t>肝功能和</w:t>
      </w:r>
      <w:r w:rsidRPr="003C684F">
        <w:rPr>
          <w:rFonts w:hint="eastAsia" w:ascii="仿宋" w:hAnsi="仿宋" w:eastAsia="仿宋" w:cs="仿宋"/>
          <w:sz w:val="32"/>
          <w:szCs w:val="32"/>
        </w:rPr>
        <w:t>血常规，注意白细胞及血小板下降等严重骨髓抑制。</w:t>
      </w:r>
    </w:p>
    <w:p w:rsidRPr="003C684F" w:rsidR="009730C1" w:rsidRDefault="00A315B9" w14:paraId="4772430A" w14:textId="53822413">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sidR="006A23F0">
        <w:rPr>
          <w:rFonts w:hint="eastAsia" w:ascii="仿宋" w:hAnsi="仿宋" w:eastAsia="仿宋" w:cs="仿宋"/>
          <w:sz w:val="32"/>
          <w:szCs w:val="32"/>
        </w:rPr>
        <w:t>择期手术前停用本品3周。</w:t>
      </w:r>
      <w:r w:rsidRPr="003C684F" w:rsidR="00E65917">
        <w:rPr>
          <w:rFonts w:hint="eastAsia" w:ascii="仿宋" w:hAnsi="仿宋" w:eastAsia="仿宋" w:cs="仿宋"/>
          <w:sz w:val="32"/>
          <w:szCs w:val="32"/>
        </w:rPr>
        <w:t>大手术后至少2周内不得给药。</w:t>
      </w:r>
    </w:p>
    <w:p w:rsidRPr="003C684F" w:rsidR="009730C1" w:rsidRDefault="00A315B9" w14:paraId="0582B426"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三、培唑帕尼 Pazopanib</w:t>
      </w:r>
    </w:p>
    <w:p w:rsidRPr="003C684F" w:rsidR="009730C1" w:rsidRDefault="00A315B9" w14:paraId="0245BD4C"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片剂：200mg</w:t>
      </w:r>
    </w:p>
    <w:p w:rsidRPr="003C684F" w:rsidR="009730C1" w:rsidRDefault="00A315B9" w14:paraId="487BB585"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本品适用于晚期肾细胞癌患者的一线治疗和曾接受细胞因子治疗的晚期肾细胞癌患者的治疗。</w:t>
      </w:r>
    </w:p>
    <w:p w:rsidRPr="003C684F" w:rsidR="009730C1" w:rsidRDefault="00A315B9" w14:paraId="4CEF8FE7"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lastRenderedPageBreak/>
        <w:t>合理用药要点：</w:t>
      </w:r>
    </w:p>
    <w:p w:rsidRPr="003C684F" w:rsidR="009730C1" w:rsidRDefault="00A315B9" w14:paraId="1D706092" w14:textId="57120744">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1.培唑帕尼的推荐剂量为800mg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624026">
        <w:rPr>
          <w:rFonts w:hint="eastAsia" w:ascii="仿宋" w:hAnsi="仿宋" w:eastAsia="仿宋" w:cs="仿宋"/>
          <w:sz w:val="32"/>
          <w:szCs w:val="32"/>
        </w:rPr>
        <w:t>口服，</w:t>
      </w:r>
      <w:r w:rsidRPr="003C684F">
        <w:rPr>
          <w:rFonts w:hint="eastAsia" w:ascii="仿宋" w:hAnsi="仿宋" w:eastAsia="仿宋" w:cs="仿宋"/>
          <w:sz w:val="32"/>
          <w:szCs w:val="32"/>
        </w:rPr>
        <w:t>空腹服药。如果漏服剂量，且距下次剂量的服用时间不足12小时，则不应补服。</w:t>
      </w:r>
    </w:p>
    <w:p w:rsidRPr="003C684F" w:rsidR="009730C1" w:rsidRDefault="00A315B9" w14:paraId="7B3577BC"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2.剂量调整应根据个体耐受情况，按200mg的幅度逐步递增或递减，以控制不良反应。培唑帕尼的剂量不应超过800mg。</w:t>
      </w:r>
    </w:p>
    <w:p w:rsidRPr="003C684F" w:rsidR="009730C1" w:rsidRDefault="00A315B9" w14:paraId="4D3F581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3.在培唑帕尼使用期间，轻中度肝功能损伤患者应慎用培唑帕尼，并且应密切监测，对于基线总胆红素的数值≤1.5倍ULN，且AST及ALT的数值≤2倍ULN的患者，其剂量调整参见针对药物性肝毒性的剂量调整指南。</w:t>
      </w:r>
    </w:p>
    <w:p w:rsidRPr="003C684F" w:rsidR="009730C1" w:rsidRDefault="00A315B9" w14:paraId="122245E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4.用药期间必须注意常见的肝功能损伤和高血压，需要监测尿蛋白，注意腹泻的发生，必要时予以对症止泻药物。</w:t>
      </w:r>
    </w:p>
    <w:p w:rsidRPr="003C684F" w:rsidR="009730C1" w:rsidRDefault="00A315B9" w14:paraId="47DFFAC5" w14:textId="4B27C2F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5.避免同时使用CYP3A4、P-糖蛋白或乳腺癌耐药蛋白</w:t>
      </w:r>
      <w:r w:rsidRPr="003C684F" w:rsidR="007B436F">
        <w:rPr>
          <w:rFonts w:hint="eastAsia" w:ascii="仿宋" w:hAnsi="仿宋" w:eastAsia="仿宋" w:cs="仿宋"/>
          <w:sz w:val="32"/>
          <w:szCs w:val="32"/>
        </w:rPr>
        <w:t>强效</w:t>
      </w:r>
      <w:r w:rsidRPr="003C684F">
        <w:rPr>
          <w:rFonts w:hint="eastAsia" w:ascii="仿宋" w:hAnsi="仿宋" w:eastAsia="仿宋" w:cs="仿宋"/>
          <w:sz w:val="32"/>
          <w:szCs w:val="32"/>
        </w:rPr>
        <w:t>抑制剂治疗。</w:t>
      </w:r>
    </w:p>
    <w:p w:rsidRPr="003C684F" w:rsidR="009730C1" w:rsidP="0037660B" w:rsidRDefault="00A315B9" w14:paraId="76A42138"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四、阿昔替尼 Axitinib</w:t>
      </w:r>
    </w:p>
    <w:p w:rsidRPr="003C684F" w:rsidR="009730C1" w:rsidRDefault="00A315B9" w14:paraId="119B506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片剂：1mg、5mg</w:t>
      </w:r>
    </w:p>
    <w:p w:rsidRPr="003C684F" w:rsidR="009730C1" w:rsidRDefault="00A315B9" w14:paraId="0E67C74D"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适应证：</w:t>
      </w:r>
    </w:p>
    <w:p w:rsidRPr="003C684F" w:rsidR="009730C1" w:rsidRDefault="00A315B9" w14:paraId="3E558693"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1.用于既往接受过一种酪氨酸激酶抑制剂或细胞因子治疗失败的进展期肾细胞癌的成人患者。</w:t>
      </w:r>
    </w:p>
    <w:p w:rsidRPr="003C684F" w:rsidR="009730C1" w:rsidRDefault="00A315B9" w14:paraId="721898AE"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2.联合帕博利珠单抗适用于晚期肾透明细胞癌的一线治疗。</w:t>
      </w:r>
    </w:p>
    <w:p w:rsidRPr="003C684F" w:rsidR="009730C1" w:rsidRDefault="00A315B9" w14:paraId="34A63EE7"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lastRenderedPageBreak/>
        <w:t>合理用药要点：</w:t>
      </w:r>
    </w:p>
    <w:p w:rsidRPr="003C684F" w:rsidR="009730C1" w:rsidRDefault="00A315B9" w14:paraId="68C7E8C6" w14:textId="384DF5A3">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1.阿昔替尼推荐的起始口服剂量为5mg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624026">
        <w:rPr>
          <w:rFonts w:hint="eastAsia" w:ascii="仿宋" w:hAnsi="仿宋" w:eastAsia="仿宋" w:cs="仿宋"/>
          <w:sz w:val="32"/>
          <w:szCs w:val="32"/>
        </w:rPr>
        <w:t>口服，</w:t>
      </w:r>
      <w:r w:rsidRPr="003C684F">
        <w:rPr>
          <w:rFonts w:hint="eastAsia" w:ascii="仿宋" w:hAnsi="仿宋" w:eastAsia="仿宋" w:cs="仿宋"/>
          <w:sz w:val="32"/>
          <w:szCs w:val="32"/>
        </w:rPr>
        <w:t>可与食物同服或空腹给药，每天两次给药的时间间隔约为12小时。如果患者呕吐或漏服一次剂量，不应另外服用一次剂量，应按常规服用下一次剂量。</w:t>
      </w:r>
    </w:p>
    <w:p w:rsidRPr="003C684F" w:rsidR="009730C1" w:rsidRDefault="00A315B9" w14:paraId="5839F15C" w14:textId="0FE0D58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2.建议根据患者安全性和耐受性的个体差异增加或降低剂量：（1）在治疗过程中，满足下述标准的患者可增加剂量：能耐受阿昔替尼至少</w:t>
      </w:r>
      <w:r w:rsidRPr="003C684F" w:rsidR="009B5B90">
        <w:rPr>
          <w:rFonts w:hint="eastAsia" w:ascii="仿宋" w:hAnsi="仿宋" w:eastAsia="仿宋" w:cs="仿宋"/>
          <w:sz w:val="32"/>
          <w:szCs w:val="32"/>
        </w:rPr>
        <w:t>2周</w:t>
      </w:r>
      <w:r w:rsidRPr="003C684F">
        <w:rPr>
          <w:rFonts w:hint="eastAsia" w:ascii="仿宋" w:hAnsi="仿宋" w:eastAsia="仿宋" w:cs="仿宋"/>
          <w:sz w:val="32"/>
          <w:szCs w:val="32"/>
        </w:rPr>
        <w:t>连续治疗、未出现2级以上不良反应、血压正常、未接受降压药物治疗。当推荐从5mg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，每天两次开始增加剂量，可将阿昔替尼剂量增加至7mg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，每天两次，然后采用相同标准，进一步将剂量增加至10mg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，每天两次。（2）在治疗过程中，可能需要暂停或永久</w:t>
      </w:r>
      <w:r w:rsidRPr="003C684F" w:rsidR="00080B1E">
        <w:rPr>
          <w:rFonts w:hint="eastAsia" w:ascii="仿宋" w:hAnsi="仿宋" w:eastAsia="仿宋" w:cs="仿宋"/>
          <w:sz w:val="32"/>
          <w:szCs w:val="32"/>
        </w:rPr>
        <w:t>停用</w:t>
      </w:r>
      <w:r w:rsidRPr="003C684F">
        <w:rPr>
          <w:rFonts w:hint="eastAsia" w:ascii="仿宋" w:hAnsi="仿宋" w:eastAsia="仿宋" w:cs="仿宋"/>
          <w:sz w:val="32"/>
          <w:szCs w:val="32"/>
        </w:rPr>
        <w:t>，或降低阿昔替尼剂量。如果需要从5mg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，每天两次开始减量，则推荐剂量为3mg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，每天两次。如果需要再次减量，则推荐剂量为2mg</w:t>
      </w:r>
      <w:r w:rsidRPr="003C684F" w:rsidR="00624026">
        <w:rPr>
          <w:rFonts w:hint="eastAsia" w:ascii="仿宋" w:hAnsi="仿宋" w:eastAsia="仿宋" w:cs="仿宋"/>
          <w:sz w:val="32"/>
          <w:szCs w:val="32"/>
        </w:rPr>
        <w:t>/次</w:t>
      </w:r>
      <w:r w:rsidRPr="003C684F">
        <w:rPr>
          <w:rFonts w:hint="eastAsia" w:ascii="仿宋" w:hAnsi="仿宋" w:eastAsia="仿宋" w:cs="仿宋"/>
          <w:sz w:val="32"/>
          <w:szCs w:val="32"/>
        </w:rPr>
        <w:t>，每天两次。</w:t>
      </w:r>
    </w:p>
    <w:p w:rsidRPr="003C684F" w:rsidR="009730C1" w:rsidRDefault="00A315B9" w14:paraId="41ED32CF" w14:textId="577D3FE2">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3.避免与CYP3A4/5</w:t>
      </w:r>
      <w:r w:rsidRPr="003C684F" w:rsidR="00FC3AE2">
        <w:rPr>
          <w:rFonts w:hint="eastAsia" w:ascii="仿宋" w:hAnsi="仿宋" w:eastAsia="仿宋" w:cs="仿宋"/>
          <w:sz w:val="32"/>
          <w:szCs w:val="32"/>
        </w:rPr>
        <w:t>强效</w:t>
      </w:r>
      <w:r w:rsidRPr="003C684F">
        <w:rPr>
          <w:rFonts w:hint="eastAsia" w:ascii="仿宋" w:hAnsi="仿宋" w:eastAsia="仿宋" w:cs="仿宋"/>
          <w:sz w:val="32"/>
          <w:szCs w:val="32"/>
        </w:rPr>
        <w:t>抑制剂或诱导剂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43C3079D" w14:textId="005853D4">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4.联合帕博利珠单抗治疗晚期肾透明细胞癌时，推荐阿昔替尼的剂量为5mg</w:t>
      </w:r>
      <w:r w:rsidRPr="003C684F" w:rsidR="00E46D6C">
        <w:rPr>
          <w:rFonts w:hint="eastAsia" w:ascii="仿宋" w:hAnsi="仿宋" w:eastAsia="仿宋" w:cs="仿宋"/>
          <w:sz w:val="32"/>
          <w:szCs w:val="32"/>
        </w:rPr>
        <w:t>/次</w:t>
      </w:r>
      <w:r w:rsidRPr="003C684F">
        <w:rPr>
          <w:rFonts w:hint="eastAsia" w:ascii="仿宋" w:hAnsi="仿宋" w:eastAsia="仿宋" w:cs="仿宋"/>
          <w:sz w:val="32"/>
          <w:szCs w:val="32"/>
        </w:rPr>
        <w:t>，每天两次，如能耐受，可考虑剂量滴定。联合治疗期间帕博利珠单抗的用药要点请参见“帕博利珠单抗”部分。</w:t>
      </w:r>
    </w:p>
    <w:p w:rsidRPr="003C684F" w:rsidR="009730C1" w:rsidP="0037660B" w:rsidRDefault="00A315B9" w14:paraId="2C07F8C3"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五、依维莫司 Everolimus</w:t>
      </w:r>
    </w:p>
    <w:p w:rsidRPr="003C684F" w:rsidR="009730C1" w:rsidRDefault="00A315B9" w14:paraId="48DF2BCD"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片剂：2.5mg、5mg、10mg</w:t>
      </w:r>
    </w:p>
    <w:p w:rsidRPr="003C684F" w:rsidR="009730C1" w:rsidP="00D7335D" w:rsidRDefault="00A315B9" w14:paraId="34A044F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lastRenderedPageBreak/>
        <w:t>适应证：</w:t>
      </w:r>
      <w:r w:rsidRPr="003C684F">
        <w:rPr>
          <w:rFonts w:hint="eastAsia" w:ascii="仿宋" w:hAnsi="仿宋" w:eastAsia="仿宋" w:cs="仿宋"/>
          <w:sz w:val="32"/>
          <w:szCs w:val="32"/>
        </w:rPr>
        <w:t>既往接受舒尼替尼或索拉非尼治疗失败的晚期肾细胞癌，数据主要基于透明细胞肾癌。</w:t>
      </w:r>
    </w:p>
    <w:p w:rsidRPr="003C684F" w:rsidR="009730C1" w:rsidRDefault="00A315B9" w14:paraId="0381B9DB"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9730C1" w:rsidRDefault="00A315B9" w14:paraId="22C3B40B" w14:textId="1545030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1.单药使用时的推荐剂量为</w:t>
      </w:r>
      <w:r w:rsidRPr="003C684F">
        <w:rPr>
          <w:rFonts w:ascii="仿宋" w:hAnsi="仿宋" w:eastAsia="仿宋" w:cs="仿宋"/>
          <w:sz w:val="32"/>
          <w:szCs w:val="32"/>
        </w:rPr>
        <w:t>10</w:t>
      </w:r>
      <w:r w:rsidRPr="003C684F">
        <w:rPr>
          <w:rFonts w:hint="eastAsia" w:ascii="仿宋" w:hAnsi="仿宋" w:eastAsia="仿宋" w:cs="仿宋"/>
          <w:sz w:val="32"/>
          <w:szCs w:val="32"/>
        </w:rPr>
        <w:t>mg</w:t>
      </w:r>
      <w:r w:rsidRPr="003C684F" w:rsidR="009E7012">
        <w:rPr>
          <w:rFonts w:hint="eastAsia" w:ascii="仿宋" w:hAnsi="仿宋" w:eastAsia="仿宋" w:cs="仿宋"/>
          <w:sz w:val="32"/>
          <w:szCs w:val="32"/>
        </w:rPr>
        <w:t>/次</w:t>
      </w:r>
      <w:r w:rsidRPr="003C684F">
        <w:rPr>
          <w:rFonts w:hint="eastAsia" w:ascii="仿宋" w:hAnsi="仿宋" w:eastAsia="仿宋" w:cs="仿宋"/>
          <w:sz w:val="32"/>
          <w:szCs w:val="32"/>
        </w:rPr>
        <w:t>，每天一次，口服；与仑伐替尼联合时的推荐剂量为5</w:t>
      </w:r>
      <w:r w:rsidRPr="003C684F">
        <w:rPr>
          <w:rFonts w:ascii="仿宋" w:hAnsi="仿宋" w:eastAsia="仿宋" w:cs="仿宋"/>
          <w:sz w:val="32"/>
          <w:szCs w:val="32"/>
        </w:rPr>
        <w:t>mg</w:t>
      </w:r>
      <w:r w:rsidRPr="003C684F" w:rsidR="009E7012">
        <w:rPr>
          <w:rFonts w:hint="eastAsia" w:ascii="仿宋" w:hAnsi="仿宋" w:eastAsia="仿宋" w:cs="仿宋"/>
          <w:sz w:val="32"/>
          <w:szCs w:val="32"/>
        </w:rPr>
        <w:t>/次</w:t>
      </w:r>
      <w:r w:rsidRPr="003C684F">
        <w:rPr>
          <w:rFonts w:hint="eastAsia" w:ascii="仿宋" w:hAnsi="仿宋" w:eastAsia="仿宋" w:cs="仿宋"/>
          <w:sz w:val="32"/>
          <w:szCs w:val="32"/>
        </w:rPr>
        <w:t>，每天一次，口服。</w:t>
      </w:r>
    </w:p>
    <w:p w:rsidRPr="003C684F" w:rsidR="009730C1" w:rsidRDefault="00A315B9" w14:paraId="48DEC74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2.用药期间应特别注意可能发生非感染性肺炎；注意常见的口腔炎等。</w:t>
      </w:r>
    </w:p>
    <w:p w:rsidRPr="003C684F" w:rsidR="009730C1" w:rsidRDefault="00A315B9" w14:paraId="25902BB0" w14:textId="650A684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3.避免</w:t>
      </w:r>
      <w:r w:rsidRPr="003C684F" w:rsidR="00FC3AE2">
        <w:rPr>
          <w:rFonts w:hint="eastAsia" w:ascii="仿宋" w:hAnsi="仿宋" w:eastAsia="仿宋" w:cs="仿宋"/>
          <w:sz w:val="32"/>
          <w:szCs w:val="32"/>
        </w:rPr>
        <w:t>联合使用</w:t>
      </w:r>
      <w:r w:rsidRPr="003C684F">
        <w:rPr>
          <w:rFonts w:hint="eastAsia" w:ascii="仿宋" w:hAnsi="仿宋" w:eastAsia="仿宋" w:cs="仿宋"/>
          <w:sz w:val="32"/>
          <w:szCs w:val="32"/>
        </w:rPr>
        <w:t>CYP3A4</w:t>
      </w:r>
      <w:r w:rsidRPr="003C684F" w:rsidR="00FC3AE2">
        <w:rPr>
          <w:rFonts w:hint="eastAsia" w:ascii="仿宋" w:hAnsi="仿宋" w:eastAsia="仿宋" w:cs="仿宋"/>
          <w:sz w:val="32"/>
          <w:szCs w:val="32"/>
        </w:rPr>
        <w:t>强效</w:t>
      </w:r>
      <w:r w:rsidRPr="003C684F">
        <w:rPr>
          <w:rFonts w:hint="eastAsia" w:ascii="仿宋" w:hAnsi="仿宋" w:eastAsia="仿宋" w:cs="仿宋"/>
          <w:sz w:val="32"/>
          <w:szCs w:val="32"/>
        </w:rPr>
        <w:t>诱导剂</w:t>
      </w:r>
      <w:r w:rsidRPr="003C684F" w:rsidR="00364D54">
        <w:rPr>
          <w:rFonts w:hint="eastAsia" w:ascii="仿宋" w:hAnsi="仿宋" w:eastAsia="仿宋" w:cs="仿宋"/>
          <w:sz w:val="32"/>
          <w:szCs w:val="32"/>
        </w:rPr>
        <w:t>和CYP3A4</w:t>
      </w:r>
      <w:r w:rsidRPr="003C684F" w:rsidR="00FC3AE2">
        <w:rPr>
          <w:rFonts w:hint="eastAsia" w:ascii="仿宋" w:hAnsi="仿宋" w:eastAsia="仿宋" w:cs="仿宋"/>
          <w:sz w:val="32"/>
          <w:szCs w:val="32"/>
        </w:rPr>
        <w:t>强效</w:t>
      </w:r>
      <w:r w:rsidRPr="003C684F" w:rsidR="00364D54">
        <w:rPr>
          <w:rFonts w:hint="eastAsia" w:ascii="仿宋" w:hAnsi="仿宋" w:eastAsia="仿宋" w:cs="仿宋"/>
          <w:sz w:val="32"/>
          <w:szCs w:val="32"/>
        </w:rPr>
        <w:t>抑制剂</w:t>
      </w:r>
      <w:r w:rsidRPr="003C684F">
        <w:rPr>
          <w:rFonts w:hint="eastAsia" w:ascii="仿宋" w:hAnsi="仿宋" w:eastAsia="仿宋" w:cs="仿宋"/>
          <w:sz w:val="32"/>
          <w:szCs w:val="32"/>
        </w:rPr>
        <w:t>。</w:t>
      </w:r>
      <w:r w:rsidRPr="003C684F" w:rsidR="00D26364">
        <w:rPr>
          <w:rFonts w:hint="eastAsia" w:ascii="仿宋" w:hAnsi="仿宋" w:eastAsia="仿宋" w:cs="仿宋"/>
          <w:sz w:val="32"/>
          <w:szCs w:val="32"/>
        </w:rPr>
        <w:t>如与</w:t>
      </w:r>
      <w:r w:rsidRPr="003C684F" w:rsidR="00D26364">
        <w:rPr>
          <w:rFonts w:ascii="仿宋" w:hAnsi="仿宋" w:eastAsia="仿宋" w:cs="仿宋"/>
          <w:sz w:val="32"/>
          <w:szCs w:val="32"/>
        </w:rPr>
        <w:t>CYP3A4和P-糖蛋白中效抑制剂</w:t>
      </w:r>
      <w:r w:rsidRPr="003C684F" w:rsidR="00DE313C">
        <w:rPr>
          <w:rFonts w:hint="eastAsia" w:ascii="仿宋" w:hAnsi="仿宋" w:eastAsia="仿宋" w:cs="仿宋"/>
          <w:sz w:val="32"/>
          <w:szCs w:val="32"/>
        </w:rPr>
        <w:t>联合使用</w:t>
      </w:r>
      <w:r w:rsidRPr="003C684F" w:rsidR="00D26364">
        <w:rPr>
          <w:rFonts w:hint="eastAsia" w:ascii="仿宋" w:hAnsi="仿宋" w:eastAsia="仿宋" w:cs="仿宋"/>
          <w:sz w:val="32"/>
          <w:szCs w:val="32"/>
        </w:rPr>
        <w:t>，需下调本品剂量。</w:t>
      </w:r>
    </w:p>
    <w:p w:rsidRPr="003C684F" w:rsidR="009730C1" w:rsidRDefault="00A315B9" w14:paraId="26E8D58E"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.肝功能损伤会使依维莫司暴露量增加，按如下方式进行给药调整：（1）轻度肝功能损伤（Child-Pugh A级）：推荐剂量为每天7.5mg；如果不能很好地耐受，可将剂量降至每天5mg。（2）中度肝功能损伤（Child-Pugh B级）：推荐剂量是每天5mg；如果不能很好地耐受，可将剂量降至每天2.5mg。（3）重度肝功能损伤（Child-Pugh C级）：如果预期的获益高于风险，可以采用每天2.5mg，但不得超过这一剂量。</w:t>
      </w:r>
    </w:p>
    <w:p w:rsidRPr="003C684F" w:rsidR="009730C1" w:rsidRDefault="00717097" w14:paraId="4D558186" w14:textId="09BC38C9">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sidR="00A315B9">
        <w:rPr>
          <w:rFonts w:hint="eastAsia" w:ascii="仿宋" w:hAnsi="仿宋" w:eastAsia="仿宋" w:cs="仿宋"/>
          <w:sz w:val="32"/>
          <w:szCs w:val="32"/>
        </w:rPr>
        <w:t>.在本品治疗期间应避免接种活疫苗，避免与接种过活疫苗的人密切接触。</w:t>
      </w:r>
    </w:p>
    <w:p w:rsidRPr="003C684F" w:rsidR="00D7335D" w:rsidP="00364D54" w:rsidRDefault="00364D54" w14:paraId="6456E2D2" w14:textId="3605C6CD">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vertAlign w:val="superscript"/>
        </w:rPr>
        <w:t>※</w:t>
      </w:r>
      <w:r w:rsidRPr="003C684F" w:rsidR="00717097">
        <w:rPr>
          <w:rFonts w:hint="eastAsia" w:ascii="仿宋" w:hAnsi="仿宋" w:eastAsia="仿宋" w:cs="仿宋"/>
          <w:sz w:val="32"/>
          <w:szCs w:val="32"/>
        </w:rPr>
        <w:t>6</w:t>
      </w:r>
      <w:r w:rsidRPr="003C684F">
        <w:rPr>
          <w:rFonts w:hint="eastAsia" w:ascii="仿宋" w:hAnsi="仿宋" w:eastAsia="仿宋" w:cs="仿宋"/>
          <w:sz w:val="32"/>
          <w:szCs w:val="32"/>
        </w:rPr>
        <w:t>.美国FDA获批的其他适应证：</w:t>
      </w:r>
      <w:r w:rsidRPr="003C684F" w:rsidR="00D7335D">
        <w:rPr>
          <w:rFonts w:hint="eastAsia" w:ascii="仿宋" w:hAnsi="仿宋" w:eastAsia="仿宋" w:cs="仿宋"/>
          <w:sz w:val="32"/>
          <w:szCs w:val="32"/>
        </w:rPr>
        <w:t>本品与仑伐替尼</w:t>
      </w:r>
      <w:r w:rsidRPr="003C684F" w:rsidR="00DE313C">
        <w:rPr>
          <w:rFonts w:hint="eastAsia" w:ascii="仿宋" w:hAnsi="仿宋" w:eastAsia="仿宋" w:cs="仿宋"/>
          <w:sz w:val="32"/>
          <w:szCs w:val="32"/>
        </w:rPr>
        <w:t>联合使用</w:t>
      </w:r>
      <w:r w:rsidRPr="003C684F" w:rsidR="00D7335D">
        <w:rPr>
          <w:rFonts w:hint="eastAsia" w:ascii="仿宋" w:hAnsi="仿宋" w:eastAsia="仿宋" w:cs="仿宋"/>
          <w:sz w:val="32"/>
          <w:szCs w:val="32"/>
        </w:rPr>
        <w:t>治疗既往接受抗血管生成药物治疗失败或进展的晚期</w:t>
      </w:r>
      <w:r w:rsidRPr="003C684F" w:rsidR="00D7335D">
        <w:rPr>
          <w:rFonts w:hint="eastAsia" w:ascii="仿宋" w:hAnsi="仿宋" w:eastAsia="仿宋" w:cs="仿宋"/>
          <w:sz w:val="32"/>
          <w:szCs w:val="32"/>
        </w:rPr>
        <w:lastRenderedPageBreak/>
        <w:t>肾细胞癌。</w:t>
      </w:r>
    </w:p>
    <w:p w:rsidRPr="003C684F" w:rsidR="009730C1" w:rsidP="0037660B" w:rsidRDefault="003B5C35" w14:paraId="744876C4" w14:textId="77777777">
      <w:pPr>
        <w:spacing w:line="360" w:lineRule="auto"/>
        <w:ind w:firstLine="640" w:firstLineChars="200"/>
        <w:outlineLvl w:val="0"/>
        <w:rPr>
          <w:rFonts w:ascii="黑体" w:hAnsi="黑体" w:eastAsia="黑体" w:cs="仿宋"/>
          <w:sz w:val="32"/>
          <w:szCs w:val="32"/>
        </w:rPr>
      </w:pPr>
      <w:r w:rsidRPr="003C684F">
        <w:rPr>
          <w:rFonts w:hint="eastAsia" w:ascii="黑体" w:hAnsi="黑体" w:eastAsia="黑体" w:cs="仿宋"/>
          <w:sz w:val="32"/>
          <w:szCs w:val="32"/>
        </w:rPr>
        <w:t>六</w:t>
      </w:r>
      <w:r w:rsidRPr="003C684F" w:rsidR="00A315B9">
        <w:rPr>
          <w:rFonts w:hint="eastAsia" w:ascii="黑体" w:hAnsi="黑体" w:eastAsia="黑体" w:cs="仿宋"/>
          <w:sz w:val="32"/>
          <w:szCs w:val="32"/>
        </w:rPr>
        <w:t xml:space="preserve">、替雷利珠单抗 </w:t>
      </w:r>
      <w:r w:rsidRPr="003C684F" w:rsidR="00A315B9">
        <w:rPr>
          <w:rFonts w:ascii="黑体" w:hAnsi="黑体" w:eastAsia="黑体" w:cs="仿宋"/>
          <w:sz w:val="32"/>
          <w:szCs w:val="32"/>
        </w:rPr>
        <w:t>Tislelizumab</w:t>
      </w:r>
    </w:p>
    <w:p w:rsidRPr="003C684F" w:rsidR="009730C1" w:rsidRDefault="00A315B9" w14:paraId="1B012D4C" w14:textId="77777777">
      <w:pPr>
        <w:spacing w:line="360" w:lineRule="auto"/>
        <w:ind w:firstLine="643" w:firstLineChars="200"/>
        <w:rPr>
          <w:rFonts w:ascii="仿宋" w:hAnsi="仿宋" w:eastAsia="仿宋" w:cs="仿宋"/>
          <w:bCs/>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bCs/>
          <w:sz w:val="32"/>
          <w:szCs w:val="32"/>
        </w:rPr>
        <w:t>注射</w:t>
      </w:r>
      <w:r w:rsidRPr="003C684F" w:rsidR="004D5E71">
        <w:rPr>
          <w:rFonts w:hint="eastAsia" w:ascii="仿宋" w:hAnsi="仿宋" w:eastAsia="仿宋" w:cs="仿宋"/>
          <w:bCs/>
          <w:sz w:val="32"/>
          <w:szCs w:val="32"/>
        </w:rPr>
        <w:t>剂</w:t>
      </w:r>
      <w:r w:rsidRPr="003C684F">
        <w:rPr>
          <w:rFonts w:hint="eastAsia" w:ascii="仿宋" w:hAnsi="仿宋" w:eastAsia="仿宋" w:cs="仿宋"/>
          <w:bCs/>
          <w:sz w:val="32"/>
          <w:szCs w:val="32"/>
        </w:rPr>
        <w:t>：</w:t>
      </w:r>
      <w:r w:rsidRPr="003C684F">
        <w:rPr>
          <w:rFonts w:ascii="仿宋" w:hAnsi="仿宋" w:eastAsia="仿宋" w:cs="仿宋"/>
          <w:bCs/>
          <w:sz w:val="32"/>
          <w:szCs w:val="32"/>
        </w:rPr>
        <w:t>100mg（10ml）/瓶</w:t>
      </w:r>
    </w:p>
    <w:p w:rsidRPr="003C684F" w:rsidR="009730C1" w:rsidRDefault="00A315B9" w14:paraId="17338C43" w14:textId="77777777">
      <w:pPr>
        <w:spacing w:line="360" w:lineRule="auto"/>
        <w:ind w:firstLine="643" w:firstLineChars="200"/>
        <w:rPr>
          <w:rFonts w:ascii="仿宋" w:hAnsi="仿宋" w:eastAsia="仿宋" w:cs="仿宋"/>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适用于</w:t>
      </w:r>
      <w:r w:rsidRPr="003C684F">
        <w:rPr>
          <w:rFonts w:ascii="仿宋" w:hAnsi="仿宋" w:eastAsia="仿宋" w:cs="仿宋"/>
          <w:bCs/>
          <w:sz w:val="32"/>
          <w:szCs w:val="32"/>
        </w:rPr>
        <w:t>PD-L1</w:t>
      </w:r>
      <w:r w:rsidRPr="003C684F">
        <w:rPr>
          <w:rFonts w:hint="eastAsia" w:ascii="仿宋" w:hAnsi="仿宋" w:eastAsia="仿宋" w:cs="仿宋"/>
          <w:bCs/>
          <w:sz w:val="32"/>
          <w:szCs w:val="32"/>
        </w:rPr>
        <w:t>高表达的含铂化疗失败包括新辅助或辅助化疗</w:t>
      </w:r>
      <w:r w:rsidRPr="003C684F">
        <w:rPr>
          <w:rFonts w:ascii="仿宋" w:hAnsi="仿宋" w:eastAsia="仿宋" w:cs="仿宋"/>
          <w:bCs/>
          <w:sz w:val="32"/>
          <w:szCs w:val="32"/>
        </w:rPr>
        <w:t>12</w:t>
      </w:r>
      <w:r w:rsidRPr="003C684F">
        <w:rPr>
          <w:rFonts w:hint="eastAsia" w:ascii="仿宋" w:hAnsi="仿宋" w:eastAsia="仿宋" w:cs="仿宋"/>
          <w:bCs/>
          <w:sz w:val="32"/>
          <w:szCs w:val="32"/>
        </w:rPr>
        <w:t>个月内进展的局部晚期或转移性尿路上皮癌的治疗。</w:t>
      </w:r>
    </w:p>
    <w:p w:rsidRPr="003C684F" w:rsidR="009730C1" w:rsidRDefault="00A315B9" w14:paraId="2F989D0A"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合理用药要点：</w:t>
      </w:r>
    </w:p>
    <w:p w:rsidRPr="003C684F" w:rsidR="009730C1" w:rsidRDefault="00A315B9" w14:paraId="0CCD530A"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1.应该按照相关疾病指南，治疗前做基线评估，</w:t>
      </w:r>
      <w:r w:rsidRPr="003C684F">
        <w:rPr>
          <w:rFonts w:hint="eastAsia" w:ascii="仿宋" w:hAnsi="仿宋" w:eastAsia="仿宋" w:cs="仿宋"/>
          <w:bCs/>
          <w:sz w:val="32"/>
          <w:szCs w:val="32"/>
        </w:rPr>
        <w:t>特别是肿瘤组织的P</w:t>
      </w:r>
      <w:r w:rsidRPr="003C684F">
        <w:rPr>
          <w:rFonts w:ascii="仿宋" w:hAnsi="仿宋" w:eastAsia="仿宋" w:cs="仿宋"/>
          <w:bCs/>
          <w:sz w:val="32"/>
          <w:szCs w:val="32"/>
        </w:rPr>
        <w:t>D-L1</w:t>
      </w:r>
      <w:r w:rsidRPr="003C684F">
        <w:rPr>
          <w:rFonts w:hint="eastAsia" w:ascii="仿宋" w:hAnsi="仿宋" w:eastAsia="仿宋" w:cs="仿宋"/>
          <w:bCs/>
          <w:sz w:val="32"/>
          <w:szCs w:val="32"/>
        </w:rPr>
        <w:t>表达情况检测，治疗期间定期监测治疗反应及毒性。</w:t>
      </w:r>
    </w:p>
    <w:p w:rsidRPr="003C684F" w:rsidR="009730C1" w:rsidRDefault="00A315B9" w14:paraId="3BF76845" w14:textId="0809F19D">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2.推荐剂量为200mg</w:t>
      </w:r>
      <w:r w:rsidRPr="003C684F" w:rsidR="009E7012">
        <w:rPr>
          <w:rFonts w:hint="eastAsia" w:ascii="仿宋" w:hAnsi="仿宋" w:eastAsia="仿宋" w:cs="仿宋"/>
          <w:bCs/>
          <w:sz w:val="32"/>
          <w:szCs w:val="32"/>
        </w:rPr>
        <w:t>/次</w:t>
      </w:r>
      <w:r w:rsidRPr="003C684F">
        <w:rPr>
          <w:rFonts w:ascii="仿宋" w:hAnsi="仿宋" w:eastAsia="仿宋" w:cs="仿宋"/>
          <w:bCs/>
          <w:sz w:val="32"/>
          <w:szCs w:val="32"/>
        </w:rPr>
        <w:t>，</w:t>
      </w:r>
      <w:r w:rsidRPr="003C684F" w:rsidR="0071399F">
        <w:rPr>
          <w:rFonts w:ascii="仿宋" w:hAnsi="仿宋" w:eastAsia="仿宋" w:cs="仿宋"/>
          <w:bCs/>
          <w:sz w:val="32"/>
          <w:szCs w:val="32"/>
        </w:rPr>
        <w:t>每3周一次</w:t>
      </w:r>
      <w:r w:rsidRPr="003C684F">
        <w:rPr>
          <w:rFonts w:hint="eastAsia" w:ascii="仿宋" w:hAnsi="仿宋" w:eastAsia="仿宋" w:cs="仿宋"/>
          <w:bCs/>
          <w:sz w:val="32"/>
          <w:szCs w:val="32"/>
        </w:rPr>
        <w:t>，</w:t>
      </w:r>
      <w:r w:rsidRPr="003C684F" w:rsidR="009E7012">
        <w:rPr>
          <w:rFonts w:hint="eastAsia" w:ascii="仿宋" w:hAnsi="仿宋" w:eastAsia="仿宋" w:cs="仿宋"/>
          <w:bCs/>
          <w:sz w:val="32"/>
          <w:szCs w:val="32"/>
        </w:rPr>
        <w:t>静脉输注，</w:t>
      </w:r>
      <w:r w:rsidRPr="003C684F">
        <w:rPr>
          <w:rFonts w:hint="eastAsia" w:ascii="仿宋" w:hAnsi="仿宋" w:eastAsia="仿宋" w:cs="仿宋"/>
          <w:bCs/>
          <w:sz w:val="32"/>
          <w:szCs w:val="32"/>
        </w:rPr>
        <w:t>直至</w:t>
      </w:r>
      <w:r w:rsidRPr="003C684F" w:rsidR="00B95507">
        <w:rPr>
          <w:rFonts w:hint="eastAsia" w:ascii="仿宋" w:hAnsi="仿宋" w:eastAsia="仿宋" w:cs="仿宋"/>
          <w:bCs/>
          <w:sz w:val="32"/>
          <w:szCs w:val="32"/>
        </w:rPr>
        <w:t>疾病进展或出现不可耐受的毒性。</w:t>
      </w:r>
    </w:p>
    <w:p w:rsidRPr="003C684F" w:rsidR="009730C1" w:rsidRDefault="00A315B9" w14:paraId="1D67FD67" w14:textId="7F714478">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3.对于疑似免疫相关性不良反应，应进行充分的评估以确认病因或排除其他病因，根据个体患者的安全性和耐受性，可能需要暂停给药或</w:t>
      </w:r>
      <w:r w:rsidRPr="003C684F" w:rsidR="00373DC1">
        <w:rPr>
          <w:rFonts w:ascii="仿宋" w:hAnsi="仿宋" w:eastAsia="仿宋" w:cs="仿宋"/>
          <w:bCs/>
          <w:sz w:val="32"/>
          <w:szCs w:val="32"/>
        </w:rPr>
        <w:t>永久停用</w:t>
      </w:r>
      <w:r w:rsidRPr="003C684F">
        <w:rPr>
          <w:rFonts w:ascii="仿宋" w:hAnsi="仿宋" w:eastAsia="仿宋" w:cs="仿宋"/>
          <w:bCs/>
          <w:sz w:val="32"/>
          <w:szCs w:val="32"/>
        </w:rPr>
        <w:t>。</w:t>
      </w:r>
    </w:p>
    <w:p w:rsidRPr="003C684F" w:rsidR="009730C1" w:rsidRDefault="00A315B9" w14:paraId="39712632"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4.</w:t>
      </w:r>
      <w:r w:rsidRPr="003C684F">
        <w:rPr>
          <w:rFonts w:hint="eastAsia" w:ascii="仿宋" w:hAnsi="仿宋" w:eastAsia="仿宋" w:cs="仿宋"/>
          <w:bCs/>
          <w:sz w:val="32"/>
          <w:szCs w:val="32"/>
        </w:rPr>
        <w:t>目前尚无针对重度肝肾功能损伤患者的研究数据，中重度肝功能损伤以及重度肾功能损伤患者不推荐使用。轻度肝功能损伤及轻中度肾功能损伤的患者应在医生指导下谨慎使用，如需使用，无需进行剂量调整。</w:t>
      </w:r>
    </w:p>
    <w:p w:rsidRPr="003C684F" w:rsidR="009730C1" w:rsidRDefault="00A315B9" w14:paraId="44D31478"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5.</w:t>
      </w:r>
      <w:r w:rsidRPr="003C684F">
        <w:rPr>
          <w:rFonts w:hint="eastAsia" w:ascii="仿宋" w:hAnsi="仿宋" w:eastAsia="仿宋" w:cs="仿宋"/>
          <w:bCs/>
          <w:sz w:val="32"/>
          <w:szCs w:val="32"/>
        </w:rPr>
        <w:t>建议哺乳期妇女在接受本品治疗期间及末次给药后至少</w:t>
      </w:r>
      <w:r w:rsidRPr="003C684F">
        <w:rPr>
          <w:rFonts w:ascii="仿宋" w:hAnsi="仿宋" w:eastAsia="仿宋" w:cs="仿宋"/>
          <w:bCs/>
          <w:sz w:val="32"/>
          <w:szCs w:val="32"/>
        </w:rPr>
        <w:t>5</w:t>
      </w:r>
      <w:r w:rsidRPr="003C684F">
        <w:rPr>
          <w:rFonts w:hint="eastAsia" w:ascii="仿宋" w:hAnsi="仿宋" w:eastAsia="仿宋" w:cs="仿宋"/>
          <w:bCs/>
          <w:sz w:val="32"/>
          <w:szCs w:val="32"/>
        </w:rPr>
        <w:t>个月内停止哺乳。育龄期妇女在接受本品治疗期间，以及最后一次本品给药后至少</w:t>
      </w:r>
      <w:r w:rsidRPr="003C684F">
        <w:rPr>
          <w:rFonts w:ascii="仿宋" w:hAnsi="仿宋" w:eastAsia="仿宋" w:cs="仿宋"/>
          <w:bCs/>
          <w:sz w:val="32"/>
          <w:szCs w:val="32"/>
        </w:rPr>
        <w:t>5</w:t>
      </w:r>
      <w:r w:rsidRPr="003C684F">
        <w:rPr>
          <w:rFonts w:hint="eastAsia" w:ascii="仿宋" w:hAnsi="仿宋" w:eastAsia="仿宋" w:cs="仿宋"/>
          <w:bCs/>
          <w:sz w:val="32"/>
          <w:szCs w:val="32"/>
        </w:rPr>
        <w:t>个月内应采用有效避孕措施。</w:t>
      </w:r>
    </w:p>
    <w:p w:rsidRPr="003C684F" w:rsidR="009730C1" w:rsidRDefault="003B5C35" w14:paraId="70C5244B" w14:textId="77777777">
      <w:pPr>
        <w:spacing w:line="360" w:lineRule="auto"/>
        <w:ind w:firstLine="640" w:firstLineChars="200"/>
        <w:rPr>
          <w:rFonts w:ascii="黑体" w:hAnsi="黑体" w:eastAsia="黑体" w:cs="仿宋"/>
          <w:sz w:val="32"/>
          <w:szCs w:val="32"/>
        </w:rPr>
      </w:pPr>
      <w:r w:rsidRPr="003C684F">
        <w:rPr>
          <w:rFonts w:hint="eastAsia" w:ascii="黑体" w:hAnsi="黑体" w:eastAsia="黑体" w:cs="仿宋"/>
          <w:sz w:val="32"/>
          <w:szCs w:val="32"/>
        </w:rPr>
        <w:lastRenderedPageBreak/>
        <w:t>七</w:t>
      </w:r>
      <w:r w:rsidRPr="003C684F" w:rsidR="00A315B9">
        <w:rPr>
          <w:rFonts w:hint="eastAsia" w:ascii="黑体" w:hAnsi="黑体" w:eastAsia="黑体" w:cs="仿宋"/>
          <w:sz w:val="32"/>
          <w:szCs w:val="32"/>
        </w:rPr>
        <w:t xml:space="preserve">、特瑞普利单抗 </w:t>
      </w:r>
      <w:r w:rsidRPr="003C684F" w:rsidR="00A315B9">
        <w:rPr>
          <w:rFonts w:ascii="黑体" w:hAnsi="黑体" w:eastAsia="黑体" w:cs="仿宋"/>
          <w:sz w:val="32"/>
          <w:szCs w:val="32"/>
        </w:rPr>
        <w:t>Toripalimab</w:t>
      </w:r>
    </w:p>
    <w:p w:rsidRPr="003C684F" w:rsidR="009730C1" w:rsidRDefault="00A315B9" w14:paraId="560E563E" w14:textId="77777777">
      <w:pPr>
        <w:ind w:firstLine="643" w:firstLineChars="200"/>
        <w:rPr>
          <w:rFonts w:ascii="仿宋" w:hAnsi="仿宋" w:eastAsia="仿宋"/>
          <w:color w:val="000000"/>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bCs/>
          <w:sz w:val="32"/>
          <w:szCs w:val="32"/>
        </w:rPr>
        <w:t>：注射</w:t>
      </w:r>
      <w:r w:rsidRPr="003C684F" w:rsidR="00A71E51">
        <w:rPr>
          <w:rFonts w:hint="eastAsia" w:ascii="仿宋" w:hAnsi="仿宋" w:eastAsia="仿宋" w:cs="仿宋"/>
          <w:bCs/>
          <w:sz w:val="32"/>
          <w:szCs w:val="32"/>
        </w:rPr>
        <w:t>剂</w:t>
      </w:r>
      <w:r w:rsidRPr="003C684F">
        <w:rPr>
          <w:rFonts w:hint="eastAsia" w:ascii="仿宋" w:hAnsi="仿宋" w:eastAsia="仿宋" w:cs="仿宋"/>
          <w:bCs/>
          <w:sz w:val="32"/>
          <w:szCs w:val="32"/>
        </w:rPr>
        <w:t>：80mg（2ml）/瓶、240mg（6ml）/瓶</w:t>
      </w:r>
    </w:p>
    <w:p w:rsidRPr="003C684F" w:rsidR="009730C1" w:rsidRDefault="00A315B9" w14:paraId="7F0F723E" w14:textId="77777777">
      <w:pPr>
        <w:spacing w:line="360" w:lineRule="auto"/>
        <w:ind w:firstLine="643" w:firstLineChars="200"/>
        <w:rPr>
          <w:rFonts w:ascii="仿宋" w:hAnsi="仿宋" w:eastAsia="仿宋" w:cs="仿宋"/>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适用于含铂化疗失败包括新辅助或辅助化疗</w:t>
      </w:r>
      <w:r w:rsidRPr="003C684F">
        <w:rPr>
          <w:rFonts w:ascii="仿宋" w:hAnsi="仿宋" w:eastAsia="仿宋" w:cs="仿宋"/>
          <w:bCs/>
          <w:sz w:val="32"/>
          <w:szCs w:val="32"/>
        </w:rPr>
        <w:t>12个月内进展的局部晚期或转移性尿路上皮癌</w:t>
      </w:r>
      <w:r w:rsidRPr="003C684F">
        <w:rPr>
          <w:rFonts w:hint="eastAsia" w:ascii="仿宋" w:hAnsi="仿宋" w:eastAsia="仿宋" w:cs="仿宋"/>
          <w:bCs/>
          <w:sz w:val="32"/>
          <w:szCs w:val="32"/>
        </w:rPr>
        <w:t>。</w:t>
      </w:r>
    </w:p>
    <w:p w:rsidRPr="003C684F" w:rsidR="009730C1" w:rsidRDefault="00A315B9" w14:paraId="0E9EC00B"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合理用药要点：</w:t>
      </w:r>
    </w:p>
    <w:p w:rsidRPr="003C684F" w:rsidR="009730C1" w:rsidRDefault="00A315B9" w14:paraId="7B3A21DC" w14:textId="4BCF1336">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1.特瑞普利单抗推荐剂量为3mg/kg</w:t>
      </w:r>
      <w:r w:rsidRPr="003C684F" w:rsidR="008A15D5">
        <w:rPr>
          <w:rFonts w:hint="eastAsia" w:ascii="仿宋" w:hAnsi="仿宋" w:eastAsia="仿宋" w:cs="仿宋"/>
          <w:bCs/>
          <w:sz w:val="32"/>
          <w:szCs w:val="32"/>
        </w:rPr>
        <w:t>，</w:t>
      </w:r>
      <w:r w:rsidRPr="003C684F">
        <w:rPr>
          <w:rFonts w:ascii="仿宋" w:hAnsi="仿宋" w:eastAsia="仿宋" w:cs="仿宋"/>
          <w:bCs/>
          <w:sz w:val="32"/>
          <w:szCs w:val="32"/>
        </w:rPr>
        <w:t>每2周一</w:t>
      </w:r>
      <w:r w:rsidRPr="003C684F">
        <w:rPr>
          <w:rFonts w:hint="eastAsia" w:ascii="仿宋" w:hAnsi="仿宋" w:eastAsia="仿宋" w:cs="仿宋"/>
          <w:bCs/>
          <w:sz w:val="32"/>
          <w:szCs w:val="32"/>
        </w:rPr>
        <w:t>次，</w:t>
      </w:r>
      <w:r w:rsidRPr="003C684F" w:rsidR="008A15D5">
        <w:rPr>
          <w:rFonts w:ascii="仿宋" w:hAnsi="仿宋" w:eastAsia="仿宋" w:cs="仿宋"/>
          <w:bCs/>
          <w:sz w:val="32"/>
          <w:szCs w:val="32"/>
        </w:rPr>
        <w:t>静脉输注</w:t>
      </w:r>
      <w:r w:rsidRPr="003C684F" w:rsidR="008A15D5">
        <w:rPr>
          <w:rFonts w:hint="eastAsia" w:ascii="仿宋" w:hAnsi="仿宋" w:eastAsia="仿宋" w:cs="仿宋"/>
          <w:bCs/>
          <w:sz w:val="32"/>
          <w:szCs w:val="32"/>
        </w:rPr>
        <w:t>，</w:t>
      </w:r>
      <w:r w:rsidRPr="003C684F">
        <w:rPr>
          <w:rFonts w:hint="eastAsia" w:ascii="仿宋" w:hAnsi="仿宋" w:eastAsia="仿宋" w:cs="仿宋"/>
          <w:bCs/>
          <w:sz w:val="32"/>
          <w:szCs w:val="32"/>
        </w:rPr>
        <w:t>直至</w:t>
      </w:r>
      <w:r w:rsidRPr="003C684F" w:rsidR="00B95507">
        <w:rPr>
          <w:rFonts w:hint="eastAsia" w:ascii="仿宋" w:hAnsi="仿宋" w:eastAsia="仿宋" w:cs="仿宋"/>
          <w:bCs/>
          <w:sz w:val="32"/>
          <w:szCs w:val="32"/>
        </w:rPr>
        <w:t>疾病进展或出现不可耐受的毒性。</w:t>
      </w:r>
    </w:p>
    <w:p w:rsidRPr="003C684F" w:rsidR="009730C1" w:rsidRDefault="00A315B9" w14:paraId="0031FA26"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2.特瑞普利单抗在中重度肝肾功能损伤</w:t>
      </w:r>
      <w:r w:rsidRPr="003C684F">
        <w:rPr>
          <w:rFonts w:hint="eastAsia" w:ascii="仿宋" w:hAnsi="仿宋" w:eastAsia="仿宋" w:cs="仿宋"/>
          <w:bCs/>
          <w:sz w:val="32"/>
          <w:szCs w:val="32"/>
        </w:rPr>
        <w:t>中使用的安全性及有效性尚未建立，不推荐用于中重度肝肾功能损伤的患者。轻度肝肾功能损伤的患者应在医生指导下使用，无需进行剂量调整。</w:t>
      </w:r>
    </w:p>
    <w:p w:rsidRPr="003C684F" w:rsidR="009730C1" w:rsidRDefault="00A315B9" w14:paraId="185635C9" w14:textId="3954F999">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3.</w:t>
      </w:r>
      <w:r w:rsidRPr="003C684F">
        <w:rPr>
          <w:rFonts w:hint="eastAsia" w:ascii="仿宋" w:hAnsi="仿宋" w:eastAsia="仿宋" w:cs="仿宋"/>
          <w:bCs/>
          <w:sz w:val="32"/>
          <w:szCs w:val="32"/>
        </w:rPr>
        <w:t>老年患者（≥65岁）建议在医生的指导下使用，无需进行剂量调整；</w:t>
      </w:r>
      <w:r w:rsidRPr="003C684F" w:rsidR="007811E9">
        <w:rPr>
          <w:rFonts w:hint="eastAsia" w:ascii="仿宋" w:hAnsi="仿宋" w:eastAsia="仿宋" w:cs="仿宋"/>
          <w:bCs/>
          <w:sz w:val="32"/>
          <w:szCs w:val="32"/>
        </w:rPr>
        <w:t>尚未确定本品</w:t>
      </w:r>
      <w:r w:rsidRPr="003C684F" w:rsidR="00922D41">
        <w:rPr>
          <w:rFonts w:hint="eastAsia" w:ascii="仿宋" w:hAnsi="仿宋" w:eastAsia="仿宋" w:cs="仿宋"/>
          <w:bCs/>
          <w:sz w:val="32"/>
          <w:szCs w:val="32"/>
        </w:rPr>
        <w:t>在</w:t>
      </w:r>
      <w:r w:rsidRPr="003C684F" w:rsidR="00D61FBA">
        <w:rPr>
          <w:rFonts w:hint="eastAsia" w:ascii="仿宋" w:hAnsi="仿宋" w:eastAsia="仿宋" w:cs="仿宋"/>
          <w:bCs/>
          <w:sz w:val="32"/>
          <w:szCs w:val="32"/>
        </w:rPr>
        <w:t>18岁以下儿童和青少年患者</w:t>
      </w:r>
      <w:r w:rsidRPr="003C684F">
        <w:rPr>
          <w:rFonts w:hint="eastAsia" w:ascii="仿宋" w:hAnsi="仿宋" w:eastAsia="仿宋" w:cs="仿宋"/>
          <w:bCs/>
          <w:sz w:val="32"/>
          <w:szCs w:val="32"/>
        </w:rPr>
        <w:t>的安全性和有效性。</w:t>
      </w:r>
    </w:p>
    <w:p w:rsidRPr="003C684F" w:rsidR="009730C1" w:rsidRDefault="00A315B9" w14:paraId="3E5A196B"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4.特瑞普利单抗首次静脉输注时间至少60分钟，如果第1次输注耐受良好，则第2次输注时间可以缩短至30分钟，如果患者对30分钟的输注也具有良好的耐受性，后续所有输注均可在30分钟完成，不得采用静脉推注或单次快速静脉注射给药</w:t>
      </w:r>
      <w:r w:rsidRPr="003C684F">
        <w:rPr>
          <w:rFonts w:hint="eastAsia" w:ascii="仿宋" w:hAnsi="仿宋" w:eastAsia="仿宋" w:cs="仿宋"/>
          <w:bCs/>
          <w:sz w:val="32"/>
          <w:szCs w:val="32"/>
        </w:rPr>
        <w:t>。</w:t>
      </w:r>
    </w:p>
    <w:p w:rsidRPr="003C684F" w:rsidR="009730C1" w:rsidRDefault="00A315B9" w14:paraId="218DE4F6" w14:textId="1D659C6A">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5.免疫相关性不良反应可发生在特瑞普利单抗治疗期间及停药以后，可能累及任何组织器官。对于疑似免疫相关</w:t>
      </w:r>
      <w:r w:rsidRPr="003C684F">
        <w:rPr>
          <w:rFonts w:ascii="仿宋" w:hAnsi="仿宋" w:eastAsia="仿宋" w:cs="仿宋"/>
          <w:bCs/>
          <w:sz w:val="32"/>
          <w:szCs w:val="32"/>
        </w:rPr>
        <w:lastRenderedPageBreak/>
        <w:t>性不良反应，应进行充分的评估以及排除其他原因。</w:t>
      </w:r>
      <w:r w:rsidRPr="003C684F" w:rsidR="001B5AA3">
        <w:rPr>
          <w:rFonts w:hint="eastAsia" w:ascii="仿宋" w:hAnsi="仿宋" w:eastAsia="仿宋" w:cs="仿宋"/>
          <w:bCs/>
          <w:sz w:val="32"/>
          <w:szCs w:val="32"/>
        </w:rPr>
        <w:t>大多数免疫相关性不良反应是可逆的，并且可通过暂时停用特瑞普利单抗，</w:t>
      </w:r>
      <w:r w:rsidRPr="003C684F" w:rsidR="00C06C4C">
        <w:rPr>
          <w:rFonts w:hint="eastAsia" w:ascii="仿宋" w:hAnsi="仿宋" w:eastAsia="仿宋" w:cs="仿宋"/>
          <w:bCs/>
          <w:sz w:val="32"/>
          <w:szCs w:val="32"/>
        </w:rPr>
        <w:t>使</w:t>
      </w:r>
      <w:r w:rsidRPr="003C684F" w:rsidR="001B5AA3">
        <w:rPr>
          <w:rFonts w:hint="eastAsia" w:ascii="仿宋" w:hAnsi="仿宋" w:eastAsia="仿宋" w:cs="仿宋"/>
          <w:bCs/>
          <w:sz w:val="32"/>
          <w:szCs w:val="32"/>
        </w:rPr>
        <w:t>用糖皮质激素治疗和/或支持治疗来处理。</w:t>
      </w:r>
      <w:r w:rsidRPr="003C684F">
        <w:rPr>
          <w:rFonts w:ascii="仿宋" w:hAnsi="仿宋" w:eastAsia="仿宋" w:cs="仿宋"/>
          <w:bCs/>
          <w:sz w:val="32"/>
          <w:szCs w:val="32"/>
        </w:rPr>
        <w:t>对于大部分3</w:t>
      </w:r>
      <w:r w:rsidRPr="003C684F">
        <w:rPr>
          <w:rFonts w:hint="eastAsia" w:ascii="仿宋" w:hAnsi="仿宋" w:eastAsia="仿宋" w:cs="仿宋"/>
          <w:bCs/>
          <w:sz w:val="32"/>
          <w:szCs w:val="32"/>
        </w:rPr>
        <w:t>～</w:t>
      </w:r>
      <w:r w:rsidRPr="003C684F">
        <w:rPr>
          <w:rFonts w:ascii="仿宋" w:hAnsi="仿宋" w:eastAsia="仿宋" w:cs="仿宋"/>
          <w:bCs/>
          <w:sz w:val="32"/>
          <w:szCs w:val="32"/>
        </w:rPr>
        <w:t>4级及某些特</w:t>
      </w:r>
      <w:r w:rsidRPr="003C684F">
        <w:rPr>
          <w:rFonts w:hint="eastAsia" w:ascii="仿宋" w:hAnsi="仿宋" w:eastAsia="仿宋" w:cs="仿宋"/>
          <w:bCs/>
          <w:sz w:val="32"/>
          <w:szCs w:val="32"/>
        </w:rPr>
        <w:t>定</w:t>
      </w:r>
      <w:r w:rsidRPr="003C684F">
        <w:rPr>
          <w:rFonts w:ascii="仿宋" w:hAnsi="仿宋" w:eastAsia="仿宋" w:cs="仿宋"/>
          <w:bCs/>
          <w:sz w:val="32"/>
          <w:szCs w:val="32"/>
        </w:rPr>
        <w:t>的2级免疫相关性不良反应需暂停给药，对于</w:t>
      </w:r>
      <w:r w:rsidRPr="003C684F">
        <w:rPr>
          <w:rFonts w:hint="eastAsia" w:ascii="仿宋" w:hAnsi="仿宋" w:eastAsia="仿宋" w:cs="仿宋"/>
          <w:bCs/>
          <w:sz w:val="32"/>
          <w:szCs w:val="32"/>
        </w:rPr>
        <w:t>4</w:t>
      </w:r>
      <w:r w:rsidRPr="003C684F">
        <w:rPr>
          <w:rFonts w:ascii="仿宋" w:hAnsi="仿宋" w:eastAsia="仿宋" w:cs="仿宋"/>
          <w:bCs/>
          <w:sz w:val="32"/>
          <w:szCs w:val="32"/>
        </w:rPr>
        <w:t>级及某些特定的3级免疫相关性不良反应需</w:t>
      </w:r>
      <w:r w:rsidRPr="003C684F" w:rsidR="00373DC1">
        <w:rPr>
          <w:rFonts w:ascii="仿宋" w:hAnsi="仿宋" w:eastAsia="仿宋" w:cs="仿宋"/>
          <w:bCs/>
          <w:sz w:val="32"/>
          <w:szCs w:val="32"/>
        </w:rPr>
        <w:t>永久停用</w:t>
      </w:r>
      <w:r w:rsidRPr="003C684F">
        <w:rPr>
          <w:rFonts w:ascii="仿宋" w:hAnsi="仿宋" w:eastAsia="仿宋" w:cs="仿宋"/>
          <w:bCs/>
          <w:sz w:val="32"/>
          <w:szCs w:val="32"/>
        </w:rPr>
        <w:t>。</w:t>
      </w:r>
    </w:p>
    <w:p w:rsidRPr="003C684F" w:rsidR="009730C1" w:rsidRDefault="00A315B9" w14:paraId="5B957B2C" w14:textId="0C4855F6">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6.特瑞普利单抗不经</w:t>
      </w:r>
      <w:r w:rsidRPr="003C684F">
        <w:rPr>
          <w:rFonts w:hint="eastAsia" w:ascii="仿宋" w:hAnsi="仿宋" w:eastAsia="仿宋" w:cs="仿宋"/>
          <w:bCs/>
          <w:sz w:val="32"/>
          <w:szCs w:val="32"/>
        </w:rPr>
        <w:t>CY</w:t>
      </w:r>
      <w:r w:rsidRPr="003C684F">
        <w:rPr>
          <w:rFonts w:ascii="仿宋" w:hAnsi="仿宋" w:eastAsia="仿宋" w:cs="仿宋"/>
          <w:bCs/>
          <w:sz w:val="32"/>
          <w:szCs w:val="32"/>
        </w:rPr>
        <w:t>P450酶或其他药物代谢酶代谢，因此</w:t>
      </w:r>
      <w:r w:rsidRPr="003C684F" w:rsidR="00C3674D">
        <w:rPr>
          <w:rFonts w:hint="eastAsia" w:ascii="仿宋" w:hAnsi="仿宋" w:eastAsia="仿宋" w:cs="仿宋"/>
          <w:bCs/>
          <w:sz w:val="32"/>
          <w:szCs w:val="32"/>
        </w:rPr>
        <w:t>联合</w:t>
      </w:r>
      <w:r w:rsidRPr="003C684F">
        <w:rPr>
          <w:rFonts w:ascii="仿宋" w:hAnsi="仿宋" w:eastAsia="仿宋" w:cs="仿宋"/>
          <w:bCs/>
          <w:sz w:val="32"/>
          <w:szCs w:val="32"/>
        </w:rPr>
        <w:t>使用的药物对这些酶的抑制或诱导作用预期不会影响特瑞普利单抗的药代动力学</w:t>
      </w:r>
      <w:r w:rsidRPr="003C684F">
        <w:rPr>
          <w:rFonts w:hint="eastAsia" w:ascii="仿宋" w:hAnsi="仿宋" w:eastAsia="仿宋" w:cs="仿宋"/>
          <w:bCs/>
          <w:sz w:val="32"/>
          <w:szCs w:val="32"/>
        </w:rPr>
        <w:t>。</w:t>
      </w:r>
    </w:p>
    <w:p w:rsidRPr="003C684F" w:rsidR="009730C1" w:rsidP="0037660B" w:rsidRDefault="003B5C35" w14:paraId="10A31D9B" w14:textId="77777777">
      <w:pPr>
        <w:spacing w:line="360" w:lineRule="auto"/>
        <w:ind w:firstLine="640" w:firstLineChars="200"/>
        <w:outlineLvl w:val="0"/>
        <w:rPr>
          <w:rFonts w:ascii="黑体" w:hAnsi="黑体" w:eastAsia="黑体" w:cs="仿宋"/>
          <w:sz w:val="32"/>
          <w:szCs w:val="32"/>
        </w:rPr>
      </w:pPr>
      <w:r w:rsidRPr="003C684F">
        <w:rPr>
          <w:rFonts w:hint="eastAsia" w:ascii="黑体" w:hAnsi="黑体" w:eastAsia="黑体" w:cs="仿宋"/>
          <w:sz w:val="32"/>
          <w:szCs w:val="32"/>
        </w:rPr>
        <w:t>八</w:t>
      </w:r>
      <w:r w:rsidRPr="003C684F" w:rsidR="00A315B9">
        <w:rPr>
          <w:rFonts w:hint="eastAsia" w:ascii="黑体" w:hAnsi="黑体" w:eastAsia="黑体" w:cs="仿宋"/>
          <w:sz w:val="32"/>
          <w:szCs w:val="32"/>
        </w:rPr>
        <w:t xml:space="preserve">、维迪西妥单抗 </w:t>
      </w:r>
      <w:r w:rsidRPr="003C684F" w:rsidR="00A315B9">
        <w:rPr>
          <w:rFonts w:ascii="黑体" w:hAnsi="黑体" w:eastAsia="黑体" w:cs="仿宋"/>
          <w:sz w:val="32"/>
          <w:szCs w:val="32"/>
        </w:rPr>
        <w:t>DisitamabVedotin</w:t>
      </w:r>
    </w:p>
    <w:p w:rsidRPr="003C684F" w:rsidR="009730C1" w:rsidRDefault="00A315B9" w14:paraId="5CB375E2"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黑体"/>
          <w:sz w:val="32"/>
          <w:szCs w:val="32"/>
        </w:rPr>
        <w:t>注射用冻干粉针</w:t>
      </w:r>
      <w:r w:rsidRPr="003C684F" w:rsidR="001F2411">
        <w:rPr>
          <w:rFonts w:hint="eastAsia" w:ascii="仿宋" w:hAnsi="仿宋" w:eastAsia="仿宋" w:cs="黑体"/>
          <w:sz w:val="32"/>
          <w:szCs w:val="32"/>
        </w:rPr>
        <w:t>剂</w:t>
      </w:r>
      <w:r w:rsidRPr="003C684F">
        <w:rPr>
          <w:rFonts w:hint="eastAsia" w:ascii="仿宋" w:hAnsi="仿宋" w:eastAsia="仿宋" w:cs="黑体"/>
          <w:sz w:val="32"/>
          <w:szCs w:val="32"/>
        </w:rPr>
        <w:t>：</w:t>
      </w:r>
      <w:r w:rsidRPr="003C684F">
        <w:rPr>
          <w:rFonts w:ascii="仿宋" w:hAnsi="仿宋" w:eastAsia="仿宋" w:cs="黑体"/>
          <w:sz w:val="32"/>
          <w:szCs w:val="32"/>
        </w:rPr>
        <w:t>60mg</w:t>
      </w:r>
    </w:p>
    <w:p w:rsidRPr="003C684F" w:rsidR="009730C1" w:rsidRDefault="00A315B9" w14:paraId="6BBE503E"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适应证：</w:t>
      </w:r>
      <w:r w:rsidRPr="003C684F">
        <w:rPr>
          <w:rFonts w:hint="eastAsia" w:ascii="仿宋" w:hAnsi="仿宋" w:eastAsia="仿宋" w:cs="黑体"/>
          <w:sz w:val="32"/>
          <w:szCs w:val="32"/>
        </w:rPr>
        <w:t>用于既往接受过含铂化疗且HER</w:t>
      </w:r>
      <w:r w:rsidRPr="003C684F">
        <w:rPr>
          <w:rFonts w:ascii="仿宋" w:hAnsi="仿宋" w:eastAsia="仿宋" w:cs="黑体"/>
          <w:sz w:val="32"/>
          <w:szCs w:val="32"/>
        </w:rPr>
        <w:t>2</w:t>
      </w:r>
      <w:r w:rsidRPr="003C684F">
        <w:rPr>
          <w:rFonts w:hint="eastAsia" w:ascii="仿宋" w:hAnsi="仿宋" w:eastAsia="仿宋" w:cs="黑体"/>
          <w:sz w:val="32"/>
          <w:szCs w:val="32"/>
        </w:rPr>
        <w:t>过表达局部晚期或转移性尿路上皮癌患者。</w:t>
      </w:r>
    </w:p>
    <w:p w:rsidRPr="003C684F" w:rsidR="009730C1" w:rsidRDefault="00A315B9" w14:paraId="7F193F00"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0692D32C" w14:textId="235BC3C7">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1.维迪西妥单抗用于治疗尿路上皮癌的给药剂量需要按照患者体重计算，为2mg/kg，每</w:t>
      </w:r>
      <w:r w:rsidRPr="003C684F" w:rsidR="009B5B90">
        <w:rPr>
          <w:rFonts w:hint="eastAsia" w:ascii="仿宋" w:hAnsi="仿宋" w:eastAsia="仿宋" w:cs="黑体"/>
          <w:sz w:val="32"/>
          <w:szCs w:val="32"/>
        </w:rPr>
        <w:t>2周</w:t>
      </w:r>
      <w:r w:rsidRPr="003C684F">
        <w:rPr>
          <w:rFonts w:hint="eastAsia" w:ascii="仿宋" w:hAnsi="仿宋" w:eastAsia="仿宋" w:cs="黑体"/>
          <w:sz w:val="32"/>
          <w:szCs w:val="32"/>
        </w:rPr>
        <w:t>一次，</w:t>
      </w:r>
      <w:r w:rsidRPr="003C684F" w:rsidR="00FC21CC">
        <w:rPr>
          <w:rFonts w:hint="eastAsia" w:ascii="仿宋" w:hAnsi="仿宋" w:eastAsia="仿宋" w:cs="黑体"/>
          <w:sz w:val="32"/>
          <w:szCs w:val="32"/>
        </w:rPr>
        <w:t>静脉输注</w:t>
      </w:r>
      <w:r w:rsidRPr="003C684F">
        <w:rPr>
          <w:rFonts w:hint="eastAsia" w:ascii="仿宋" w:hAnsi="仿宋" w:eastAsia="仿宋" w:cs="黑体"/>
          <w:sz w:val="32"/>
          <w:szCs w:val="32"/>
        </w:rPr>
        <w:t>，直至</w:t>
      </w:r>
      <w:r w:rsidRPr="003C684F" w:rsidR="00B95507">
        <w:rPr>
          <w:rFonts w:hint="eastAsia" w:ascii="仿宋" w:hAnsi="仿宋" w:eastAsia="仿宋" w:cs="黑体"/>
          <w:sz w:val="32"/>
          <w:szCs w:val="32"/>
        </w:rPr>
        <w:t>疾病进展或出现不可耐受的毒性。</w:t>
      </w:r>
      <w:r w:rsidRPr="003C684F">
        <w:rPr>
          <w:rFonts w:hint="eastAsia" w:ascii="仿宋" w:hAnsi="仿宋" w:eastAsia="仿宋" w:cs="黑体"/>
          <w:sz w:val="32"/>
          <w:szCs w:val="32"/>
        </w:rPr>
        <w:t>药物需要按照说明书进行配</w:t>
      </w:r>
      <w:r w:rsidRPr="003C684F" w:rsidR="00407E47">
        <w:rPr>
          <w:rFonts w:hint="eastAsia" w:ascii="仿宋" w:hAnsi="仿宋" w:eastAsia="仿宋" w:cs="黑体"/>
          <w:sz w:val="32"/>
          <w:szCs w:val="32"/>
        </w:rPr>
        <w:t>制</w:t>
      </w:r>
      <w:r w:rsidRPr="003C684F">
        <w:rPr>
          <w:rFonts w:hint="eastAsia" w:ascii="仿宋" w:hAnsi="仿宋" w:eastAsia="仿宋" w:cs="黑体"/>
          <w:sz w:val="32"/>
          <w:szCs w:val="32"/>
        </w:rPr>
        <w:t>。</w:t>
      </w:r>
    </w:p>
    <w:p w:rsidRPr="003C684F" w:rsidR="009730C1" w:rsidRDefault="00A315B9" w14:paraId="49BBEF50" w14:textId="457B1571">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2.</w:t>
      </w:r>
      <w:r w:rsidRPr="003C684F" w:rsidR="00FC21CC">
        <w:rPr>
          <w:rFonts w:hint="eastAsia" w:ascii="仿宋" w:hAnsi="仿宋" w:eastAsia="仿宋" w:cs="黑体"/>
          <w:sz w:val="32"/>
          <w:szCs w:val="32"/>
        </w:rPr>
        <w:t>静脉输注</w:t>
      </w:r>
      <w:r w:rsidRPr="003C684F">
        <w:rPr>
          <w:rFonts w:hint="eastAsia" w:ascii="仿宋" w:hAnsi="仿宋" w:eastAsia="仿宋" w:cs="黑体"/>
          <w:sz w:val="32"/>
          <w:szCs w:val="32"/>
        </w:rPr>
        <w:t>期间，如发生输液反应或超敏反应，减慢或中断滴注，和/或给与适当医学治疗，对危及生命的输液反应则应立即停止用药。</w:t>
      </w:r>
    </w:p>
    <w:p w:rsidRPr="003C684F" w:rsidR="009730C1" w:rsidRDefault="00A315B9" w14:paraId="49D8AFF8" w14:textId="77777777">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3.用药过程中需要监测不良反应，包括消化道反应、骨</w:t>
      </w:r>
      <w:r w:rsidRPr="003C684F">
        <w:rPr>
          <w:rFonts w:hint="eastAsia" w:ascii="仿宋" w:hAnsi="仿宋" w:eastAsia="仿宋" w:cs="黑体"/>
          <w:sz w:val="32"/>
          <w:szCs w:val="32"/>
        </w:rPr>
        <w:lastRenderedPageBreak/>
        <w:t>髓抑制等，需要重视神经毒性，包括周围神经病变以及运动神经病变。如遇不良反应需进行药物剂量调整的情况，包括暂停用药、减量用药及停止用药等，应遵循以下推荐的剂量调整计划及处理建议：推荐给药剂量</w:t>
      </w:r>
      <w:r w:rsidRPr="003C684F">
        <w:rPr>
          <w:rFonts w:ascii="仿宋" w:hAnsi="仿宋" w:eastAsia="仿宋" w:cs="黑体"/>
          <w:sz w:val="32"/>
          <w:szCs w:val="32"/>
        </w:rPr>
        <w:t>2.0mg/kg</w:t>
      </w:r>
      <w:r w:rsidRPr="003C684F">
        <w:rPr>
          <w:rFonts w:hint="eastAsia" w:ascii="仿宋" w:hAnsi="仿宋" w:eastAsia="仿宋" w:cs="仿宋"/>
          <w:sz w:val="32"/>
          <w:szCs w:val="32"/>
        </w:rPr>
        <w:t>→</w:t>
      </w:r>
      <w:r w:rsidRPr="003C684F">
        <w:rPr>
          <w:rFonts w:hint="eastAsia" w:ascii="仿宋" w:hAnsi="仿宋" w:eastAsia="仿宋" w:cs="黑体"/>
          <w:sz w:val="32"/>
          <w:szCs w:val="32"/>
        </w:rPr>
        <w:t>首次减量给药剂量</w:t>
      </w:r>
      <w:r w:rsidRPr="003C684F">
        <w:rPr>
          <w:rFonts w:ascii="仿宋" w:hAnsi="仿宋" w:eastAsia="仿宋" w:cs="黑体"/>
          <w:sz w:val="32"/>
          <w:szCs w:val="32"/>
        </w:rPr>
        <w:t>1.5mg/kg</w:t>
      </w:r>
      <w:r w:rsidRPr="003C684F">
        <w:rPr>
          <w:rFonts w:hint="eastAsia" w:ascii="仿宋" w:hAnsi="仿宋" w:eastAsia="仿宋" w:cs="仿宋"/>
          <w:sz w:val="32"/>
          <w:szCs w:val="32"/>
        </w:rPr>
        <w:t>→</w:t>
      </w:r>
      <w:r w:rsidRPr="003C684F">
        <w:rPr>
          <w:rFonts w:hint="eastAsia" w:ascii="仿宋" w:hAnsi="仿宋" w:eastAsia="仿宋" w:cs="黑体"/>
          <w:sz w:val="32"/>
          <w:szCs w:val="32"/>
        </w:rPr>
        <w:t>二次减量给药剂量</w:t>
      </w:r>
      <w:r w:rsidRPr="003C684F">
        <w:rPr>
          <w:rFonts w:ascii="仿宋" w:hAnsi="仿宋" w:eastAsia="仿宋" w:cs="黑体"/>
          <w:sz w:val="32"/>
          <w:szCs w:val="32"/>
        </w:rPr>
        <w:t>1.0mg/kg</w:t>
      </w:r>
      <w:r w:rsidRPr="003C684F">
        <w:rPr>
          <w:rFonts w:hint="eastAsia" w:ascii="仿宋" w:hAnsi="仿宋" w:eastAsia="仿宋" w:cs="仿宋"/>
          <w:sz w:val="32"/>
          <w:szCs w:val="32"/>
        </w:rPr>
        <w:t>→</w:t>
      </w:r>
      <w:r w:rsidRPr="003C684F">
        <w:rPr>
          <w:rFonts w:hint="eastAsia" w:ascii="仿宋" w:hAnsi="仿宋" w:eastAsia="仿宋" w:cs="黑体"/>
          <w:sz w:val="32"/>
          <w:szCs w:val="32"/>
        </w:rPr>
        <w:t>后续处理应停止治疗或酌情处理。</w:t>
      </w:r>
    </w:p>
    <w:p w:rsidRPr="003C684F" w:rsidR="009730C1" w:rsidRDefault="00A315B9" w14:paraId="18E3AA1E" w14:textId="77777777">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4.对于轻度肝功能损伤患者，维迪西妥单抗无需进行治疗剂量的调整。目前尚未考察中重度肝功能损伤对维迪西妥单抗药代动力学的影响。</w:t>
      </w:r>
    </w:p>
    <w:p w:rsidRPr="003C684F" w:rsidR="009730C1" w:rsidRDefault="00A315B9" w14:paraId="7101FF63" w14:textId="77777777">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5.对于轻中度肾功能损伤患者，维迪西妥单抗无需进行治疗剂量的调整。目前尚未评估重度肾功能损伤患者的药代动力学，尚无重度肾功能损伤患者的研究数据。</w:t>
      </w:r>
    </w:p>
    <w:p w:rsidRPr="003C684F" w:rsidR="009730C1" w:rsidRDefault="00A315B9" w14:paraId="74AF6588" w14:textId="35E65DD7">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6.对于</w:t>
      </w:r>
      <w:r w:rsidRPr="003C684F" w:rsidR="005E0F98">
        <w:rPr>
          <w:rFonts w:hint="eastAsia" w:ascii="仿宋" w:hAnsi="仿宋" w:eastAsia="仿宋" w:cs="黑体"/>
          <w:sz w:val="32"/>
          <w:szCs w:val="32"/>
        </w:rPr>
        <w:t>老年患者（≥65岁）</w:t>
      </w:r>
      <w:r w:rsidRPr="003C684F">
        <w:rPr>
          <w:rFonts w:hint="eastAsia" w:ascii="仿宋" w:hAnsi="仿宋" w:eastAsia="仿宋" w:cs="黑体"/>
          <w:sz w:val="32"/>
          <w:szCs w:val="32"/>
        </w:rPr>
        <w:t>，维迪西妥单抗无需调整治疗剂量。对于18岁以下儿童和青少年</w:t>
      </w:r>
      <w:r w:rsidRPr="003C684F" w:rsidR="00D61FBA">
        <w:rPr>
          <w:rFonts w:hint="eastAsia" w:ascii="仿宋" w:hAnsi="仿宋" w:eastAsia="仿宋" w:cs="黑体"/>
          <w:sz w:val="32"/>
          <w:szCs w:val="32"/>
        </w:rPr>
        <w:t>患者</w:t>
      </w:r>
      <w:r w:rsidRPr="003C684F">
        <w:rPr>
          <w:rFonts w:hint="eastAsia" w:ascii="仿宋" w:hAnsi="仿宋" w:eastAsia="仿宋" w:cs="黑体"/>
          <w:sz w:val="32"/>
          <w:szCs w:val="32"/>
        </w:rPr>
        <w:t>，暂无维迪西妥单抗相关临床研究资料。</w:t>
      </w:r>
    </w:p>
    <w:p w:rsidRPr="003C684F" w:rsidR="009730C1" w:rsidP="0037660B" w:rsidRDefault="003B5C35" w14:paraId="07D71A41"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九</w:t>
      </w:r>
      <w:r w:rsidRPr="003C684F" w:rsidR="00A315B9">
        <w:rPr>
          <w:rFonts w:hint="eastAsia" w:ascii="黑体" w:hAnsi="黑体" w:eastAsia="黑体" w:cs="黑体"/>
          <w:sz w:val="32"/>
          <w:szCs w:val="32"/>
        </w:rPr>
        <w:t xml:space="preserve">、阿比特龙 </w:t>
      </w:r>
      <w:r w:rsidRPr="003C684F" w:rsidR="00A315B9">
        <w:rPr>
          <w:rFonts w:ascii="黑体" w:hAnsi="黑体" w:eastAsia="黑体" w:cs="黑体"/>
          <w:sz w:val="32"/>
          <w:szCs w:val="32"/>
        </w:rPr>
        <w:t>Abiraterone</w:t>
      </w:r>
    </w:p>
    <w:p w:rsidRPr="003C684F" w:rsidR="009730C1" w:rsidRDefault="00A315B9" w14:paraId="6216EF3A"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黑体"/>
          <w:sz w:val="32"/>
          <w:szCs w:val="32"/>
        </w:rPr>
        <w:t>片剂：2</w:t>
      </w:r>
      <w:r w:rsidRPr="003C684F">
        <w:rPr>
          <w:rFonts w:ascii="仿宋" w:hAnsi="仿宋" w:eastAsia="仿宋" w:cs="黑体"/>
          <w:sz w:val="32"/>
          <w:szCs w:val="32"/>
        </w:rPr>
        <w:t>50</w:t>
      </w:r>
      <w:r w:rsidRPr="003C684F">
        <w:rPr>
          <w:rFonts w:hint="eastAsia" w:ascii="仿宋" w:hAnsi="仿宋" w:eastAsia="仿宋" w:cs="黑体"/>
          <w:sz w:val="32"/>
          <w:szCs w:val="32"/>
        </w:rPr>
        <w:t>mg</w:t>
      </w:r>
    </w:p>
    <w:p w:rsidRPr="003C684F" w:rsidR="009730C1" w:rsidRDefault="00A315B9" w14:paraId="24E46614"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适应证：</w:t>
      </w:r>
    </w:p>
    <w:p w:rsidRPr="003C684F" w:rsidR="009730C1" w:rsidRDefault="00A315B9" w14:paraId="692CD738" w14:textId="75B1343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本品与泼尼松或泼尼松龙</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，治疗</w:t>
      </w:r>
      <w:r w:rsidRPr="003C684F">
        <w:rPr>
          <w:rFonts w:ascii="仿宋" w:hAnsi="仿宋" w:eastAsia="仿宋" w:cs="仿宋"/>
          <w:sz w:val="32"/>
          <w:szCs w:val="32"/>
        </w:rPr>
        <w:t>转移性去势抵抗性前列腺癌</w:t>
      </w:r>
      <w:r w:rsidRPr="003C684F">
        <w:rPr>
          <w:rFonts w:hint="eastAsia" w:ascii="仿宋" w:hAnsi="仿宋" w:eastAsia="仿宋" w:cs="仿宋"/>
          <w:sz w:val="32"/>
          <w:szCs w:val="32"/>
        </w:rPr>
        <w:t>。</w:t>
      </w:r>
    </w:p>
    <w:p w:rsidRPr="003C684F" w:rsidR="009730C1" w:rsidRDefault="00A315B9" w14:paraId="784963E5" w14:textId="2A2D8D55">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本品与泼尼松或泼尼松龙</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，治疗</w:t>
      </w:r>
      <w:r w:rsidRPr="003C684F">
        <w:rPr>
          <w:rFonts w:ascii="仿宋" w:hAnsi="仿宋" w:eastAsia="仿宋" w:cs="仿宋"/>
          <w:sz w:val="32"/>
          <w:szCs w:val="32"/>
        </w:rPr>
        <w:t>新诊断的高危转移性内分泌治疗敏感性前列腺癌，包括未接受过</w:t>
      </w:r>
      <w:r w:rsidRPr="003C684F">
        <w:rPr>
          <w:rFonts w:hint="eastAsia" w:ascii="仿宋" w:hAnsi="仿宋" w:eastAsia="仿宋" w:cs="仿宋"/>
          <w:sz w:val="32"/>
          <w:szCs w:val="32"/>
        </w:rPr>
        <w:t>内分泌</w:t>
      </w:r>
      <w:r w:rsidRPr="003C684F">
        <w:rPr>
          <w:rFonts w:hint="eastAsia" w:ascii="仿宋" w:hAnsi="仿宋" w:eastAsia="仿宋" w:cs="仿宋"/>
          <w:sz w:val="32"/>
          <w:szCs w:val="32"/>
        </w:rPr>
        <w:lastRenderedPageBreak/>
        <w:t>治疗或接受内分泌治疗最长不超过</w:t>
      </w:r>
      <w:r w:rsidRPr="003C684F">
        <w:rPr>
          <w:rFonts w:ascii="仿宋" w:hAnsi="仿宋" w:eastAsia="仿宋" w:cs="仿宋"/>
          <w:sz w:val="32"/>
          <w:szCs w:val="32"/>
        </w:rPr>
        <w:t>3个月。</w:t>
      </w:r>
    </w:p>
    <w:p w:rsidRPr="003C684F" w:rsidR="009730C1" w:rsidRDefault="00A315B9" w14:paraId="328A3F41"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7CA96C36" w14:textId="5D475FC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用于转移性去势抵抗性前列腺癌：阿比特龙推荐剂量为</w:t>
      </w:r>
      <w:r w:rsidRPr="003C684F">
        <w:rPr>
          <w:rFonts w:ascii="仿宋" w:hAnsi="仿宋" w:eastAsia="仿宋" w:cs="仿宋"/>
          <w:sz w:val="32"/>
          <w:szCs w:val="32"/>
        </w:rPr>
        <w:t>1000mg</w:t>
      </w:r>
      <w:r w:rsidRPr="003C684F" w:rsidR="005C586D">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5C586D">
        <w:rPr>
          <w:rFonts w:hint="eastAsia" w:ascii="仿宋" w:hAnsi="仿宋" w:eastAsia="仿宋" w:cs="仿宋"/>
          <w:sz w:val="32"/>
          <w:szCs w:val="32"/>
        </w:rPr>
        <w:t>口服，要求空腹，</w:t>
      </w:r>
      <w:r w:rsidRPr="003C684F">
        <w:rPr>
          <w:rFonts w:hint="eastAsia" w:ascii="仿宋" w:hAnsi="仿宋" w:eastAsia="仿宋" w:cs="仿宋"/>
          <w:sz w:val="32"/>
          <w:szCs w:val="32"/>
        </w:rPr>
        <w:t>与泼尼松或泼尼松龙</w:t>
      </w:r>
      <w:r w:rsidRPr="003C684F">
        <w:rPr>
          <w:rFonts w:ascii="仿宋" w:hAnsi="仿宋" w:eastAsia="仿宋" w:cs="仿宋"/>
          <w:sz w:val="32"/>
          <w:szCs w:val="32"/>
        </w:rPr>
        <w:t>5mg</w:t>
      </w:r>
      <w:r w:rsidRPr="003C684F" w:rsidR="00290892">
        <w:rPr>
          <w:rFonts w:hint="eastAsia" w:ascii="仿宋" w:hAnsi="仿宋" w:eastAsia="仿宋" w:cs="仿宋"/>
          <w:sz w:val="32"/>
          <w:szCs w:val="32"/>
        </w:rPr>
        <w:t>/次，</w:t>
      </w:r>
      <w:r w:rsidRPr="003C684F">
        <w:rPr>
          <w:rFonts w:hint="eastAsia" w:ascii="仿宋" w:hAnsi="仿宋" w:eastAsia="仿宋" w:cs="仿宋"/>
          <w:sz w:val="32"/>
          <w:szCs w:val="32"/>
        </w:rPr>
        <w:t>每天两次</w:t>
      </w:r>
      <w:r w:rsidRPr="003C684F" w:rsidR="00290892">
        <w:rPr>
          <w:rFonts w:hint="eastAsia" w:ascii="仿宋" w:hAnsi="仿宋" w:eastAsia="仿宋" w:cs="仿宋"/>
          <w:sz w:val="32"/>
          <w:szCs w:val="32"/>
        </w:rPr>
        <w:t>，口服，</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；治疗新诊断的高危转移性内分泌治疗敏感性前列腺癌：阿比特龙推荐剂量为1000mg</w:t>
      </w:r>
      <w:r w:rsidRPr="003C684F" w:rsidR="00290892">
        <w:rPr>
          <w:rFonts w:hint="eastAsia" w:ascii="仿宋" w:hAnsi="仿宋" w:eastAsia="仿宋" w:cs="仿宋"/>
          <w:sz w:val="32"/>
          <w:szCs w:val="32"/>
        </w:rPr>
        <w:t>/次，每天一次，口服，要求空腹，</w:t>
      </w:r>
      <w:r w:rsidRPr="003C684F">
        <w:rPr>
          <w:rFonts w:hint="eastAsia" w:ascii="仿宋" w:hAnsi="仿宋" w:eastAsia="仿宋" w:cs="仿宋"/>
          <w:sz w:val="32"/>
          <w:szCs w:val="32"/>
        </w:rPr>
        <w:t>与泼尼松或泼尼松龙</w:t>
      </w:r>
      <w:r w:rsidRPr="003C684F">
        <w:rPr>
          <w:rFonts w:ascii="仿宋" w:hAnsi="仿宋" w:eastAsia="仿宋" w:cs="仿宋"/>
          <w:sz w:val="32"/>
          <w:szCs w:val="32"/>
        </w:rPr>
        <w:t>5mg</w:t>
      </w:r>
      <w:r w:rsidRPr="003C684F" w:rsidR="00290892">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290892">
        <w:rPr>
          <w:rFonts w:hint="eastAsia" w:ascii="仿宋" w:hAnsi="仿宋" w:eastAsia="仿宋" w:cs="仿宋"/>
          <w:sz w:val="32"/>
          <w:szCs w:val="32"/>
        </w:rPr>
        <w:t>，口服，</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0AA95E63" w14:textId="77777777">
      <w:pPr>
        <w:spacing w:line="360" w:lineRule="auto"/>
        <w:ind w:firstLine="64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接受</w:t>
      </w:r>
      <w:r w:rsidRPr="003C684F">
        <w:rPr>
          <w:rFonts w:hint="eastAsia" w:ascii="仿宋" w:hAnsi="仿宋" w:eastAsia="仿宋" w:cs="仿宋"/>
          <w:sz w:val="32"/>
          <w:szCs w:val="32"/>
        </w:rPr>
        <w:t>阿比特龙治疗期间</w:t>
      </w:r>
      <w:r w:rsidRPr="003C684F">
        <w:rPr>
          <w:rFonts w:ascii="仿宋" w:hAnsi="仿宋" w:eastAsia="仿宋" w:cs="仿宋"/>
          <w:sz w:val="32"/>
          <w:szCs w:val="32"/>
        </w:rPr>
        <w:t>应同时接受促性腺激素释放激素类似物</w:t>
      </w:r>
      <w:r w:rsidRPr="003C684F">
        <w:rPr>
          <w:rFonts w:hint="eastAsia" w:ascii="仿宋" w:hAnsi="仿宋" w:eastAsia="仿宋" w:cs="仿宋"/>
          <w:sz w:val="32"/>
          <w:szCs w:val="32"/>
        </w:rPr>
        <w:t>治疗</w:t>
      </w:r>
      <w:r w:rsidRPr="003C684F">
        <w:rPr>
          <w:rFonts w:ascii="仿宋" w:hAnsi="仿宋" w:eastAsia="仿宋" w:cs="仿宋"/>
          <w:sz w:val="32"/>
          <w:szCs w:val="32"/>
        </w:rPr>
        <w:t>或</w:t>
      </w:r>
      <w:r w:rsidRPr="003C684F">
        <w:rPr>
          <w:rFonts w:hint="eastAsia" w:ascii="仿宋" w:hAnsi="仿宋" w:eastAsia="仿宋" w:cs="仿宋"/>
          <w:sz w:val="32"/>
          <w:szCs w:val="32"/>
        </w:rPr>
        <w:t>已接受</w:t>
      </w:r>
      <w:r w:rsidRPr="003C684F">
        <w:rPr>
          <w:rFonts w:ascii="仿宋" w:hAnsi="仿宋" w:eastAsia="仿宋" w:cs="仿宋"/>
          <w:sz w:val="32"/>
          <w:szCs w:val="32"/>
        </w:rPr>
        <w:t>过双侧睾丸切除术。</w:t>
      </w:r>
    </w:p>
    <w:p w:rsidRPr="003C684F" w:rsidR="009730C1" w:rsidRDefault="00A315B9" w14:paraId="1E96BEBA" w14:textId="77777777">
      <w:pPr>
        <w:spacing w:line="360" w:lineRule="auto"/>
        <w:ind w:firstLine="64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治疗期间需要监测不良反应，包括肝肾功能、电解质，注意有无血压升高及体液潴留风险，</w:t>
      </w:r>
      <w:r w:rsidRPr="003C684F">
        <w:rPr>
          <w:rFonts w:ascii="仿宋" w:hAnsi="仿宋" w:eastAsia="仿宋" w:cs="仿宋"/>
          <w:sz w:val="32"/>
          <w:szCs w:val="32"/>
        </w:rPr>
        <w:t xml:space="preserve">如果患者发生3级及3级以上毒性事件，包括高血压、低钾血症、水肿或其他非盐皮质激素毒性事件，则应停止治疗，并进行适当的医学处理。直到毒性症状缓解至1级或基线水平，方可重新开始使用本品治疗。 </w:t>
      </w:r>
    </w:p>
    <w:p w:rsidRPr="003C684F" w:rsidR="009730C1" w:rsidRDefault="00A315B9" w14:paraId="181FB958" w14:textId="77777777">
      <w:pPr>
        <w:spacing w:line="360" w:lineRule="auto"/>
        <w:ind w:firstLine="640"/>
        <w:rPr>
          <w:rFonts w:ascii="仿宋" w:hAnsi="仿宋" w:eastAsia="仿宋" w:cs="仿宋"/>
          <w:sz w:val="32"/>
          <w:szCs w:val="32"/>
        </w:rPr>
      </w:pPr>
      <w:r w:rsidRPr="003C684F">
        <w:rPr>
          <w:rFonts w:ascii="仿宋" w:hAnsi="仿宋" w:eastAsia="仿宋" w:cs="仿宋"/>
          <w:sz w:val="32"/>
          <w:szCs w:val="32"/>
        </w:rPr>
        <w:t>4.如果患者出现漏服本品、泼尼松或泼尼松龙，应以常规剂量于次日重新开始治疗。</w:t>
      </w:r>
    </w:p>
    <w:p w:rsidRPr="003C684F" w:rsidR="009730C1" w:rsidP="0037660B" w:rsidRDefault="00A315B9" w14:paraId="14161B4B"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 xml:space="preserve">十、阿帕他胺 </w:t>
      </w:r>
      <w:r w:rsidRPr="003C684F">
        <w:rPr>
          <w:rFonts w:ascii="黑体" w:hAnsi="黑体" w:eastAsia="黑体" w:cs="黑体"/>
          <w:sz w:val="32"/>
          <w:szCs w:val="32"/>
        </w:rPr>
        <w:t>Apalutamide</w:t>
      </w:r>
    </w:p>
    <w:p w:rsidRPr="003C684F" w:rsidR="009730C1" w:rsidRDefault="00A315B9" w14:paraId="2F21DA2C"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黑体"/>
          <w:sz w:val="32"/>
          <w:szCs w:val="32"/>
        </w:rPr>
        <w:t>片剂：</w:t>
      </w:r>
      <w:r w:rsidRPr="003C684F">
        <w:rPr>
          <w:rFonts w:ascii="仿宋" w:hAnsi="仿宋" w:eastAsia="仿宋" w:cs="黑体"/>
          <w:sz w:val="32"/>
          <w:szCs w:val="32"/>
        </w:rPr>
        <w:t>60mg</w:t>
      </w:r>
    </w:p>
    <w:p w:rsidRPr="003C684F" w:rsidR="009730C1" w:rsidRDefault="00A315B9" w14:paraId="40BBA03A"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适应证：</w:t>
      </w:r>
    </w:p>
    <w:p w:rsidRPr="003C684F" w:rsidR="009730C1" w:rsidRDefault="00A315B9" w14:paraId="78FEAD87" w14:textId="77777777">
      <w:pPr>
        <w:spacing w:line="360" w:lineRule="auto"/>
        <w:ind w:firstLine="640"/>
        <w:rPr>
          <w:rFonts w:ascii="Segoe UI Emoji" w:hAnsi="Segoe UI Emoji" w:eastAsia="仿宋" w:cs="Segoe UI Emoji"/>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.转移性内分泌治疗敏感性前列腺癌成年患者</w:t>
      </w:r>
      <w:r w:rsidRPr="003C684F">
        <w:rPr>
          <w:rFonts w:hint="eastAsia" w:ascii="仿宋" w:hAnsi="仿宋" w:eastAsia="仿宋" w:cs="仿宋"/>
          <w:sz w:val="32"/>
          <w:szCs w:val="32"/>
        </w:rPr>
        <w:t>。</w:t>
      </w:r>
    </w:p>
    <w:p w:rsidRPr="003C684F" w:rsidR="009730C1" w:rsidRDefault="00A315B9" w14:paraId="5D5419CA" w14:textId="77777777">
      <w:pPr>
        <w:spacing w:line="360" w:lineRule="auto"/>
        <w:ind w:firstLine="640"/>
        <w:rPr>
          <w:rFonts w:ascii="仿宋" w:hAnsi="仿宋" w:eastAsia="仿宋" w:cs="仿宋"/>
          <w:sz w:val="32"/>
          <w:szCs w:val="32"/>
        </w:rPr>
      </w:pPr>
      <w:r w:rsidRPr="003C684F">
        <w:rPr>
          <w:rFonts w:hint="eastAsia" w:ascii="仿宋" w:hAnsi="仿宋" w:eastAsia="仿宋" w:cs="仿宋"/>
          <w:sz w:val="32"/>
          <w:szCs w:val="32"/>
        </w:rPr>
        <w:lastRenderedPageBreak/>
        <w:t>2</w:t>
      </w:r>
      <w:r w:rsidRPr="003C684F">
        <w:rPr>
          <w:rFonts w:ascii="仿宋" w:hAnsi="仿宋" w:eastAsia="仿宋" w:cs="仿宋"/>
          <w:sz w:val="32"/>
          <w:szCs w:val="32"/>
        </w:rPr>
        <w:t>.有高危转移风险的非转移性去势抵抗性前列腺癌成年患者</w:t>
      </w:r>
      <w:r w:rsidRPr="003C684F">
        <w:rPr>
          <w:rFonts w:hint="eastAsia" w:ascii="仿宋" w:hAnsi="仿宋" w:eastAsia="仿宋" w:cs="仿宋"/>
          <w:sz w:val="32"/>
          <w:szCs w:val="32"/>
        </w:rPr>
        <w:t>。</w:t>
      </w:r>
    </w:p>
    <w:p w:rsidRPr="003C684F" w:rsidR="009730C1" w:rsidRDefault="00A315B9" w14:paraId="7E6E3D0F"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6629711E" w14:textId="32684F3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本品的推荐剂量是</w:t>
      </w:r>
      <w:r w:rsidRPr="003C684F">
        <w:rPr>
          <w:rFonts w:ascii="仿宋" w:hAnsi="仿宋" w:eastAsia="仿宋" w:cs="仿宋"/>
          <w:sz w:val="32"/>
          <w:szCs w:val="32"/>
        </w:rPr>
        <w:t>240mg</w:t>
      </w:r>
      <w:r w:rsidRPr="003C684F" w:rsidR="00217F19">
        <w:rPr>
          <w:rFonts w:hint="eastAsia" w:ascii="仿宋" w:hAnsi="仿宋" w:eastAsia="仿宋" w:cs="仿宋"/>
          <w:sz w:val="32"/>
          <w:szCs w:val="32"/>
        </w:rPr>
        <w:t>/次</w:t>
      </w:r>
      <w:r w:rsidRPr="003C684F">
        <w:rPr>
          <w:rFonts w:ascii="仿宋" w:hAnsi="仿宋" w:eastAsia="仿宋" w:cs="仿宋"/>
          <w:sz w:val="32"/>
          <w:szCs w:val="32"/>
        </w:rPr>
        <w:t>，每天一次，口服。需整片吞下</w:t>
      </w:r>
      <w:r w:rsidRPr="003C684F">
        <w:rPr>
          <w:rFonts w:hint="eastAsia" w:ascii="仿宋" w:hAnsi="仿宋" w:eastAsia="仿宋" w:cs="仿宋"/>
          <w:sz w:val="32"/>
          <w:szCs w:val="32"/>
        </w:rPr>
        <w:t>，可与食物同服</w:t>
      </w:r>
      <w:r w:rsidRPr="003C684F" w:rsidR="00302B00">
        <w:rPr>
          <w:rFonts w:hint="eastAsia" w:ascii="仿宋" w:hAnsi="仿宋" w:eastAsia="仿宋" w:cs="仿宋"/>
          <w:sz w:val="32"/>
          <w:szCs w:val="32"/>
        </w:rPr>
        <w:t>或不同服</w:t>
      </w:r>
      <w:r w:rsidRPr="003C684F">
        <w:rPr>
          <w:rFonts w:hint="eastAsia" w:ascii="仿宋" w:hAnsi="仿宋" w:eastAsia="仿宋" w:cs="仿宋"/>
          <w:sz w:val="32"/>
          <w:szCs w:val="32"/>
        </w:rPr>
        <w:t>。</w:t>
      </w:r>
    </w:p>
    <w:p w:rsidRPr="003C684F" w:rsidR="009730C1" w:rsidRDefault="00A315B9" w14:paraId="5EE571B9"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患者还应同时接受雄激素剥夺治疗，</w:t>
      </w:r>
      <w:r w:rsidRPr="003C684F">
        <w:rPr>
          <w:rFonts w:ascii="仿宋" w:hAnsi="仿宋" w:eastAsia="仿宋" w:cs="仿宋"/>
          <w:sz w:val="32"/>
          <w:szCs w:val="32"/>
        </w:rPr>
        <w:t>即同时接受促性腺激素释放激素类似物</w:t>
      </w:r>
      <w:r w:rsidRPr="003C684F">
        <w:rPr>
          <w:rFonts w:hint="eastAsia" w:ascii="仿宋" w:hAnsi="仿宋" w:eastAsia="仿宋" w:cs="仿宋"/>
          <w:sz w:val="32"/>
          <w:szCs w:val="32"/>
        </w:rPr>
        <w:t>治疗或已接受过双侧睾丸切除术。</w:t>
      </w:r>
    </w:p>
    <w:p w:rsidRPr="003C684F" w:rsidR="009730C1" w:rsidRDefault="00A315B9" w14:paraId="2348C0A4" w14:textId="63174C51">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治疗期间监测不良反应，如果患者出现≥</w:t>
      </w:r>
      <w:r w:rsidRPr="003C684F">
        <w:rPr>
          <w:rFonts w:ascii="仿宋" w:hAnsi="仿宋" w:eastAsia="仿宋" w:cs="仿宋"/>
          <w:sz w:val="32"/>
          <w:szCs w:val="32"/>
        </w:rPr>
        <w:t>3级毒性或</w:t>
      </w:r>
      <w:r w:rsidRPr="003C684F" w:rsidR="00703498">
        <w:rPr>
          <w:rFonts w:ascii="仿宋" w:hAnsi="仿宋" w:eastAsia="仿宋" w:cs="仿宋"/>
          <w:sz w:val="32"/>
          <w:szCs w:val="32"/>
        </w:rPr>
        <w:t>不可耐受的</w:t>
      </w:r>
      <w:r w:rsidRPr="003C684F">
        <w:rPr>
          <w:rFonts w:ascii="仿宋" w:hAnsi="仿宋" w:eastAsia="仿宋" w:cs="仿宋"/>
          <w:sz w:val="32"/>
          <w:szCs w:val="32"/>
        </w:rPr>
        <w:t>不良反应，应暂停给药，直至症状改善至≤1级或原</w:t>
      </w:r>
      <w:r w:rsidRPr="003C684F">
        <w:rPr>
          <w:rFonts w:hint="eastAsia" w:ascii="仿宋" w:hAnsi="仿宋" w:eastAsia="仿宋" w:cs="仿宋"/>
          <w:sz w:val="32"/>
          <w:szCs w:val="32"/>
        </w:rPr>
        <w:t>有级别，如果有必要，再恢复相同剂量或减量（</w:t>
      </w:r>
      <w:r w:rsidRPr="003C684F">
        <w:rPr>
          <w:rFonts w:ascii="仿宋" w:hAnsi="仿宋" w:eastAsia="仿宋" w:cs="仿宋"/>
          <w:sz w:val="32"/>
          <w:szCs w:val="32"/>
        </w:rPr>
        <w:t>180mg</w:t>
      </w:r>
      <w:r w:rsidRPr="003C684F" w:rsidR="00217F19">
        <w:rPr>
          <w:rFonts w:hint="eastAsia" w:ascii="仿宋" w:hAnsi="仿宋" w:eastAsia="仿宋" w:cs="仿宋"/>
          <w:sz w:val="32"/>
          <w:szCs w:val="32"/>
        </w:rPr>
        <w:t>/次</w:t>
      </w:r>
      <w:r w:rsidRPr="003C684F">
        <w:rPr>
          <w:rFonts w:ascii="仿宋" w:hAnsi="仿宋" w:eastAsia="仿宋" w:cs="仿宋"/>
          <w:sz w:val="32"/>
          <w:szCs w:val="32"/>
        </w:rPr>
        <w:t>或120mg</w:t>
      </w:r>
      <w:r w:rsidRPr="003C684F" w:rsidR="00217F19">
        <w:rPr>
          <w:rFonts w:hint="eastAsia" w:ascii="仿宋" w:hAnsi="仿宋" w:eastAsia="仿宋" w:cs="仿宋"/>
          <w:sz w:val="32"/>
          <w:szCs w:val="32"/>
        </w:rPr>
        <w:t>/次</w:t>
      </w:r>
      <w:r w:rsidRPr="003C684F">
        <w:rPr>
          <w:rFonts w:ascii="仿宋" w:hAnsi="仿宋" w:eastAsia="仿宋" w:cs="仿宋"/>
          <w:sz w:val="32"/>
          <w:szCs w:val="32"/>
        </w:rPr>
        <w:t>）。</w:t>
      </w:r>
      <w:r w:rsidRPr="003C684F" w:rsidR="002673B3">
        <w:rPr>
          <w:rFonts w:hint="eastAsia" w:ascii="仿宋" w:hAnsi="仿宋" w:eastAsia="仿宋" w:cs="仿宋"/>
          <w:sz w:val="32"/>
          <w:szCs w:val="32"/>
        </w:rPr>
        <w:t>如果治疗期间</w:t>
      </w:r>
      <w:r w:rsidRPr="003C684F" w:rsidR="006259AC">
        <w:rPr>
          <w:rFonts w:hint="eastAsia" w:ascii="仿宋" w:hAnsi="仿宋" w:eastAsia="仿宋" w:cs="仿宋"/>
          <w:sz w:val="32"/>
          <w:szCs w:val="32"/>
        </w:rPr>
        <w:t>患者</w:t>
      </w:r>
      <w:r w:rsidRPr="003C684F" w:rsidR="002673B3">
        <w:rPr>
          <w:rFonts w:hint="eastAsia" w:ascii="仿宋" w:hAnsi="仿宋" w:eastAsia="仿宋" w:cs="仿宋"/>
          <w:sz w:val="32"/>
          <w:szCs w:val="32"/>
        </w:rPr>
        <w:t>出现癫痫</w:t>
      </w:r>
      <w:r w:rsidRPr="003C684F" w:rsidR="006259AC">
        <w:rPr>
          <w:rFonts w:hint="eastAsia" w:ascii="仿宋" w:hAnsi="仿宋" w:eastAsia="仿宋" w:cs="仿宋"/>
          <w:sz w:val="32"/>
          <w:szCs w:val="32"/>
        </w:rPr>
        <w:t>，则</w:t>
      </w:r>
      <w:r w:rsidRPr="003C684F" w:rsidR="002673B3">
        <w:rPr>
          <w:rFonts w:hint="eastAsia" w:ascii="仿宋" w:hAnsi="仿宋" w:eastAsia="仿宋" w:cs="仿宋"/>
          <w:sz w:val="32"/>
          <w:szCs w:val="32"/>
        </w:rPr>
        <w:t>应</w:t>
      </w:r>
      <w:r w:rsidRPr="003C684F" w:rsidR="00373DC1">
        <w:rPr>
          <w:rFonts w:hint="eastAsia" w:ascii="仿宋" w:hAnsi="仿宋" w:eastAsia="仿宋" w:cs="仿宋"/>
          <w:sz w:val="32"/>
          <w:szCs w:val="32"/>
        </w:rPr>
        <w:t>永久停用</w:t>
      </w:r>
      <w:r w:rsidRPr="003C684F" w:rsidR="006259AC">
        <w:rPr>
          <w:rFonts w:hint="eastAsia" w:ascii="仿宋" w:hAnsi="仿宋" w:eastAsia="仿宋" w:cs="仿宋"/>
          <w:sz w:val="32"/>
          <w:szCs w:val="32"/>
        </w:rPr>
        <w:t>。</w:t>
      </w:r>
    </w:p>
    <w:p w:rsidRPr="003C684F" w:rsidR="009730C1" w:rsidRDefault="00A315B9" w14:paraId="391325C6"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基线时有轻中度肾功能损伤患者无需调整剂量；有轻中度肝功能损伤</w:t>
      </w:r>
      <w:r w:rsidRPr="003C684F">
        <w:rPr>
          <w:rFonts w:ascii="仿宋" w:hAnsi="仿宋" w:eastAsia="仿宋" w:cs="仿宋"/>
          <w:sz w:val="32"/>
          <w:szCs w:val="32"/>
        </w:rPr>
        <w:t>的患者无需调整剂量。</w:t>
      </w:r>
    </w:p>
    <w:p w:rsidRPr="003C684F" w:rsidR="007F6F66" w:rsidRDefault="007F6F66" w14:paraId="2E9D00BC" w14:textId="070D79F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5.避免与华法林和香豆素类抗凝剂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，监测INR值。</w:t>
      </w:r>
    </w:p>
    <w:p w:rsidRPr="003C684F" w:rsidR="009730C1" w:rsidRDefault="00A315B9" w14:paraId="58320409" w14:textId="4A547D44">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w:t>
      </w:r>
      <w:r w:rsidRPr="003C684F" w:rsidR="003B5C35">
        <w:rPr>
          <w:rFonts w:hint="eastAsia" w:ascii="黑体" w:hAnsi="黑体" w:eastAsia="黑体" w:cs="黑体"/>
          <w:sz w:val="32"/>
          <w:szCs w:val="32"/>
        </w:rPr>
        <w:t>一</w:t>
      </w:r>
      <w:r w:rsidRPr="003C684F">
        <w:rPr>
          <w:rFonts w:hint="eastAsia" w:ascii="黑体" w:hAnsi="黑体" w:eastAsia="黑体" w:cs="黑体"/>
          <w:sz w:val="32"/>
          <w:szCs w:val="32"/>
        </w:rPr>
        <w:t>、</w:t>
      </w:r>
      <w:r w:rsidRPr="003C684F" w:rsidR="00742AC3">
        <w:rPr>
          <w:rFonts w:hint="eastAsia" w:ascii="黑体" w:hAnsi="黑体" w:eastAsia="黑体" w:cs="黑体"/>
          <w:sz w:val="32"/>
          <w:szCs w:val="32"/>
        </w:rPr>
        <w:t>恩扎卢胺</w:t>
      </w:r>
      <w:r w:rsidR="00BB58D9">
        <w:rPr>
          <w:rFonts w:hint="eastAsia" w:ascii="黑体" w:hAnsi="黑体" w:eastAsia="黑体" w:cs="黑体"/>
          <w:sz w:val="32"/>
          <w:szCs w:val="32"/>
        </w:rPr>
        <w:t xml:space="preserve"> </w:t>
      </w:r>
      <w:r w:rsidRPr="003C684F">
        <w:rPr>
          <w:rFonts w:ascii="黑体" w:hAnsi="黑体" w:eastAsia="黑体" w:cs="黑体"/>
          <w:sz w:val="32"/>
          <w:szCs w:val="32"/>
        </w:rPr>
        <w:t>Enzalutamide</w:t>
      </w:r>
    </w:p>
    <w:p w:rsidRPr="003C684F" w:rsidR="009730C1" w:rsidRDefault="00A315B9" w14:paraId="11D1C203" w14:textId="77777777">
      <w:pPr>
        <w:spacing w:line="360" w:lineRule="auto"/>
        <w:ind w:left="64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40mg</w:t>
      </w:r>
    </w:p>
    <w:p w:rsidRPr="003C684F" w:rsidR="009730C1" w:rsidRDefault="00A315B9" w14:paraId="370CA06B"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适应证：</w:t>
      </w:r>
    </w:p>
    <w:p w:rsidRPr="003C684F" w:rsidR="009730C1" w:rsidRDefault="00A315B9" w14:paraId="7A72EC9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1.雄激素剥夺治疗</w:t>
      </w:r>
      <w:r w:rsidRPr="003C684F">
        <w:rPr>
          <w:rFonts w:ascii="仿宋" w:hAnsi="仿宋" w:eastAsia="仿宋" w:cs="仿宋"/>
          <w:sz w:val="32"/>
          <w:szCs w:val="32"/>
        </w:rPr>
        <w:t>失败后无症状或有轻微</w:t>
      </w:r>
      <w:r w:rsidRPr="003C684F">
        <w:rPr>
          <w:rFonts w:hint="eastAsia" w:ascii="仿宋" w:hAnsi="仿宋" w:eastAsia="仿宋" w:cs="仿宋"/>
          <w:sz w:val="32"/>
          <w:szCs w:val="32"/>
        </w:rPr>
        <w:t>症状</w:t>
      </w:r>
      <w:r w:rsidRPr="003C684F">
        <w:rPr>
          <w:rFonts w:ascii="仿宋" w:hAnsi="仿宋" w:eastAsia="仿宋" w:cs="仿宋"/>
          <w:sz w:val="32"/>
          <w:szCs w:val="32"/>
        </w:rPr>
        <w:t>且未接</w:t>
      </w:r>
      <w:r w:rsidRPr="003C684F">
        <w:rPr>
          <w:rFonts w:hint="eastAsia" w:ascii="仿宋" w:hAnsi="仿宋" w:eastAsia="仿宋" w:cs="仿宋"/>
          <w:sz w:val="32"/>
          <w:szCs w:val="32"/>
        </w:rPr>
        <w:t>受化疗的转移性去势抵抗性前列腺癌成年患者的治疗。</w:t>
      </w:r>
    </w:p>
    <w:p w:rsidRPr="003C684F" w:rsidR="009730C1" w:rsidRDefault="00A315B9" w14:paraId="25EBD7F1"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2.有高危转移风险的非转移性去势抵抗性前列腺癌成</w:t>
      </w:r>
      <w:r w:rsidRPr="003C684F">
        <w:rPr>
          <w:rFonts w:hint="eastAsia" w:ascii="仿宋" w:hAnsi="仿宋" w:eastAsia="仿宋" w:cs="仿宋"/>
          <w:sz w:val="32"/>
          <w:szCs w:val="32"/>
        </w:rPr>
        <w:lastRenderedPageBreak/>
        <w:t>年患者。</w:t>
      </w:r>
    </w:p>
    <w:p w:rsidRPr="003C684F" w:rsidR="009730C1" w:rsidRDefault="00A315B9" w14:paraId="63C8061A" w14:textId="77777777">
      <w:pPr>
        <w:spacing w:line="360" w:lineRule="auto"/>
        <w:ind w:left="64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9730C1" w:rsidRDefault="00A315B9" w14:paraId="0B9EED37" w14:textId="2176E0F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推荐剂量为</w:t>
      </w:r>
      <w:r w:rsidRPr="003C684F">
        <w:rPr>
          <w:rFonts w:ascii="仿宋" w:hAnsi="仿宋" w:eastAsia="仿宋" w:cs="仿宋"/>
          <w:sz w:val="32"/>
          <w:szCs w:val="32"/>
        </w:rPr>
        <w:t>160mg</w:t>
      </w:r>
      <w:r w:rsidRPr="003C684F" w:rsidR="00AF5179">
        <w:rPr>
          <w:rFonts w:hint="eastAsia" w:ascii="仿宋" w:hAnsi="仿宋" w:eastAsia="仿宋" w:cs="仿宋"/>
          <w:sz w:val="32"/>
          <w:szCs w:val="32"/>
        </w:rPr>
        <w:t>/次</w:t>
      </w:r>
      <w:r w:rsidRPr="003C684F">
        <w:rPr>
          <w:rFonts w:hint="eastAsia" w:ascii="仿宋" w:hAnsi="仿宋" w:eastAsia="仿宋" w:cs="仿宋"/>
          <w:sz w:val="32"/>
          <w:szCs w:val="32"/>
        </w:rPr>
        <w:t>，每天一次，口服。不得咀嚼、溶解或打开软胶囊，伴餐或不伴餐均可。</w:t>
      </w:r>
    </w:p>
    <w:p w:rsidRPr="003C684F" w:rsidR="009730C1" w:rsidRDefault="00A315B9" w14:paraId="6AFEFB52"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非手术去势患者在治疗期间应持续使用促黄体生成素释放激素（</w:t>
      </w:r>
      <w:r w:rsidRPr="003C684F">
        <w:rPr>
          <w:rFonts w:ascii="仿宋" w:hAnsi="仿宋" w:eastAsia="仿宋" w:cs="仿宋"/>
          <w:sz w:val="32"/>
          <w:szCs w:val="32"/>
        </w:rPr>
        <w:t>LHRH</w:t>
      </w:r>
      <w:r w:rsidRPr="003C684F">
        <w:rPr>
          <w:rFonts w:hint="eastAsia" w:ascii="仿宋" w:hAnsi="仿宋" w:eastAsia="仿宋" w:cs="仿宋"/>
          <w:sz w:val="32"/>
          <w:szCs w:val="32"/>
        </w:rPr>
        <w:t>）类似物进行药物去势。</w:t>
      </w:r>
    </w:p>
    <w:p w:rsidRPr="003C684F" w:rsidR="009730C1" w:rsidRDefault="00A315B9" w14:paraId="52FC564C" w14:textId="7E016B0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如果患者出现≥</w:t>
      </w:r>
      <w:r w:rsidRPr="003C684F">
        <w:rPr>
          <w:rFonts w:ascii="仿宋" w:hAnsi="仿宋" w:eastAsia="仿宋" w:cs="仿宋"/>
          <w:sz w:val="32"/>
          <w:szCs w:val="32"/>
        </w:rPr>
        <w:t>3</w:t>
      </w:r>
      <w:r w:rsidRPr="003C684F">
        <w:rPr>
          <w:rFonts w:hint="eastAsia" w:ascii="仿宋" w:hAnsi="仿宋" w:eastAsia="仿宋" w:cs="仿宋"/>
          <w:sz w:val="32"/>
          <w:szCs w:val="32"/>
        </w:rPr>
        <w:t>级毒性或不可耐受的不良反应，应停药</w:t>
      </w:r>
      <w:r w:rsidRPr="003C684F">
        <w:rPr>
          <w:rFonts w:ascii="仿宋" w:hAnsi="仿宋" w:eastAsia="仿宋" w:cs="仿宋"/>
          <w:sz w:val="32"/>
          <w:szCs w:val="32"/>
        </w:rPr>
        <w:t>1</w:t>
      </w:r>
      <w:r w:rsidRPr="003C684F">
        <w:rPr>
          <w:rFonts w:hint="eastAsia" w:ascii="仿宋" w:hAnsi="仿宋" w:eastAsia="仿宋" w:cs="仿宋"/>
          <w:sz w:val="32"/>
          <w:szCs w:val="32"/>
        </w:rPr>
        <w:t>周或直至症状消退至≤</w:t>
      </w:r>
      <w:r w:rsidRPr="003C684F">
        <w:rPr>
          <w:rFonts w:ascii="仿宋" w:hAnsi="仿宋" w:eastAsia="仿宋" w:cs="仿宋"/>
          <w:sz w:val="32"/>
          <w:szCs w:val="32"/>
        </w:rPr>
        <w:t>2</w:t>
      </w:r>
      <w:r w:rsidRPr="003C684F">
        <w:rPr>
          <w:rFonts w:hint="eastAsia" w:ascii="仿宋" w:hAnsi="仿宋" w:eastAsia="仿宋" w:cs="仿宋"/>
          <w:sz w:val="32"/>
          <w:szCs w:val="32"/>
        </w:rPr>
        <w:t>级，之后以相同剂量或必要时降低剂量（</w:t>
      </w:r>
      <w:r w:rsidRPr="003C684F">
        <w:rPr>
          <w:rFonts w:ascii="仿宋" w:hAnsi="仿宋" w:eastAsia="仿宋" w:cs="仿宋"/>
          <w:sz w:val="32"/>
          <w:szCs w:val="32"/>
        </w:rPr>
        <w:t>120mg</w:t>
      </w:r>
      <w:r w:rsidRPr="003C684F" w:rsidR="00AF5179">
        <w:rPr>
          <w:rFonts w:hint="eastAsia" w:ascii="仿宋" w:hAnsi="仿宋" w:eastAsia="仿宋" w:cs="仿宋"/>
          <w:sz w:val="32"/>
          <w:szCs w:val="32"/>
        </w:rPr>
        <w:t>/次</w:t>
      </w:r>
      <w:r w:rsidRPr="003C684F">
        <w:rPr>
          <w:rFonts w:hint="eastAsia" w:ascii="仿宋" w:hAnsi="仿宋" w:eastAsia="仿宋" w:cs="仿宋"/>
          <w:sz w:val="32"/>
          <w:szCs w:val="32"/>
        </w:rPr>
        <w:t>或</w:t>
      </w:r>
      <w:r w:rsidRPr="003C684F">
        <w:rPr>
          <w:rFonts w:ascii="仿宋" w:hAnsi="仿宋" w:eastAsia="仿宋" w:cs="仿宋"/>
          <w:sz w:val="32"/>
          <w:szCs w:val="32"/>
        </w:rPr>
        <w:t>80mg</w:t>
      </w:r>
      <w:r w:rsidRPr="003C684F" w:rsidR="00AF5179">
        <w:rPr>
          <w:rFonts w:hint="eastAsia" w:ascii="仿宋" w:hAnsi="仿宋" w:eastAsia="仿宋" w:cs="仿宋"/>
          <w:sz w:val="32"/>
          <w:szCs w:val="32"/>
        </w:rPr>
        <w:t>/次</w:t>
      </w:r>
      <w:r w:rsidRPr="003C684F">
        <w:rPr>
          <w:rFonts w:hint="eastAsia" w:ascii="仿宋" w:hAnsi="仿宋" w:eastAsia="仿宋" w:cs="仿宋"/>
          <w:sz w:val="32"/>
          <w:szCs w:val="32"/>
        </w:rPr>
        <w:t>）重新用药。</w:t>
      </w:r>
    </w:p>
    <w:p w:rsidRPr="003C684F" w:rsidR="009730C1" w:rsidRDefault="00A315B9" w14:paraId="358795D3" w14:textId="3DFF380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应尽可能避免与</w:t>
      </w:r>
      <w:r w:rsidRPr="003C684F">
        <w:rPr>
          <w:rFonts w:ascii="仿宋" w:hAnsi="仿宋" w:eastAsia="仿宋" w:cs="仿宋"/>
          <w:sz w:val="32"/>
          <w:szCs w:val="32"/>
        </w:rPr>
        <w:t>CYP2C8</w:t>
      </w:r>
      <w:r w:rsidRPr="003C684F" w:rsidR="009D028E">
        <w:rPr>
          <w:rFonts w:hint="eastAsia" w:ascii="仿宋" w:hAnsi="仿宋" w:eastAsia="仿宋" w:cs="仿宋"/>
          <w:sz w:val="32"/>
          <w:szCs w:val="32"/>
        </w:rPr>
        <w:t>强效</w:t>
      </w:r>
      <w:r w:rsidRPr="003C684F">
        <w:rPr>
          <w:rFonts w:hint="eastAsia" w:ascii="仿宋" w:hAnsi="仿宋" w:eastAsia="仿宋" w:cs="仿宋"/>
          <w:sz w:val="32"/>
          <w:szCs w:val="32"/>
        </w:rPr>
        <w:t>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。如果必须</w:t>
      </w:r>
      <w:r w:rsidRPr="003C684F" w:rsidR="00F92328">
        <w:rPr>
          <w:rFonts w:hint="eastAsia" w:ascii="仿宋" w:hAnsi="仿宋" w:eastAsia="仿宋" w:cs="仿宋"/>
          <w:sz w:val="32"/>
          <w:szCs w:val="32"/>
        </w:rPr>
        <w:t>联合使用</w:t>
      </w:r>
      <w:r w:rsidRPr="003C684F">
        <w:rPr>
          <w:rFonts w:ascii="仿宋" w:hAnsi="仿宋" w:eastAsia="仿宋" w:cs="仿宋"/>
          <w:sz w:val="32"/>
          <w:szCs w:val="32"/>
        </w:rPr>
        <w:t>CYP2C8</w:t>
      </w:r>
      <w:r w:rsidRPr="003C684F" w:rsidR="009D028E">
        <w:rPr>
          <w:rFonts w:hint="eastAsia" w:ascii="仿宋" w:hAnsi="仿宋" w:eastAsia="仿宋" w:cs="仿宋"/>
          <w:sz w:val="32"/>
          <w:szCs w:val="32"/>
        </w:rPr>
        <w:t>强效</w:t>
      </w:r>
      <w:r w:rsidRPr="003C684F">
        <w:rPr>
          <w:rFonts w:hint="eastAsia" w:ascii="仿宋" w:hAnsi="仿宋" w:eastAsia="仿宋" w:cs="仿宋"/>
          <w:sz w:val="32"/>
          <w:szCs w:val="32"/>
        </w:rPr>
        <w:t>抑制剂，应将</w:t>
      </w:r>
      <w:r w:rsidRPr="003C684F" w:rsidR="00742AC3">
        <w:rPr>
          <w:rFonts w:hint="eastAsia" w:ascii="仿宋" w:hAnsi="仿宋" w:eastAsia="仿宋" w:cs="仿宋"/>
          <w:sz w:val="32"/>
          <w:szCs w:val="32"/>
        </w:rPr>
        <w:t>恩扎卢胺</w:t>
      </w:r>
      <w:r w:rsidRPr="003C684F">
        <w:rPr>
          <w:rFonts w:hint="eastAsia" w:ascii="仿宋" w:hAnsi="仿宋" w:eastAsia="仿宋" w:cs="仿宋"/>
          <w:sz w:val="32"/>
          <w:szCs w:val="32"/>
        </w:rPr>
        <w:t>剂量降至</w:t>
      </w:r>
      <w:r w:rsidRPr="003C684F">
        <w:rPr>
          <w:rFonts w:ascii="仿宋" w:hAnsi="仿宋" w:eastAsia="仿宋" w:cs="仿宋"/>
          <w:sz w:val="32"/>
          <w:szCs w:val="32"/>
        </w:rPr>
        <w:t>80mg</w:t>
      </w:r>
      <w:r w:rsidRPr="003C684F" w:rsidR="00AF5179">
        <w:rPr>
          <w:rFonts w:hint="eastAsia" w:ascii="仿宋" w:hAnsi="仿宋" w:eastAsia="仿宋" w:cs="仿宋"/>
          <w:sz w:val="32"/>
          <w:szCs w:val="32"/>
        </w:rPr>
        <w:t>/次，</w:t>
      </w:r>
      <w:r w:rsidRPr="003C684F">
        <w:rPr>
          <w:rFonts w:hint="eastAsia" w:ascii="仿宋" w:hAnsi="仿宋" w:eastAsia="仿宋" w:cs="仿宋"/>
          <w:sz w:val="32"/>
          <w:szCs w:val="32"/>
        </w:rPr>
        <w:t>每天一次。停止</w:t>
      </w:r>
      <w:r w:rsidRPr="003C684F" w:rsidR="00F92328">
        <w:rPr>
          <w:rFonts w:hint="eastAsia" w:ascii="仿宋" w:hAnsi="仿宋" w:eastAsia="仿宋" w:cs="仿宋"/>
          <w:sz w:val="32"/>
          <w:szCs w:val="32"/>
        </w:rPr>
        <w:t>联合使用</w:t>
      </w:r>
      <w:r w:rsidRPr="003C684F">
        <w:rPr>
          <w:rFonts w:ascii="仿宋" w:hAnsi="仿宋" w:eastAsia="仿宋" w:cs="仿宋"/>
          <w:sz w:val="32"/>
          <w:szCs w:val="32"/>
        </w:rPr>
        <w:t>CYP2C8</w:t>
      </w:r>
      <w:r w:rsidRPr="003C684F" w:rsidR="009D028E">
        <w:rPr>
          <w:rFonts w:hint="eastAsia" w:ascii="仿宋" w:hAnsi="仿宋" w:eastAsia="仿宋" w:cs="仿宋"/>
          <w:sz w:val="32"/>
          <w:szCs w:val="32"/>
        </w:rPr>
        <w:t>强效</w:t>
      </w:r>
      <w:r w:rsidRPr="003C684F">
        <w:rPr>
          <w:rFonts w:hint="eastAsia" w:ascii="仿宋" w:hAnsi="仿宋" w:eastAsia="仿宋" w:cs="仿宋"/>
          <w:sz w:val="32"/>
          <w:szCs w:val="32"/>
        </w:rPr>
        <w:t>抑制剂后，应将</w:t>
      </w:r>
      <w:r w:rsidRPr="003C684F" w:rsidR="00742AC3">
        <w:rPr>
          <w:rFonts w:hint="eastAsia" w:ascii="仿宋" w:hAnsi="仿宋" w:eastAsia="仿宋" w:cs="仿宋"/>
          <w:sz w:val="32"/>
          <w:szCs w:val="32"/>
        </w:rPr>
        <w:t>恩扎卢胺</w:t>
      </w:r>
      <w:r w:rsidRPr="003C684F">
        <w:rPr>
          <w:rFonts w:hint="eastAsia" w:ascii="仿宋" w:hAnsi="仿宋" w:eastAsia="仿宋" w:cs="仿宋"/>
          <w:sz w:val="32"/>
          <w:szCs w:val="32"/>
        </w:rPr>
        <w:t>剂量恢复至</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前的剂量水平。</w:t>
      </w:r>
    </w:p>
    <w:p w:rsidRPr="003C684F" w:rsidR="009730C1" w:rsidRDefault="00A315B9" w14:paraId="2D8B8EEE"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肝功能损伤患者无需调整剂量。轻中度肾功能损伤患者无需调整剂量。</w:t>
      </w:r>
      <w:r w:rsidRPr="003C684F">
        <w:rPr>
          <w:rFonts w:hint="eastAsia" w:ascii="仿宋" w:hAnsi="仿宋" w:eastAsia="仿宋" w:cs="仿宋"/>
          <w:bCs/>
          <w:sz w:val="32"/>
          <w:szCs w:val="32"/>
        </w:rPr>
        <w:t>目前针对重度肾功能损伤患者的研究数据有限，</w:t>
      </w:r>
      <w:r w:rsidRPr="003C684F">
        <w:rPr>
          <w:rFonts w:hint="eastAsia" w:ascii="仿宋" w:hAnsi="仿宋" w:eastAsia="仿宋" w:cs="仿宋"/>
          <w:sz w:val="32"/>
          <w:szCs w:val="32"/>
        </w:rPr>
        <w:t>重度肾功能损伤或终末期肾脏疾病患者应慎用</w:t>
      </w:r>
      <w:r w:rsidRPr="003C684F" w:rsidR="00742AC3">
        <w:rPr>
          <w:rFonts w:hint="eastAsia" w:ascii="仿宋" w:hAnsi="仿宋" w:eastAsia="仿宋" w:cs="仿宋"/>
          <w:sz w:val="32"/>
          <w:szCs w:val="32"/>
        </w:rPr>
        <w:t>恩扎卢胺</w:t>
      </w:r>
      <w:r w:rsidRPr="003C684F">
        <w:rPr>
          <w:rFonts w:hint="eastAsia" w:ascii="仿宋" w:hAnsi="仿宋" w:eastAsia="仿宋" w:cs="仿宋"/>
          <w:sz w:val="32"/>
          <w:szCs w:val="32"/>
        </w:rPr>
        <w:t>。老年患者无需调整剂量。</w:t>
      </w:r>
    </w:p>
    <w:p w:rsidRPr="003C684F" w:rsidR="009730C1" w:rsidRDefault="00A315B9" w14:paraId="5DF6FAAE"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w:t>
      </w:r>
      <w:r w:rsidRPr="003C684F" w:rsidR="003B5C35">
        <w:rPr>
          <w:rFonts w:hint="eastAsia" w:ascii="黑体" w:hAnsi="黑体" w:eastAsia="黑体" w:cs="黑体"/>
          <w:sz w:val="32"/>
          <w:szCs w:val="32"/>
        </w:rPr>
        <w:t>二</w:t>
      </w:r>
      <w:r w:rsidRPr="003C684F">
        <w:rPr>
          <w:rFonts w:hint="eastAsia" w:ascii="黑体" w:hAnsi="黑体" w:eastAsia="黑体" w:cs="黑体"/>
          <w:sz w:val="32"/>
          <w:szCs w:val="32"/>
        </w:rPr>
        <w:t xml:space="preserve">、达罗他胺 </w:t>
      </w:r>
      <w:r w:rsidRPr="003C684F">
        <w:rPr>
          <w:rFonts w:ascii="黑体" w:hAnsi="黑体" w:eastAsia="黑体" w:cs="黑体"/>
          <w:sz w:val="32"/>
          <w:szCs w:val="32"/>
        </w:rPr>
        <w:t>D</w:t>
      </w:r>
      <w:r w:rsidRPr="003C684F">
        <w:rPr>
          <w:rFonts w:hint="eastAsia" w:ascii="黑体" w:hAnsi="黑体" w:eastAsia="黑体" w:cs="黑体"/>
          <w:sz w:val="32"/>
          <w:szCs w:val="32"/>
        </w:rPr>
        <w:t>arolutamide</w:t>
      </w:r>
    </w:p>
    <w:p w:rsidRPr="003C684F" w:rsidR="009730C1" w:rsidRDefault="00A315B9" w14:paraId="66FBC438"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300mg</w:t>
      </w:r>
    </w:p>
    <w:p w:rsidRPr="003C684F" w:rsidR="009730C1" w:rsidRDefault="00A315B9" w14:paraId="63A37E78"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治疗有高危转移风险的非转移性去势抵抗性前列腺癌成年患者。</w:t>
      </w:r>
    </w:p>
    <w:p w:rsidRPr="003C684F" w:rsidR="009730C1" w:rsidRDefault="00A315B9" w14:paraId="1237B18A"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9730C1" w:rsidRDefault="00A315B9" w14:paraId="7DA2BCD7" w14:textId="64F7812A">
      <w:pPr>
        <w:pStyle w:val="Default"/>
        <w:ind w:firstLine="640" w:firstLineChars="200"/>
        <w:rPr>
          <w:rFonts w:ascii="仿宋" w:hAnsi="仿宋" w:eastAsia="仿宋" w:cs="仿宋"/>
          <w:color w:val="auto"/>
          <w:kern w:val="2"/>
          <w:sz w:val="32"/>
          <w:szCs w:val="32"/>
        </w:rPr>
      </w:pPr>
      <w:r w:rsidRPr="003C684F">
        <w:rPr>
          <w:rFonts w:hint="eastAsia" w:ascii="仿宋" w:hAnsi="仿宋" w:eastAsia="仿宋" w:cs="仿宋"/>
          <w:color w:val="auto"/>
          <w:kern w:val="2"/>
          <w:sz w:val="32"/>
          <w:szCs w:val="32"/>
        </w:rPr>
        <w:lastRenderedPageBreak/>
        <w:t>1</w:t>
      </w:r>
      <w:r w:rsidRPr="003C684F">
        <w:rPr>
          <w:rFonts w:ascii="仿宋" w:hAnsi="仿宋" w:eastAsia="仿宋" w:cs="仿宋"/>
          <w:color w:val="auto"/>
          <w:kern w:val="2"/>
          <w:sz w:val="32"/>
          <w:szCs w:val="32"/>
        </w:rPr>
        <w:t>.</w:t>
      </w:r>
      <w:r w:rsidRPr="003C684F">
        <w:rPr>
          <w:rFonts w:hint="eastAsia" w:ascii="仿宋" w:hAnsi="仿宋" w:eastAsia="仿宋" w:cs="仿宋"/>
          <w:color w:val="auto"/>
          <w:kern w:val="2"/>
          <w:sz w:val="32"/>
          <w:szCs w:val="32"/>
        </w:rPr>
        <w:t>推荐剂量为达罗他胺</w:t>
      </w:r>
      <w:r w:rsidRPr="003C684F">
        <w:rPr>
          <w:rFonts w:ascii="仿宋" w:hAnsi="仿宋" w:eastAsia="仿宋" w:cs="仿宋"/>
          <w:color w:val="auto"/>
          <w:kern w:val="2"/>
          <w:sz w:val="32"/>
          <w:szCs w:val="32"/>
        </w:rPr>
        <w:t>600mg</w:t>
      </w:r>
      <w:r w:rsidRPr="003C684F" w:rsidR="00AF5179">
        <w:rPr>
          <w:rFonts w:hint="eastAsia" w:ascii="仿宋" w:hAnsi="仿宋" w:eastAsia="仿宋" w:cs="仿宋"/>
          <w:color w:val="auto"/>
          <w:kern w:val="2"/>
          <w:sz w:val="32"/>
          <w:szCs w:val="32"/>
        </w:rPr>
        <w:t>/次</w:t>
      </w:r>
      <w:r w:rsidRPr="003C684F">
        <w:rPr>
          <w:rFonts w:hint="eastAsia" w:ascii="仿宋" w:hAnsi="仿宋" w:eastAsia="仿宋" w:cs="仿宋"/>
          <w:color w:val="auto"/>
          <w:kern w:val="2"/>
          <w:sz w:val="32"/>
          <w:szCs w:val="32"/>
        </w:rPr>
        <w:t>，每天两次，口服。本品应整片吞下</w:t>
      </w:r>
      <w:r w:rsidRPr="003C684F" w:rsidR="00D953FD">
        <w:rPr>
          <w:rFonts w:hint="eastAsia" w:ascii="仿宋" w:hAnsi="仿宋" w:eastAsia="仿宋" w:cs="仿宋"/>
          <w:color w:val="auto"/>
          <w:kern w:val="2"/>
          <w:sz w:val="32"/>
          <w:szCs w:val="32"/>
        </w:rPr>
        <w:t>，</w:t>
      </w:r>
      <w:r w:rsidRPr="003C684F">
        <w:rPr>
          <w:rFonts w:hint="eastAsia" w:ascii="仿宋" w:hAnsi="仿宋" w:eastAsia="仿宋" w:cs="仿宋"/>
          <w:color w:val="auto"/>
          <w:kern w:val="2"/>
          <w:sz w:val="32"/>
          <w:szCs w:val="32"/>
        </w:rPr>
        <w:t>与食物同服。</w:t>
      </w:r>
    </w:p>
    <w:p w:rsidRPr="003C684F" w:rsidR="009730C1" w:rsidRDefault="00A315B9" w14:paraId="67338FC5" w14:textId="77777777">
      <w:pPr>
        <w:pStyle w:val="Default"/>
        <w:ind w:firstLine="640" w:firstLineChars="200"/>
        <w:rPr>
          <w:rFonts w:ascii="仿宋" w:hAnsi="仿宋" w:eastAsia="仿宋" w:cs="仿宋"/>
          <w:color w:val="auto"/>
          <w:kern w:val="2"/>
          <w:sz w:val="32"/>
          <w:szCs w:val="32"/>
        </w:rPr>
      </w:pPr>
      <w:r w:rsidRPr="003C684F">
        <w:rPr>
          <w:rFonts w:hint="eastAsia" w:ascii="仿宋" w:hAnsi="仿宋" w:eastAsia="仿宋" w:cs="仿宋"/>
          <w:color w:val="auto"/>
          <w:kern w:val="2"/>
          <w:sz w:val="32"/>
          <w:szCs w:val="32"/>
        </w:rPr>
        <w:t>2</w:t>
      </w:r>
      <w:r w:rsidRPr="003C684F">
        <w:rPr>
          <w:rFonts w:ascii="仿宋" w:hAnsi="仿宋" w:eastAsia="仿宋" w:cs="仿宋"/>
          <w:color w:val="auto"/>
          <w:kern w:val="2"/>
          <w:sz w:val="32"/>
          <w:szCs w:val="32"/>
        </w:rPr>
        <w:t>.</w:t>
      </w:r>
      <w:r w:rsidRPr="003C684F">
        <w:rPr>
          <w:rFonts w:hint="eastAsia" w:ascii="仿宋" w:hAnsi="仿宋" w:eastAsia="仿宋" w:cs="仿宋"/>
          <w:color w:val="auto"/>
          <w:kern w:val="2"/>
          <w:sz w:val="32"/>
          <w:szCs w:val="32"/>
        </w:rPr>
        <w:t>老年患者无需调整剂量。</w:t>
      </w:r>
    </w:p>
    <w:p w:rsidRPr="003C684F" w:rsidR="009730C1" w:rsidRDefault="00A315B9" w14:paraId="401F6896" w14:textId="009ACC51">
      <w:pPr>
        <w:pStyle w:val="Default"/>
        <w:ind w:firstLine="640" w:firstLineChars="200"/>
        <w:rPr>
          <w:rFonts w:ascii="仿宋" w:hAnsi="仿宋" w:eastAsia="仿宋" w:cs="仿宋"/>
          <w:color w:val="auto"/>
          <w:kern w:val="2"/>
          <w:sz w:val="32"/>
          <w:szCs w:val="32"/>
        </w:rPr>
      </w:pPr>
      <w:r w:rsidRPr="003C684F">
        <w:rPr>
          <w:rFonts w:hint="eastAsia" w:ascii="仿宋" w:hAnsi="仿宋" w:eastAsia="仿宋" w:cs="仿宋"/>
          <w:color w:val="auto"/>
          <w:kern w:val="2"/>
          <w:sz w:val="32"/>
          <w:szCs w:val="32"/>
        </w:rPr>
        <w:t>3</w:t>
      </w:r>
      <w:r w:rsidRPr="003C684F">
        <w:rPr>
          <w:rFonts w:ascii="仿宋" w:hAnsi="仿宋" w:eastAsia="仿宋" w:cs="仿宋"/>
          <w:color w:val="auto"/>
          <w:kern w:val="2"/>
          <w:sz w:val="32"/>
          <w:szCs w:val="32"/>
        </w:rPr>
        <w:t>.</w:t>
      </w:r>
      <w:r w:rsidRPr="003C684F">
        <w:rPr>
          <w:rFonts w:hint="eastAsia" w:ascii="仿宋" w:hAnsi="仿宋" w:eastAsia="仿宋" w:cs="仿宋"/>
          <w:color w:val="auto"/>
          <w:kern w:val="2"/>
          <w:sz w:val="32"/>
          <w:szCs w:val="32"/>
        </w:rPr>
        <w:t>轻中度肾功能损伤患者无需调整剂量。对于重度肾功能损伤患者[</w:t>
      </w:r>
      <w:r w:rsidRPr="003C684F">
        <w:rPr>
          <w:rFonts w:ascii="仿宋" w:hAnsi="仿宋" w:eastAsia="仿宋" w:cs="仿宋"/>
          <w:color w:val="auto"/>
          <w:kern w:val="2"/>
          <w:sz w:val="32"/>
          <w:szCs w:val="32"/>
        </w:rPr>
        <w:t>eGFR15</w:t>
      </w:r>
      <w:r w:rsidRPr="003C684F">
        <w:rPr>
          <w:rFonts w:hint="eastAsia" w:ascii="仿宋" w:hAnsi="仿宋" w:eastAsia="仿宋" w:cs="仿宋"/>
          <w:color w:val="auto"/>
          <w:kern w:val="2"/>
          <w:sz w:val="32"/>
          <w:szCs w:val="32"/>
        </w:rPr>
        <w:t>～</w:t>
      </w:r>
      <w:r w:rsidRPr="003C684F">
        <w:rPr>
          <w:rFonts w:ascii="仿宋" w:hAnsi="仿宋" w:eastAsia="仿宋" w:cs="仿宋"/>
          <w:color w:val="auto"/>
          <w:kern w:val="2"/>
          <w:sz w:val="32"/>
          <w:szCs w:val="32"/>
        </w:rPr>
        <w:t>29ml/</w:t>
      </w:r>
      <w:r w:rsidRPr="003C684F">
        <w:rPr>
          <w:rFonts w:hint="eastAsia" w:ascii="仿宋" w:hAnsi="仿宋" w:eastAsia="仿宋" w:cs="仿宋"/>
          <w:color w:val="auto"/>
          <w:kern w:val="2"/>
          <w:sz w:val="32"/>
          <w:szCs w:val="32"/>
        </w:rPr>
        <w:t>（</w:t>
      </w:r>
      <w:r w:rsidRPr="003C684F">
        <w:rPr>
          <w:rFonts w:ascii="仿宋" w:hAnsi="仿宋" w:eastAsia="仿宋" w:cs="仿宋"/>
          <w:color w:val="auto"/>
          <w:kern w:val="2"/>
          <w:sz w:val="32"/>
          <w:szCs w:val="32"/>
        </w:rPr>
        <w:t>min</w:t>
      </w:r>
      <w:r w:rsidR="00E04840">
        <w:rPr>
          <w:rFonts w:hint="eastAsia" w:ascii="MS Mincho" w:hAnsi="MS Mincho" w:eastAsia="MS Mincho" w:cs="MS Mincho"/>
          <w:color w:val="auto"/>
          <w:kern w:val="2"/>
          <w:sz w:val="32"/>
          <w:szCs w:val="32"/>
        </w:rPr>
        <w:t>•</w:t>
      </w:r>
      <w:r w:rsidRPr="003C684F">
        <w:rPr>
          <w:rFonts w:ascii="仿宋" w:hAnsi="仿宋" w:eastAsia="仿宋" w:cs="仿宋"/>
          <w:color w:val="auto"/>
          <w:kern w:val="2"/>
          <w:sz w:val="32"/>
          <w:szCs w:val="32"/>
        </w:rPr>
        <w:t>1.73m</w:t>
      </w:r>
      <w:r w:rsidRPr="003C684F">
        <w:rPr>
          <w:rFonts w:ascii="仿宋" w:hAnsi="仿宋" w:eastAsia="仿宋" w:cs="仿宋"/>
          <w:color w:val="auto"/>
          <w:kern w:val="2"/>
          <w:sz w:val="32"/>
          <w:szCs w:val="32"/>
          <w:vertAlign w:val="superscript"/>
        </w:rPr>
        <w:t>2</w:t>
      </w:r>
      <w:r w:rsidRPr="003C684F">
        <w:rPr>
          <w:rFonts w:hint="eastAsia" w:ascii="仿宋" w:hAnsi="仿宋" w:eastAsia="仿宋" w:cs="仿宋"/>
          <w:color w:val="auto"/>
          <w:kern w:val="2"/>
          <w:sz w:val="32"/>
          <w:szCs w:val="32"/>
        </w:rPr>
        <w:t>）]，推荐的起始剂量为</w:t>
      </w:r>
      <w:r w:rsidRPr="003C684F">
        <w:rPr>
          <w:rFonts w:ascii="仿宋" w:hAnsi="仿宋" w:eastAsia="仿宋" w:cs="仿宋"/>
          <w:color w:val="auto"/>
          <w:kern w:val="2"/>
          <w:sz w:val="32"/>
          <w:szCs w:val="32"/>
        </w:rPr>
        <w:t>300mg</w:t>
      </w:r>
      <w:r w:rsidRPr="003C684F">
        <w:rPr>
          <w:rFonts w:hint="eastAsia" w:ascii="仿宋" w:hAnsi="仿宋" w:eastAsia="仿宋" w:cs="仿宋"/>
          <w:color w:val="auto"/>
          <w:kern w:val="2"/>
          <w:sz w:val="32"/>
          <w:szCs w:val="32"/>
        </w:rPr>
        <w:t>，每天两次。</w:t>
      </w:r>
    </w:p>
    <w:p w:rsidRPr="003C684F" w:rsidR="009730C1" w:rsidRDefault="00A315B9" w14:paraId="0FFC0B2D" w14:textId="3D40F1D2">
      <w:pPr>
        <w:pStyle w:val="Default"/>
        <w:ind w:firstLine="640" w:firstLineChars="200"/>
        <w:rPr>
          <w:rFonts w:ascii="仿宋" w:hAnsi="仿宋" w:eastAsia="仿宋" w:cs="仿宋"/>
          <w:color w:val="auto"/>
          <w:kern w:val="2"/>
          <w:sz w:val="32"/>
          <w:szCs w:val="32"/>
        </w:rPr>
      </w:pPr>
      <w:r w:rsidRPr="003C684F">
        <w:rPr>
          <w:rFonts w:hint="eastAsia" w:ascii="仿宋" w:hAnsi="仿宋" w:eastAsia="仿宋" w:cs="仿宋"/>
          <w:color w:val="auto"/>
          <w:kern w:val="2"/>
          <w:sz w:val="32"/>
          <w:szCs w:val="32"/>
        </w:rPr>
        <w:t>4</w:t>
      </w:r>
      <w:r w:rsidRPr="003C684F">
        <w:rPr>
          <w:rFonts w:ascii="仿宋" w:hAnsi="仿宋" w:eastAsia="仿宋" w:cs="仿宋"/>
          <w:color w:val="auto"/>
          <w:kern w:val="2"/>
          <w:sz w:val="32"/>
          <w:szCs w:val="32"/>
        </w:rPr>
        <w:t>.</w:t>
      </w:r>
      <w:r w:rsidRPr="003C684F">
        <w:rPr>
          <w:rFonts w:hint="eastAsia" w:ascii="仿宋" w:hAnsi="仿宋" w:eastAsia="仿宋" w:cs="仿宋"/>
          <w:color w:val="auto"/>
          <w:kern w:val="2"/>
          <w:sz w:val="32"/>
          <w:szCs w:val="32"/>
        </w:rPr>
        <w:t>轻度肝功能损伤（</w:t>
      </w:r>
      <w:r w:rsidRPr="003C684F">
        <w:rPr>
          <w:rFonts w:ascii="仿宋" w:hAnsi="仿宋" w:eastAsia="仿宋" w:cs="仿宋"/>
          <w:color w:val="auto"/>
          <w:kern w:val="2"/>
          <w:sz w:val="32"/>
          <w:szCs w:val="32"/>
        </w:rPr>
        <w:t>Child-Pugh A</w:t>
      </w:r>
      <w:r w:rsidR="00E04840">
        <w:rPr>
          <w:rFonts w:hint="eastAsia" w:ascii="仿宋" w:hAnsi="仿宋" w:eastAsia="仿宋" w:cs="仿宋"/>
          <w:color w:val="auto"/>
          <w:kern w:val="2"/>
          <w:sz w:val="32"/>
          <w:szCs w:val="32"/>
        </w:rPr>
        <w:t>级</w:t>
      </w:r>
      <w:r w:rsidRPr="003C684F">
        <w:rPr>
          <w:rFonts w:hint="eastAsia" w:ascii="仿宋" w:hAnsi="仿宋" w:eastAsia="仿宋" w:cs="仿宋"/>
          <w:color w:val="auto"/>
          <w:kern w:val="2"/>
          <w:sz w:val="32"/>
          <w:szCs w:val="32"/>
        </w:rPr>
        <w:t>）患者无需调整剂量。对于中度肝功能损伤患者（</w:t>
      </w:r>
      <w:r w:rsidRPr="003C684F">
        <w:rPr>
          <w:rFonts w:ascii="仿宋" w:hAnsi="仿宋" w:eastAsia="仿宋" w:cs="仿宋"/>
          <w:color w:val="auto"/>
          <w:kern w:val="2"/>
          <w:sz w:val="32"/>
          <w:szCs w:val="32"/>
        </w:rPr>
        <w:t>Child-Pugh B</w:t>
      </w:r>
      <w:r w:rsidR="00E04840">
        <w:rPr>
          <w:rFonts w:hint="eastAsia" w:ascii="仿宋" w:hAnsi="仿宋" w:eastAsia="仿宋" w:cs="仿宋"/>
          <w:color w:val="auto"/>
          <w:kern w:val="2"/>
          <w:sz w:val="32"/>
          <w:szCs w:val="32"/>
        </w:rPr>
        <w:t>级</w:t>
      </w:r>
      <w:r w:rsidRPr="003C684F">
        <w:rPr>
          <w:rFonts w:hint="eastAsia" w:ascii="仿宋" w:hAnsi="仿宋" w:eastAsia="仿宋" w:cs="仿宋"/>
          <w:color w:val="auto"/>
          <w:kern w:val="2"/>
          <w:sz w:val="32"/>
          <w:szCs w:val="32"/>
        </w:rPr>
        <w:t>），推荐的起始剂量为</w:t>
      </w:r>
      <w:r w:rsidRPr="003C684F">
        <w:rPr>
          <w:rFonts w:ascii="仿宋" w:hAnsi="仿宋" w:eastAsia="仿宋" w:cs="仿宋"/>
          <w:color w:val="auto"/>
          <w:kern w:val="2"/>
          <w:sz w:val="32"/>
          <w:szCs w:val="32"/>
        </w:rPr>
        <w:t>300mg</w:t>
      </w:r>
      <w:r w:rsidRPr="003C684F" w:rsidR="00AF5179">
        <w:rPr>
          <w:rFonts w:hint="eastAsia" w:ascii="仿宋" w:hAnsi="仿宋" w:eastAsia="仿宋" w:cs="仿宋"/>
          <w:color w:val="auto"/>
          <w:kern w:val="2"/>
          <w:sz w:val="32"/>
          <w:szCs w:val="32"/>
        </w:rPr>
        <w:t>/次</w:t>
      </w:r>
      <w:r w:rsidRPr="003C684F">
        <w:rPr>
          <w:rFonts w:hint="eastAsia" w:ascii="仿宋" w:hAnsi="仿宋" w:eastAsia="仿宋" w:cs="仿宋"/>
          <w:color w:val="auto"/>
          <w:kern w:val="2"/>
          <w:sz w:val="32"/>
          <w:szCs w:val="32"/>
        </w:rPr>
        <w:t>，每天两次。</w:t>
      </w:r>
    </w:p>
    <w:p w:rsidRPr="003C684F" w:rsidR="009730C1" w:rsidRDefault="00A315B9" w14:paraId="5345782A" w14:textId="384F2FC0">
      <w:pPr>
        <w:pStyle w:val="Default"/>
        <w:ind w:firstLine="640" w:firstLineChars="200"/>
        <w:rPr>
          <w:rFonts w:ascii="仿宋" w:hAnsi="仿宋" w:eastAsia="仿宋" w:cs="仿宋"/>
          <w:color w:val="auto"/>
          <w:kern w:val="2"/>
          <w:sz w:val="32"/>
          <w:szCs w:val="32"/>
        </w:rPr>
      </w:pPr>
      <w:r w:rsidRPr="003C684F">
        <w:rPr>
          <w:rFonts w:hint="eastAsia" w:ascii="仿宋" w:hAnsi="仿宋" w:eastAsia="仿宋" w:cs="仿宋"/>
          <w:color w:val="auto"/>
          <w:kern w:val="2"/>
          <w:sz w:val="32"/>
          <w:szCs w:val="32"/>
        </w:rPr>
        <w:t>5</w:t>
      </w:r>
      <w:r w:rsidRPr="003C684F">
        <w:rPr>
          <w:rFonts w:ascii="仿宋" w:hAnsi="仿宋" w:eastAsia="仿宋" w:cs="仿宋"/>
          <w:color w:val="auto"/>
          <w:kern w:val="2"/>
          <w:sz w:val="32"/>
          <w:szCs w:val="32"/>
        </w:rPr>
        <w:t>.</w:t>
      </w:r>
      <w:r w:rsidRPr="003C684F">
        <w:rPr>
          <w:rFonts w:hint="eastAsia" w:ascii="仿宋" w:hAnsi="仿宋" w:eastAsia="仿宋" w:cs="仿宋"/>
          <w:color w:val="auto"/>
          <w:kern w:val="2"/>
          <w:sz w:val="32"/>
          <w:szCs w:val="32"/>
        </w:rPr>
        <w:t>避免</w:t>
      </w:r>
      <w:r w:rsidRPr="003C684F" w:rsidR="00E44A1D">
        <w:rPr>
          <w:rFonts w:hint="eastAsia" w:ascii="仿宋" w:hAnsi="仿宋" w:eastAsia="仿宋" w:cs="仿宋"/>
          <w:color w:val="auto"/>
          <w:kern w:val="2"/>
          <w:sz w:val="32"/>
          <w:szCs w:val="32"/>
        </w:rPr>
        <w:t>联合使用</w:t>
      </w:r>
      <w:r w:rsidRPr="003C684F">
        <w:rPr>
          <w:rFonts w:ascii="仿宋" w:hAnsi="仿宋" w:eastAsia="仿宋" w:cs="仿宋"/>
          <w:color w:val="auto"/>
          <w:kern w:val="2"/>
          <w:sz w:val="32"/>
          <w:szCs w:val="32"/>
        </w:rPr>
        <w:t>CYP3A4</w:t>
      </w:r>
      <w:r w:rsidRPr="003C684F">
        <w:rPr>
          <w:rFonts w:hint="eastAsia" w:ascii="仿宋" w:hAnsi="仿宋" w:eastAsia="仿宋" w:cs="仿宋"/>
          <w:color w:val="auto"/>
          <w:kern w:val="2"/>
          <w:sz w:val="32"/>
          <w:szCs w:val="32"/>
        </w:rPr>
        <w:t>和</w:t>
      </w:r>
      <w:r w:rsidRPr="003C684F">
        <w:rPr>
          <w:rFonts w:ascii="仿宋" w:hAnsi="仿宋" w:eastAsia="仿宋" w:cs="仿宋"/>
          <w:color w:val="auto"/>
          <w:kern w:val="2"/>
          <w:sz w:val="32"/>
          <w:szCs w:val="32"/>
        </w:rPr>
        <w:t>P-糖蛋白</w:t>
      </w:r>
      <w:r w:rsidRPr="003C684F" w:rsidR="0029486A">
        <w:rPr>
          <w:rFonts w:hint="eastAsia" w:ascii="仿宋" w:hAnsi="仿宋" w:eastAsia="仿宋" w:cs="仿宋"/>
          <w:color w:val="auto"/>
          <w:kern w:val="2"/>
          <w:sz w:val="32"/>
          <w:szCs w:val="32"/>
        </w:rPr>
        <w:t>强效</w:t>
      </w:r>
      <w:r w:rsidRPr="003C684F">
        <w:rPr>
          <w:rFonts w:hint="eastAsia" w:ascii="仿宋" w:hAnsi="仿宋" w:eastAsia="仿宋" w:cs="仿宋"/>
          <w:color w:val="auto"/>
          <w:kern w:val="2"/>
          <w:sz w:val="32"/>
          <w:szCs w:val="32"/>
        </w:rPr>
        <w:t>诱导剂。与达罗他胺</w:t>
      </w:r>
      <w:r w:rsidRPr="003C684F" w:rsidR="004B1BA5">
        <w:rPr>
          <w:rFonts w:hint="eastAsia" w:ascii="仿宋" w:hAnsi="仿宋" w:eastAsia="仿宋" w:cs="仿宋"/>
          <w:color w:val="auto"/>
          <w:kern w:val="2"/>
          <w:sz w:val="32"/>
          <w:szCs w:val="32"/>
        </w:rPr>
        <w:t>联合使用</w:t>
      </w:r>
      <w:r w:rsidRPr="003C684F">
        <w:rPr>
          <w:rFonts w:hint="eastAsia" w:ascii="仿宋" w:hAnsi="仿宋" w:eastAsia="仿宋" w:cs="仿宋"/>
          <w:color w:val="auto"/>
          <w:kern w:val="2"/>
          <w:sz w:val="32"/>
          <w:szCs w:val="32"/>
        </w:rPr>
        <w:t>可能会增加</w:t>
      </w:r>
      <w:r w:rsidRPr="003C684F">
        <w:rPr>
          <w:rFonts w:ascii="仿宋" w:hAnsi="仿宋" w:eastAsia="仿宋" w:cs="仿宋"/>
          <w:color w:val="auto"/>
          <w:kern w:val="2"/>
          <w:sz w:val="32"/>
          <w:szCs w:val="32"/>
        </w:rPr>
        <w:t>BCRP</w:t>
      </w:r>
      <w:r w:rsidRPr="003C684F">
        <w:rPr>
          <w:rFonts w:hint="eastAsia" w:ascii="仿宋" w:hAnsi="仿宋" w:eastAsia="仿宋" w:cs="仿宋"/>
          <w:color w:val="auto"/>
          <w:kern w:val="2"/>
          <w:sz w:val="32"/>
          <w:szCs w:val="32"/>
        </w:rPr>
        <w:t>、</w:t>
      </w:r>
      <w:r w:rsidRPr="003C684F">
        <w:rPr>
          <w:rFonts w:ascii="仿宋" w:hAnsi="仿宋" w:eastAsia="仿宋" w:cs="仿宋"/>
          <w:color w:val="auto"/>
          <w:kern w:val="2"/>
          <w:sz w:val="32"/>
          <w:szCs w:val="32"/>
        </w:rPr>
        <w:t>OATP1B1</w:t>
      </w:r>
      <w:r w:rsidRPr="003C684F">
        <w:rPr>
          <w:rFonts w:hint="eastAsia" w:ascii="仿宋" w:hAnsi="仿宋" w:eastAsia="仿宋" w:cs="仿宋"/>
          <w:color w:val="auto"/>
          <w:kern w:val="2"/>
          <w:sz w:val="32"/>
          <w:szCs w:val="32"/>
        </w:rPr>
        <w:t>和</w:t>
      </w:r>
      <w:r w:rsidRPr="003C684F">
        <w:rPr>
          <w:rFonts w:ascii="仿宋" w:hAnsi="仿宋" w:eastAsia="仿宋" w:cs="仿宋"/>
          <w:color w:val="auto"/>
          <w:kern w:val="2"/>
          <w:sz w:val="32"/>
          <w:szCs w:val="32"/>
        </w:rPr>
        <w:t>OATP1B3</w:t>
      </w:r>
      <w:r w:rsidRPr="003C684F">
        <w:rPr>
          <w:rFonts w:hint="eastAsia" w:ascii="仿宋" w:hAnsi="仿宋" w:eastAsia="仿宋" w:cs="仿宋"/>
          <w:color w:val="auto"/>
          <w:kern w:val="2"/>
          <w:sz w:val="32"/>
          <w:szCs w:val="32"/>
        </w:rPr>
        <w:t>底物的血浆浓度，因此应监测患者是否出现这些底物的不良反应。应避免与瑞舒伐他汀</w:t>
      </w:r>
      <w:r w:rsidRPr="003C684F" w:rsidR="004B1BA5">
        <w:rPr>
          <w:rFonts w:hint="eastAsia" w:ascii="仿宋" w:hAnsi="仿宋" w:eastAsia="仿宋" w:cs="仿宋"/>
          <w:color w:val="auto"/>
          <w:kern w:val="2"/>
          <w:sz w:val="32"/>
          <w:szCs w:val="32"/>
        </w:rPr>
        <w:t>联合使用</w:t>
      </w:r>
      <w:r w:rsidRPr="003C684F">
        <w:rPr>
          <w:rFonts w:hint="eastAsia" w:ascii="仿宋" w:hAnsi="仿宋" w:eastAsia="仿宋" w:cs="仿宋"/>
          <w:color w:val="auto"/>
          <w:kern w:val="2"/>
          <w:sz w:val="32"/>
          <w:szCs w:val="32"/>
        </w:rPr>
        <w:t>。</w:t>
      </w:r>
    </w:p>
    <w:p w:rsidRPr="003C684F" w:rsidR="009730C1" w:rsidRDefault="00A315B9" w14:paraId="2B1FD3A7" w14:textId="77777777">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w:t>
      </w:r>
      <w:r w:rsidRPr="003C684F" w:rsidR="003B5C35">
        <w:rPr>
          <w:rFonts w:hint="eastAsia" w:ascii="黑体" w:hAnsi="黑体" w:eastAsia="黑体" w:cs="黑体"/>
          <w:sz w:val="32"/>
          <w:szCs w:val="32"/>
        </w:rPr>
        <w:t>三</w:t>
      </w:r>
      <w:r w:rsidRPr="003C684F">
        <w:rPr>
          <w:rFonts w:hint="eastAsia" w:ascii="黑体" w:hAnsi="黑体" w:eastAsia="黑体" w:cs="黑体"/>
          <w:sz w:val="32"/>
          <w:szCs w:val="32"/>
        </w:rPr>
        <w:t xml:space="preserve">、瑞维鲁胺 </w:t>
      </w:r>
      <w:r w:rsidRPr="003C684F">
        <w:rPr>
          <w:rFonts w:ascii="黑体" w:hAnsi="黑体" w:eastAsia="黑体" w:cs="黑体"/>
          <w:sz w:val="32"/>
          <w:szCs w:val="32"/>
        </w:rPr>
        <w:t>Rezvilutamide</w:t>
      </w:r>
    </w:p>
    <w:p w:rsidRPr="003C684F" w:rsidR="009730C1" w:rsidRDefault="00A315B9" w14:paraId="7F0772D3"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黑体"/>
          <w:sz w:val="32"/>
          <w:szCs w:val="32"/>
        </w:rPr>
        <w:t>片剂：</w:t>
      </w:r>
      <w:r w:rsidRPr="003C684F">
        <w:rPr>
          <w:rFonts w:ascii="仿宋" w:hAnsi="仿宋" w:eastAsia="仿宋" w:cs="黑体"/>
          <w:sz w:val="32"/>
          <w:szCs w:val="32"/>
        </w:rPr>
        <w:t>80mg</w:t>
      </w:r>
    </w:p>
    <w:p w:rsidRPr="003C684F" w:rsidR="009730C1" w:rsidRDefault="00A315B9" w14:paraId="5BCCFB97"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适应证：</w:t>
      </w:r>
      <w:r w:rsidRPr="003C684F">
        <w:rPr>
          <w:rFonts w:ascii="仿宋" w:hAnsi="仿宋" w:eastAsia="仿宋" w:cs="黑体"/>
          <w:sz w:val="32"/>
          <w:szCs w:val="32"/>
        </w:rPr>
        <w:t>适用于</w:t>
      </w:r>
      <w:r w:rsidRPr="003C684F">
        <w:rPr>
          <w:rFonts w:hint="eastAsia" w:ascii="仿宋" w:hAnsi="仿宋" w:eastAsia="仿宋" w:cs="黑体"/>
          <w:sz w:val="32"/>
          <w:szCs w:val="32"/>
        </w:rPr>
        <w:t>治疗高肿瘤负荷的转移性激素敏感性前列腺癌患者。</w:t>
      </w:r>
    </w:p>
    <w:p w:rsidRPr="003C684F" w:rsidR="009730C1" w:rsidRDefault="00A315B9" w14:paraId="61DCC245"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6D15B8EA" w14:textId="7BCEAF04">
      <w:pPr>
        <w:pStyle w:val="12"/>
        <w:spacing w:line="360" w:lineRule="auto"/>
        <w:ind w:firstLine="640"/>
        <w:rPr>
          <w:rFonts w:ascii="仿宋" w:hAnsi="仿宋" w:eastAsia="仿宋" w:cs="黑体"/>
          <w:bCs/>
          <w:sz w:val="32"/>
          <w:szCs w:val="32"/>
        </w:rPr>
      </w:pPr>
      <w:r w:rsidRPr="003C684F">
        <w:rPr>
          <w:rFonts w:hint="eastAsia" w:ascii="仿宋" w:hAnsi="仿宋" w:eastAsia="仿宋" w:cs="黑体"/>
          <w:bCs/>
          <w:sz w:val="32"/>
          <w:szCs w:val="32"/>
        </w:rPr>
        <w:t>1</w:t>
      </w:r>
      <w:r w:rsidRPr="003C684F">
        <w:rPr>
          <w:rFonts w:ascii="仿宋" w:hAnsi="仿宋" w:eastAsia="仿宋" w:cs="黑体"/>
          <w:bCs/>
          <w:sz w:val="32"/>
          <w:szCs w:val="32"/>
        </w:rPr>
        <w:t>.</w:t>
      </w:r>
      <w:r w:rsidRPr="003C684F">
        <w:rPr>
          <w:rFonts w:hint="eastAsia" w:ascii="仿宋" w:hAnsi="仿宋" w:eastAsia="仿宋" w:cs="黑体"/>
          <w:bCs/>
          <w:sz w:val="32"/>
          <w:szCs w:val="32"/>
        </w:rPr>
        <w:t>瑞维鲁胺的推荐剂量为</w:t>
      </w:r>
      <w:r w:rsidRPr="003C684F">
        <w:rPr>
          <w:rFonts w:ascii="仿宋" w:hAnsi="仿宋" w:eastAsia="仿宋" w:cs="黑体"/>
          <w:bCs/>
          <w:sz w:val="32"/>
          <w:szCs w:val="32"/>
        </w:rPr>
        <w:t>240mg</w:t>
      </w:r>
      <w:r w:rsidRPr="003C684F" w:rsidR="00AF5179">
        <w:rPr>
          <w:rFonts w:hint="eastAsia" w:ascii="仿宋" w:hAnsi="仿宋" w:eastAsia="仿宋" w:cs="黑体"/>
          <w:bCs/>
          <w:sz w:val="32"/>
          <w:szCs w:val="32"/>
        </w:rPr>
        <w:t>/次</w:t>
      </w:r>
      <w:r w:rsidRPr="003C684F">
        <w:rPr>
          <w:rFonts w:ascii="仿宋" w:hAnsi="仿宋" w:eastAsia="仿宋" w:cs="黑体"/>
          <w:bCs/>
          <w:sz w:val="32"/>
          <w:szCs w:val="32"/>
        </w:rPr>
        <w:t>，每天一次</w:t>
      </w:r>
      <w:r w:rsidRPr="003C684F" w:rsidR="00AF5179">
        <w:rPr>
          <w:rFonts w:hint="eastAsia" w:ascii="仿宋" w:hAnsi="仿宋" w:eastAsia="仿宋" w:cs="黑体"/>
          <w:bCs/>
          <w:sz w:val="32"/>
          <w:szCs w:val="32"/>
        </w:rPr>
        <w:t>，口服</w:t>
      </w:r>
      <w:r w:rsidRPr="003C684F">
        <w:rPr>
          <w:rFonts w:ascii="仿宋" w:hAnsi="仿宋" w:eastAsia="仿宋" w:cs="黑体"/>
          <w:bCs/>
          <w:sz w:val="32"/>
          <w:szCs w:val="32"/>
        </w:rPr>
        <w:t>，需整片吞下，在进餐后或空腹时均可服用。</w:t>
      </w:r>
    </w:p>
    <w:p w:rsidRPr="003C684F" w:rsidR="009730C1" w:rsidRDefault="00A315B9" w14:paraId="7563DFC4" w14:textId="77777777">
      <w:pPr>
        <w:pStyle w:val="12"/>
        <w:spacing w:line="360" w:lineRule="auto"/>
        <w:ind w:firstLine="640"/>
        <w:rPr>
          <w:rFonts w:ascii="仿宋" w:hAnsi="仿宋" w:eastAsia="仿宋" w:cs="黑体"/>
          <w:bCs/>
          <w:sz w:val="32"/>
          <w:szCs w:val="32"/>
        </w:rPr>
      </w:pPr>
      <w:r w:rsidRPr="003C684F">
        <w:rPr>
          <w:rFonts w:hint="eastAsia" w:ascii="仿宋" w:hAnsi="仿宋" w:eastAsia="仿宋" w:cs="黑体"/>
          <w:bCs/>
          <w:sz w:val="32"/>
          <w:szCs w:val="32"/>
        </w:rPr>
        <w:t>2</w:t>
      </w:r>
      <w:r w:rsidRPr="003C684F">
        <w:rPr>
          <w:rFonts w:ascii="仿宋" w:hAnsi="仿宋" w:eastAsia="仿宋" w:cs="黑体"/>
          <w:bCs/>
          <w:sz w:val="32"/>
          <w:szCs w:val="32"/>
        </w:rPr>
        <w:t>.</w:t>
      </w:r>
      <w:r w:rsidRPr="003C684F">
        <w:rPr>
          <w:rFonts w:hint="eastAsia" w:ascii="仿宋" w:hAnsi="仿宋" w:eastAsia="仿宋" w:cs="黑体"/>
          <w:bCs/>
          <w:sz w:val="32"/>
          <w:szCs w:val="32"/>
        </w:rPr>
        <w:t>患者还应同时接受雄激素剥夺治疗，即同时接受促性腺激素释放激素类似物</w:t>
      </w:r>
      <w:r w:rsidRPr="003C684F">
        <w:rPr>
          <w:rFonts w:ascii="仿宋" w:hAnsi="仿宋" w:eastAsia="仿宋" w:cs="黑体"/>
          <w:bCs/>
          <w:sz w:val="32"/>
          <w:szCs w:val="32"/>
        </w:rPr>
        <w:t>治疗或已接受过双侧睾丸切除术。</w:t>
      </w:r>
    </w:p>
    <w:p w:rsidRPr="003C684F" w:rsidR="009730C1" w:rsidRDefault="00A315B9" w14:paraId="138C5EA9" w14:textId="427A9620">
      <w:pPr>
        <w:pStyle w:val="12"/>
        <w:spacing w:line="360" w:lineRule="auto"/>
        <w:ind w:firstLine="640"/>
        <w:rPr>
          <w:rFonts w:ascii="仿宋" w:hAnsi="仿宋" w:eastAsia="仿宋" w:cs="黑体"/>
          <w:bCs/>
          <w:sz w:val="32"/>
          <w:szCs w:val="32"/>
        </w:rPr>
      </w:pPr>
      <w:r w:rsidRPr="003C684F">
        <w:rPr>
          <w:rFonts w:hint="eastAsia" w:ascii="仿宋" w:hAnsi="仿宋" w:eastAsia="仿宋" w:cs="黑体"/>
          <w:bCs/>
          <w:sz w:val="32"/>
          <w:szCs w:val="32"/>
        </w:rPr>
        <w:lastRenderedPageBreak/>
        <w:t>3</w:t>
      </w:r>
      <w:r w:rsidRPr="003C684F">
        <w:rPr>
          <w:rFonts w:ascii="仿宋" w:hAnsi="仿宋" w:eastAsia="仿宋" w:cs="黑体"/>
          <w:bCs/>
          <w:sz w:val="32"/>
          <w:szCs w:val="32"/>
        </w:rPr>
        <w:t>.</w:t>
      </w:r>
      <w:r w:rsidRPr="003C684F">
        <w:rPr>
          <w:rFonts w:hint="eastAsia" w:ascii="仿宋" w:hAnsi="仿宋" w:eastAsia="仿宋" w:cs="黑体"/>
          <w:bCs/>
          <w:sz w:val="32"/>
          <w:szCs w:val="32"/>
        </w:rPr>
        <w:t>治疗最常见的导致终止治疗的不良反应是肝脏转氨酶升高，因此用药期间需要监测肝功能。如果患者出现≥</w:t>
      </w:r>
      <w:r w:rsidRPr="003C684F">
        <w:rPr>
          <w:rFonts w:ascii="仿宋" w:hAnsi="仿宋" w:eastAsia="仿宋" w:cs="黑体"/>
          <w:bCs/>
          <w:sz w:val="32"/>
          <w:szCs w:val="32"/>
        </w:rPr>
        <w:t>3</w:t>
      </w:r>
      <w:r w:rsidRPr="003C684F">
        <w:rPr>
          <w:rFonts w:hint="eastAsia" w:ascii="仿宋" w:hAnsi="仿宋" w:eastAsia="仿宋" w:cs="黑体"/>
          <w:bCs/>
          <w:sz w:val="32"/>
          <w:szCs w:val="32"/>
        </w:rPr>
        <w:t>级毒性或不可耐受的不良反应，应暂停给药，直至症状改善至≤1级或原有级别，之后以相同剂量或必要时</w:t>
      </w:r>
      <w:r w:rsidRPr="003C684F" w:rsidR="00DF7B96">
        <w:rPr>
          <w:rFonts w:hint="eastAsia" w:ascii="仿宋" w:hAnsi="仿宋" w:eastAsia="仿宋" w:cs="黑体"/>
          <w:bCs/>
          <w:sz w:val="32"/>
          <w:szCs w:val="32"/>
        </w:rPr>
        <w:t>降低剂量</w:t>
      </w:r>
      <w:r w:rsidRPr="003C684F">
        <w:rPr>
          <w:rFonts w:hint="eastAsia" w:ascii="仿宋" w:hAnsi="仿宋" w:eastAsia="仿宋" w:cs="黑体"/>
          <w:bCs/>
          <w:sz w:val="32"/>
          <w:szCs w:val="32"/>
        </w:rPr>
        <w:t>（1</w:t>
      </w:r>
      <w:r w:rsidRPr="003C684F">
        <w:rPr>
          <w:rFonts w:ascii="仿宋" w:hAnsi="仿宋" w:eastAsia="仿宋" w:cs="黑体"/>
          <w:bCs/>
          <w:sz w:val="32"/>
          <w:szCs w:val="32"/>
        </w:rPr>
        <w:t>60mg</w:t>
      </w:r>
      <w:r w:rsidRPr="003C684F" w:rsidR="00AF5179">
        <w:rPr>
          <w:rFonts w:hint="eastAsia" w:ascii="仿宋" w:hAnsi="仿宋" w:eastAsia="仿宋" w:cs="黑体"/>
          <w:bCs/>
          <w:sz w:val="32"/>
          <w:szCs w:val="32"/>
        </w:rPr>
        <w:t>/次</w:t>
      </w:r>
      <w:r w:rsidRPr="003C684F">
        <w:rPr>
          <w:rFonts w:hint="eastAsia" w:ascii="仿宋" w:hAnsi="仿宋" w:eastAsia="仿宋" w:cs="黑体"/>
          <w:bCs/>
          <w:sz w:val="32"/>
          <w:szCs w:val="32"/>
        </w:rPr>
        <w:t>或8</w:t>
      </w:r>
      <w:r w:rsidRPr="003C684F">
        <w:rPr>
          <w:rFonts w:ascii="仿宋" w:hAnsi="仿宋" w:eastAsia="仿宋" w:cs="黑体"/>
          <w:bCs/>
          <w:sz w:val="32"/>
          <w:szCs w:val="32"/>
        </w:rPr>
        <w:t>0mg</w:t>
      </w:r>
      <w:r w:rsidRPr="003C684F" w:rsidR="00AF5179">
        <w:rPr>
          <w:rFonts w:hint="eastAsia" w:ascii="仿宋" w:hAnsi="仿宋" w:eastAsia="仿宋" w:cs="黑体"/>
          <w:bCs/>
          <w:sz w:val="32"/>
          <w:szCs w:val="32"/>
        </w:rPr>
        <w:t>/次</w:t>
      </w:r>
      <w:r w:rsidRPr="003C684F">
        <w:rPr>
          <w:rFonts w:hint="eastAsia" w:ascii="仿宋" w:hAnsi="仿宋" w:eastAsia="仿宋" w:cs="黑体"/>
          <w:bCs/>
          <w:sz w:val="32"/>
          <w:szCs w:val="32"/>
        </w:rPr>
        <w:t>）重新用药。</w:t>
      </w:r>
    </w:p>
    <w:p w:rsidRPr="003C684F" w:rsidR="009730C1" w:rsidRDefault="00A315B9" w14:paraId="0B1847FF" w14:textId="4A3F2060">
      <w:pPr>
        <w:pStyle w:val="12"/>
        <w:spacing w:line="360" w:lineRule="auto"/>
        <w:ind w:firstLine="640"/>
        <w:rPr>
          <w:rFonts w:ascii="仿宋" w:hAnsi="仿宋" w:eastAsia="仿宋" w:cs="黑体"/>
          <w:bCs/>
          <w:sz w:val="32"/>
          <w:szCs w:val="32"/>
        </w:rPr>
      </w:pPr>
      <w:r w:rsidRPr="003C684F">
        <w:rPr>
          <w:rFonts w:hint="eastAsia" w:ascii="仿宋" w:hAnsi="仿宋" w:eastAsia="仿宋" w:cs="黑体"/>
          <w:bCs/>
          <w:sz w:val="32"/>
          <w:szCs w:val="32"/>
        </w:rPr>
        <w:t>4</w:t>
      </w:r>
      <w:r w:rsidRPr="003C684F">
        <w:rPr>
          <w:rFonts w:ascii="仿宋" w:hAnsi="仿宋" w:eastAsia="仿宋" w:cs="黑体"/>
          <w:bCs/>
          <w:sz w:val="32"/>
          <w:szCs w:val="32"/>
        </w:rPr>
        <w:t>.</w:t>
      </w:r>
      <w:r w:rsidRPr="003C684F">
        <w:rPr>
          <w:rFonts w:hint="eastAsia" w:ascii="仿宋" w:hAnsi="仿宋" w:eastAsia="仿宋" w:cs="黑体"/>
          <w:bCs/>
          <w:sz w:val="32"/>
          <w:szCs w:val="32"/>
        </w:rPr>
        <w:t>瑞维鲁胺是一种强效酶诱导剂，可能会导致许多常用药品的疗效下降，因此，开始瑞维鲁胺治疗前应检查</w:t>
      </w:r>
      <w:r w:rsidRPr="003C684F" w:rsidR="00E923A0">
        <w:rPr>
          <w:rFonts w:hint="eastAsia" w:ascii="仿宋" w:hAnsi="仿宋" w:eastAsia="仿宋" w:cs="黑体"/>
          <w:bCs/>
          <w:sz w:val="32"/>
          <w:szCs w:val="32"/>
        </w:rPr>
        <w:t>联合使用</w:t>
      </w:r>
      <w:r w:rsidRPr="003C684F">
        <w:rPr>
          <w:rFonts w:hint="eastAsia" w:ascii="仿宋" w:hAnsi="仿宋" w:eastAsia="仿宋" w:cs="黑体"/>
          <w:bCs/>
          <w:sz w:val="32"/>
          <w:szCs w:val="32"/>
        </w:rPr>
        <w:t>。与主要经CYP3A4、CYP2C8、CYP2C9、CYP2C19或CYP2B6代谢的药物</w:t>
      </w:r>
      <w:r w:rsidRPr="003C684F" w:rsidR="00F92328">
        <w:rPr>
          <w:rFonts w:hint="eastAsia" w:ascii="仿宋" w:hAnsi="仿宋" w:eastAsia="仿宋" w:cs="黑体"/>
          <w:bCs/>
          <w:sz w:val="32"/>
          <w:szCs w:val="32"/>
        </w:rPr>
        <w:t>联合使用</w:t>
      </w:r>
      <w:r w:rsidRPr="003C684F">
        <w:rPr>
          <w:rFonts w:hint="eastAsia" w:ascii="仿宋" w:hAnsi="仿宋" w:eastAsia="仿宋" w:cs="黑体"/>
          <w:bCs/>
          <w:sz w:val="32"/>
          <w:szCs w:val="32"/>
        </w:rPr>
        <w:t>时，可能会降低这些药物的暴露量。如有可能，建议换用其他药物；如需继续用药，有可能发生药效降低的情况。</w:t>
      </w:r>
    </w:p>
    <w:p w:rsidRPr="003C684F" w:rsidR="009730C1" w:rsidRDefault="00A315B9" w14:paraId="3D8EC9DE" w14:textId="77777777">
      <w:pPr>
        <w:pStyle w:val="12"/>
        <w:spacing w:line="360" w:lineRule="auto"/>
        <w:ind w:firstLine="640"/>
        <w:rPr>
          <w:rFonts w:ascii="仿宋" w:hAnsi="仿宋" w:eastAsia="仿宋" w:cs="黑体"/>
          <w:bCs/>
          <w:sz w:val="32"/>
          <w:szCs w:val="32"/>
        </w:rPr>
      </w:pPr>
      <w:r w:rsidRPr="003C684F">
        <w:rPr>
          <w:rFonts w:hint="eastAsia" w:ascii="仿宋" w:hAnsi="仿宋" w:eastAsia="仿宋" w:cs="黑体"/>
          <w:bCs/>
          <w:sz w:val="32"/>
          <w:szCs w:val="32"/>
        </w:rPr>
        <w:t>5</w:t>
      </w:r>
      <w:r w:rsidRPr="003C684F">
        <w:rPr>
          <w:rFonts w:ascii="仿宋" w:hAnsi="仿宋" w:eastAsia="仿宋" w:cs="黑体"/>
          <w:bCs/>
          <w:sz w:val="32"/>
          <w:szCs w:val="32"/>
        </w:rPr>
        <w:t>.</w:t>
      </w:r>
      <w:r w:rsidRPr="003C684F">
        <w:rPr>
          <w:rFonts w:hint="eastAsia" w:ascii="仿宋" w:hAnsi="仿宋" w:eastAsia="仿宋" w:cs="黑体"/>
          <w:bCs/>
          <w:sz w:val="32"/>
          <w:szCs w:val="32"/>
        </w:rPr>
        <w:t>老年患者无需调整剂量，轻度肝肾功能损伤的患者无需调整剂量，目前尙无瑞维鲁胺在中重度肝肾功能损伤患者中的相关数据，故不建议此类患者使用瑞维鲁胺。</w:t>
      </w:r>
    </w:p>
    <w:p w:rsidRPr="003C684F" w:rsidR="009730C1" w:rsidRDefault="00A315B9" w14:paraId="29E32763" w14:textId="265683CE">
      <w:pPr>
        <w:spacing w:line="360" w:lineRule="auto"/>
        <w:ind w:firstLine="640" w:firstLineChars="200"/>
        <w:rPr>
          <w:rFonts w:ascii="黑体" w:hAnsi="黑体" w:eastAsia="黑体" w:cs="黑体"/>
          <w:sz w:val="32"/>
          <w:szCs w:val="32"/>
        </w:rPr>
      </w:pPr>
      <w:r w:rsidRPr="003C684F">
        <w:rPr>
          <w:rFonts w:hint="eastAsia" w:ascii="黑体" w:hAnsi="黑体" w:eastAsia="黑体" w:cs="黑体"/>
          <w:sz w:val="32"/>
          <w:szCs w:val="32"/>
        </w:rPr>
        <w:t>十</w:t>
      </w:r>
      <w:r w:rsidRPr="003C684F" w:rsidR="003B5C35">
        <w:rPr>
          <w:rFonts w:hint="eastAsia" w:ascii="黑体" w:hAnsi="黑体" w:eastAsia="黑体" w:cs="黑体"/>
          <w:sz w:val="32"/>
          <w:szCs w:val="32"/>
        </w:rPr>
        <w:t>四</w:t>
      </w:r>
      <w:r w:rsidRPr="003C684F">
        <w:rPr>
          <w:rFonts w:hint="eastAsia" w:ascii="黑体" w:hAnsi="黑体" w:eastAsia="黑体" w:cs="黑体"/>
          <w:sz w:val="32"/>
          <w:szCs w:val="32"/>
        </w:rPr>
        <w:t>、奥拉帕利</w:t>
      </w:r>
      <w:r w:rsidR="00BB58D9">
        <w:rPr>
          <w:rFonts w:hint="eastAsia" w:ascii="黑体" w:hAnsi="黑体" w:eastAsia="黑体" w:cs="黑体"/>
          <w:sz w:val="32"/>
          <w:szCs w:val="32"/>
        </w:rPr>
        <w:t xml:space="preserve"> </w:t>
      </w:r>
      <w:r w:rsidRPr="003C684F">
        <w:rPr>
          <w:rFonts w:ascii="黑体" w:hAnsi="黑体" w:eastAsia="黑体" w:cs="黑体"/>
          <w:sz w:val="32"/>
          <w:szCs w:val="32"/>
        </w:rPr>
        <w:t>Olaparib</w:t>
      </w:r>
    </w:p>
    <w:p w:rsidRPr="003C684F" w:rsidR="009730C1" w:rsidRDefault="00A315B9" w14:paraId="0A6ABD5C"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黑体"/>
          <w:sz w:val="32"/>
          <w:szCs w:val="32"/>
        </w:rPr>
        <w:t>片剂：</w:t>
      </w:r>
      <w:r w:rsidRPr="003C684F">
        <w:rPr>
          <w:rFonts w:ascii="仿宋" w:hAnsi="仿宋" w:eastAsia="仿宋" w:cs="黑体"/>
          <w:sz w:val="32"/>
          <w:szCs w:val="32"/>
        </w:rPr>
        <w:t>100mg、150mg</w:t>
      </w:r>
    </w:p>
    <w:p w:rsidRPr="003C684F" w:rsidR="009730C1" w:rsidRDefault="00A315B9" w14:paraId="3BEF3555" w14:textId="77777777">
      <w:pPr>
        <w:spacing w:line="360" w:lineRule="auto"/>
        <w:ind w:firstLine="643" w:firstLineChars="200"/>
        <w:rPr>
          <w:rFonts w:ascii="仿宋" w:hAnsi="仿宋" w:eastAsia="仿宋" w:cs="黑体"/>
          <w:sz w:val="32"/>
          <w:szCs w:val="32"/>
        </w:rPr>
      </w:pPr>
      <w:r w:rsidRPr="003C684F">
        <w:rPr>
          <w:rFonts w:hint="eastAsia" w:ascii="仿宋" w:hAnsi="仿宋" w:eastAsia="仿宋" w:cs="黑体"/>
          <w:b/>
          <w:sz w:val="32"/>
          <w:szCs w:val="32"/>
        </w:rPr>
        <w:t>适应证：</w:t>
      </w:r>
      <w:r w:rsidRPr="003C684F">
        <w:rPr>
          <w:rFonts w:hint="eastAsia" w:ascii="仿宋" w:hAnsi="仿宋" w:eastAsia="仿宋" w:cs="黑体"/>
          <w:sz w:val="32"/>
          <w:szCs w:val="32"/>
        </w:rPr>
        <w:t>用于携带胚系或体细胞</w:t>
      </w:r>
      <w:r w:rsidRPr="003C684F">
        <w:rPr>
          <w:rFonts w:ascii="仿宋" w:hAnsi="仿宋" w:eastAsia="仿宋" w:cs="黑体"/>
          <w:sz w:val="32"/>
          <w:szCs w:val="32"/>
        </w:rPr>
        <w:t>BRCA突变且既往治疗（包括一种新型内分泌药物）失败的转移性去势抵抗性前列腺癌成人患者。</w:t>
      </w:r>
    </w:p>
    <w:p w:rsidRPr="003C684F" w:rsidR="009730C1" w:rsidRDefault="00A315B9" w14:paraId="62DDDF95"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74D751EF" w14:textId="77777777">
      <w:pPr>
        <w:spacing w:line="360" w:lineRule="auto"/>
        <w:ind w:firstLine="640" w:firstLineChars="200"/>
        <w:rPr>
          <w:rFonts w:ascii="仿宋" w:hAnsi="仿宋" w:eastAsia="仿宋" w:cs="黑体"/>
          <w:sz w:val="32"/>
          <w:szCs w:val="32"/>
        </w:rPr>
      </w:pPr>
      <w:r w:rsidRPr="003C684F">
        <w:rPr>
          <w:rFonts w:ascii="仿宋" w:hAnsi="仿宋" w:eastAsia="仿宋" w:cs="黑体"/>
          <w:sz w:val="32"/>
          <w:szCs w:val="32"/>
        </w:rPr>
        <w:t>1.</w:t>
      </w:r>
      <w:r w:rsidRPr="003C684F">
        <w:rPr>
          <w:rFonts w:hint="eastAsia" w:ascii="仿宋" w:hAnsi="仿宋" w:eastAsia="仿宋" w:cs="黑体"/>
          <w:sz w:val="32"/>
          <w:szCs w:val="32"/>
        </w:rPr>
        <w:t>奥拉帕利用于转移性去势抵抗性前列腺癌之前，必须采用经国家药监局批准或其他经验证的检测方法，确认患者</w:t>
      </w:r>
      <w:r w:rsidRPr="003C684F">
        <w:rPr>
          <w:rFonts w:hint="eastAsia" w:ascii="仿宋" w:hAnsi="仿宋" w:eastAsia="仿宋" w:cs="黑体"/>
          <w:sz w:val="32"/>
          <w:szCs w:val="32"/>
        </w:rPr>
        <w:lastRenderedPageBreak/>
        <w:t>存在胚系和</w:t>
      </w:r>
      <w:r w:rsidRPr="003C684F">
        <w:rPr>
          <w:rFonts w:ascii="仿宋" w:hAnsi="仿宋" w:eastAsia="仿宋" w:cs="黑体"/>
          <w:sz w:val="32"/>
          <w:szCs w:val="32"/>
        </w:rPr>
        <w:t>/或体细胞BRCA1/2突变。</w:t>
      </w:r>
    </w:p>
    <w:p w:rsidRPr="003C684F" w:rsidR="009730C1" w:rsidRDefault="00A315B9" w14:paraId="036F32DE" w14:textId="4A0FCFB6">
      <w:pPr>
        <w:spacing w:line="360" w:lineRule="auto"/>
        <w:ind w:firstLine="640" w:firstLineChars="200"/>
        <w:rPr>
          <w:rFonts w:ascii="仿宋" w:hAnsi="仿宋" w:eastAsia="仿宋" w:cs="黑体"/>
          <w:sz w:val="32"/>
          <w:szCs w:val="32"/>
        </w:rPr>
      </w:pPr>
      <w:r w:rsidRPr="003C684F">
        <w:rPr>
          <w:rFonts w:ascii="仿宋" w:hAnsi="仿宋" w:eastAsia="仿宋" w:cs="黑体"/>
          <w:sz w:val="32"/>
          <w:szCs w:val="32"/>
        </w:rPr>
        <w:t>2.</w:t>
      </w:r>
      <w:r w:rsidRPr="003C684F">
        <w:rPr>
          <w:rFonts w:hint="eastAsia" w:ascii="仿宋" w:hAnsi="仿宋" w:eastAsia="仿宋" w:cs="黑体"/>
          <w:sz w:val="32"/>
          <w:szCs w:val="32"/>
        </w:rPr>
        <w:t>推荐剂量为</w:t>
      </w:r>
      <w:r w:rsidRPr="003C684F">
        <w:rPr>
          <w:rFonts w:ascii="仿宋" w:hAnsi="仿宋" w:eastAsia="仿宋" w:cs="黑体"/>
          <w:sz w:val="32"/>
          <w:szCs w:val="32"/>
        </w:rPr>
        <w:t>300mg</w:t>
      </w:r>
      <w:r w:rsidRPr="003C684F">
        <w:rPr>
          <w:rFonts w:hint="eastAsia" w:ascii="仿宋" w:hAnsi="仿宋" w:eastAsia="仿宋" w:cs="黑体"/>
          <w:sz w:val="32"/>
          <w:szCs w:val="32"/>
        </w:rPr>
        <w:t>/次</w:t>
      </w:r>
      <w:r w:rsidRPr="003C684F">
        <w:rPr>
          <w:rFonts w:ascii="仿宋" w:hAnsi="仿宋" w:eastAsia="仿宋" w:cs="黑体"/>
          <w:sz w:val="32"/>
          <w:szCs w:val="32"/>
        </w:rPr>
        <w:t>，每天两次，</w:t>
      </w:r>
      <w:r w:rsidRPr="003C684F" w:rsidR="00253D84">
        <w:rPr>
          <w:rFonts w:hint="eastAsia" w:ascii="仿宋" w:hAnsi="仿宋" w:eastAsia="仿宋" w:cs="黑体"/>
          <w:sz w:val="32"/>
          <w:szCs w:val="32"/>
        </w:rPr>
        <w:t>口服</w:t>
      </w:r>
      <w:r w:rsidRPr="003C684F">
        <w:rPr>
          <w:rFonts w:ascii="仿宋" w:hAnsi="仿宋" w:eastAsia="仿宋" w:cs="黑体"/>
          <w:sz w:val="32"/>
          <w:szCs w:val="32"/>
        </w:rPr>
        <w:t>，</w:t>
      </w:r>
      <w:r w:rsidRPr="003C684F" w:rsidR="00253D84">
        <w:rPr>
          <w:rFonts w:hint="eastAsia" w:ascii="仿宋" w:hAnsi="仿宋" w:eastAsia="仿宋" w:cs="黑体"/>
          <w:sz w:val="32"/>
          <w:szCs w:val="32"/>
        </w:rPr>
        <w:t>直</w:t>
      </w:r>
      <w:r w:rsidRPr="003C684F">
        <w:rPr>
          <w:rFonts w:ascii="仿宋" w:hAnsi="仿宋" w:eastAsia="仿宋" w:cs="黑体"/>
          <w:sz w:val="32"/>
          <w:szCs w:val="32"/>
        </w:rPr>
        <w:t>至</w:t>
      </w:r>
      <w:r w:rsidRPr="003C684F" w:rsidR="00B95507">
        <w:rPr>
          <w:rFonts w:ascii="仿宋" w:hAnsi="仿宋" w:eastAsia="仿宋" w:cs="黑体"/>
          <w:sz w:val="32"/>
          <w:szCs w:val="32"/>
        </w:rPr>
        <w:t>疾病进展或出现不可耐受的毒性。</w:t>
      </w:r>
    </w:p>
    <w:p w:rsidRPr="003C684F" w:rsidR="009730C1" w:rsidRDefault="00A315B9" w14:paraId="5BFF17A2" w14:textId="77777777">
      <w:pPr>
        <w:spacing w:line="360" w:lineRule="auto"/>
        <w:ind w:firstLine="640" w:firstLineChars="200"/>
        <w:rPr>
          <w:rFonts w:ascii="仿宋" w:hAnsi="仿宋" w:eastAsia="仿宋" w:cs="黑体"/>
          <w:sz w:val="32"/>
          <w:szCs w:val="32"/>
        </w:rPr>
      </w:pPr>
      <w:r w:rsidRPr="003C684F">
        <w:rPr>
          <w:rFonts w:ascii="仿宋" w:hAnsi="仿宋" w:eastAsia="仿宋" w:cs="黑体"/>
          <w:sz w:val="32"/>
          <w:szCs w:val="32"/>
        </w:rPr>
        <w:t>3.BRCA1/2突变的转移性去势抵抗性前列腺癌疗程：建议持续治疗直到现有疾病进展或出现不能耐受的毒性。对于未接受手术去势的患者，应在治疗期间继续使用促黄体生成</w:t>
      </w:r>
      <w:r w:rsidRPr="003C684F">
        <w:rPr>
          <w:rFonts w:hint="eastAsia" w:ascii="仿宋" w:hAnsi="仿宋" w:eastAsia="仿宋" w:cs="黑体"/>
          <w:sz w:val="32"/>
          <w:szCs w:val="32"/>
        </w:rPr>
        <w:t>激</w:t>
      </w:r>
      <w:r w:rsidRPr="003C684F">
        <w:rPr>
          <w:rFonts w:ascii="仿宋" w:hAnsi="仿宋" w:eastAsia="仿宋" w:cs="黑体"/>
          <w:sz w:val="32"/>
          <w:szCs w:val="32"/>
        </w:rPr>
        <w:t>素释放激素类似物进行药物去势。</w:t>
      </w:r>
    </w:p>
    <w:p w:rsidRPr="003C684F" w:rsidR="009730C1" w:rsidRDefault="00A315B9" w14:paraId="643A8967" w14:textId="77777777">
      <w:pPr>
        <w:spacing w:line="360" w:lineRule="auto"/>
        <w:ind w:firstLine="640" w:firstLineChars="200"/>
        <w:rPr>
          <w:rFonts w:ascii="仿宋" w:hAnsi="仿宋" w:eastAsia="仿宋" w:cs="黑体"/>
          <w:sz w:val="32"/>
          <w:szCs w:val="32"/>
        </w:rPr>
      </w:pPr>
      <w:r w:rsidRPr="003C684F">
        <w:rPr>
          <w:rFonts w:ascii="仿宋" w:hAnsi="仿宋" w:eastAsia="仿宋" w:cs="黑体"/>
          <w:sz w:val="32"/>
          <w:szCs w:val="32"/>
        </w:rPr>
        <w:t>4.应整片吞服，不应咀嚼、压碎、溶解或掰断药片。在</w:t>
      </w:r>
      <w:r w:rsidRPr="003C684F">
        <w:rPr>
          <w:rFonts w:hint="eastAsia" w:ascii="仿宋" w:hAnsi="仿宋" w:eastAsia="仿宋" w:cs="黑体"/>
          <w:sz w:val="32"/>
          <w:szCs w:val="32"/>
        </w:rPr>
        <w:t>进餐或空腹时均可服用。如果患者漏服一剂药物，无需补服，仍按计划时间正常服用下一剂量，并不影响整体疗效。</w:t>
      </w:r>
    </w:p>
    <w:p w:rsidRPr="003C684F" w:rsidR="009730C1" w:rsidRDefault="00A315B9" w14:paraId="34B60F4F" w14:textId="21BA89B6">
      <w:pPr>
        <w:spacing w:line="360" w:lineRule="auto"/>
        <w:ind w:firstLine="640" w:firstLineChars="200"/>
        <w:rPr>
          <w:rFonts w:ascii="仿宋" w:hAnsi="仿宋" w:eastAsia="仿宋" w:cs="黑体"/>
          <w:sz w:val="32"/>
          <w:szCs w:val="32"/>
        </w:rPr>
      </w:pPr>
      <w:r w:rsidRPr="003C684F">
        <w:rPr>
          <w:rFonts w:ascii="仿宋" w:hAnsi="仿宋" w:eastAsia="仿宋" w:cs="黑体"/>
          <w:sz w:val="32"/>
          <w:szCs w:val="32"/>
        </w:rPr>
        <w:t>5.</w:t>
      </w:r>
      <w:r w:rsidRPr="003C684F">
        <w:rPr>
          <w:rFonts w:hint="eastAsia" w:ascii="仿宋" w:hAnsi="仿宋" w:eastAsia="仿宋" w:cs="黑体"/>
          <w:sz w:val="32"/>
          <w:szCs w:val="32"/>
        </w:rPr>
        <w:t>奥拉帕利在临床试验中最常见的不良反应（≥20%）：贫血、恶心、疲乏（包括乏力）、呕吐、腹泻、味觉障碍和消化不良。最常见的生化检查异常（≥25%）：肌酐增加、红细胞均数体积升高、血红蛋白减低、</w:t>
      </w:r>
      <w:r w:rsidRPr="003C684F" w:rsidR="00821C69">
        <w:rPr>
          <w:rFonts w:hint="eastAsia" w:ascii="仿宋" w:hAnsi="仿宋" w:eastAsia="仿宋" w:cs="黑体"/>
          <w:sz w:val="32"/>
          <w:szCs w:val="32"/>
        </w:rPr>
        <w:t>淋巴细胞减少症、</w:t>
      </w:r>
      <w:r w:rsidRPr="003C684F">
        <w:rPr>
          <w:rFonts w:hint="eastAsia" w:ascii="仿宋" w:hAnsi="仿宋" w:eastAsia="仿宋" w:cs="黑体"/>
          <w:sz w:val="32"/>
          <w:szCs w:val="32"/>
        </w:rPr>
        <w:t>绝对</w:t>
      </w:r>
      <w:r w:rsidRPr="003C684F" w:rsidR="00AA068D">
        <w:rPr>
          <w:rFonts w:hint="eastAsia" w:ascii="仿宋" w:hAnsi="仿宋" w:eastAsia="仿宋" w:cs="黑体"/>
          <w:sz w:val="32"/>
          <w:szCs w:val="32"/>
        </w:rPr>
        <w:t>中性粒细胞减少症</w:t>
      </w:r>
      <w:r w:rsidRPr="003C684F">
        <w:rPr>
          <w:rFonts w:hint="eastAsia" w:ascii="仿宋" w:hAnsi="仿宋" w:eastAsia="仿宋" w:cs="黑体"/>
          <w:sz w:val="32"/>
          <w:szCs w:val="32"/>
        </w:rPr>
        <w:t>、</w:t>
      </w:r>
      <w:r w:rsidRPr="003C684F" w:rsidR="00701C08">
        <w:rPr>
          <w:rFonts w:hint="eastAsia" w:ascii="仿宋" w:hAnsi="仿宋" w:eastAsia="仿宋" w:cs="黑体"/>
          <w:sz w:val="32"/>
          <w:szCs w:val="32"/>
        </w:rPr>
        <w:t>血小板减少症</w:t>
      </w:r>
      <w:r w:rsidRPr="003C684F">
        <w:rPr>
          <w:rFonts w:hint="eastAsia" w:ascii="仿宋" w:hAnsi="仿宋" w:eastAsia="仿宋" w:cs="黑体"/>
          <w:sz w:val="32"/>
          <w:szCs w:val="32"/>
        </w:rPr>
        <w:t>。为处理不良事件，比如贫血、恶心，乏力等，可考虑中断治疗或减量。患者应在既往抗肿瘤治疗引起的血液学毒性恢复之后（血红蛋白、血小板和中性粒细胞水平恢复至≤CTCAE l级），才开始本品治疗。建议在基线以及治疗的前12个月每月监测全血细胞计数，然后定期监测治疗期间任何临床显著变化。</w:t>
      </w:r>
    </w:p>
    <w:p w:rsidRPr="003C684F" w:rsidR="009730C1" w:rsidRDefault="00A315B9" w14:paraId="477609D6" w14:textId="76603FD5">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6</w:t>
      </w:r>
      <w:r w:rsidRPr="003C684F">
        <w:rPr>
          <w:rFonts w:ascii="仿宋" w:hAnsi="仿宋" w:eastAsia="仿宋" w:cs="黑体"/>
          <w:sz w:val="32"/>
          <w:szCs w:val="32"/>
        </w:rPr>
        <w:t>.如果需要减量，推荐剂量减至250mg</w:t>
      </w:r>
      <w:r w:rsidRPr="003C684F">
        <w:rPr>
          <w:rFonts w:hint="eastAsia" w:ascii="仿宋" w:hAnsi="仿宋" w:eastAsia="仿宋" w:cs="黑体"/>
          <w:sz w:val="32"/>
          <w:szCs w:val="32"/>
        </w:rPr>
        <w:t>/次</w:t>
      </w:r>
      <w:r w:rsidRPr="003C684F">
        <w:rPr>
          <w:rFonts w:ascii="仿宋" w:hAnsi="仿宋" w:eastAsia="仿宋" w:cs="黑体"/>
          <w:sz w:val="32"/>
          <w:szCs w:val="32"/>
        </w:rPr>
        <w:t>，每天两次，即每天总剂量为500mg。</w:t>
      </w:r>
      <w:r w:rsidRPr="003C684F" w:rsidR="005509C9">
        <w:rPr>
          <w:rFonts w:hint="eastAsia" w:ascii="仿宋" w:hAnsi="仿宋" w:eastAsia="仿宋" w:cs="黑体"/>
          <w:sz w:val="32"/>
          <w:szCs w:val="32"/>
        </w:rPr>
        <w:t>如果需要进一步减量，则推荐剂量</w:t>
      </w:r>
      <w:r w:rsidRPr="003C684F" w:rsidR="005509C9">
        <w:rPr>
          <w:rFonts w:hint="eastAsia" w:ascii="仿宋" w:hAnsi="仿宋" w:eastAsia="仿宋" w:cs="黑体"/>
          <w:sz w:val="32"/>
          <w:szCs w:val="32"/>
        </w:rPr>
        <w:lastRenderedPageBreak/>
        <w:t>减至200mg/次，每天两次，即每天总剂量为400mg，必要时可根据临床情况，按医嘱用药。</w:t>
      </w:r>
    </w:p>
    <w:p w:rsidRPr="003C684F" w:rsidR="009730C1" w:rsidRDefault="00A315B9" w14:paraId="1664432B" w14:textId="2D803EDA">
      <w:pPr>
        <w:spacing w:line="360" w:lineRule="auto"/>
        <w:ind w:firstLine="640" w:firstLineChars="200"/>
        <w:rPr>
          <w:rFonts w:ascii="仿宋" w:hAnsi="仿宋" w:eastAsia="仿宋" w:cs="黑体"/>
          <w:sz w:val="32"/>
          <w:szCs w:val="32"/>
        </w:rPr>
      </w:pPr>
      <w:r w:rsidRPr="003C684F">
        <w:rPr>
          <w:rFonts w:hint="eastAsia" w:ascii="仿宋" w:hAnsi="仿宋" w:eastAsia="仿宋" w:cs="黑体"/>
          <w:sz w:val="32"/>
          <w:szCs w:val="32"/>
        </w:rPr>
        <w:t>7</w:t>
      </w:r>
      <w:r w:rsidRPr="003C684F">
        <w:rPr>
          <w:rFonts w:ascii="仿宋" w:hAnsi="仿宋" w:eastAsia="仿宋" w:cs="黑体"/>
          <w:sz w:val="32"/>
          <w:szCs w:val="32"/>
        </w:rPr>
        <w:t>.不推荐本品与CYP3A</w:t>
      </w:r>
      <w:r w:rsidRPr="003C684F" w:rsidR="0029486A">
        <w:rPr>
          <w:rFonts w:ascii="仿宋" w:hAnsi="仿宋" w:eastAsia="仿宋" w:cs="黑体"/>
          <w:sz w:val="32"/>
          <w:szCs w:val="32"/>
        </w:rPr>
        <w:t>强效或中效</w:t>
      </w:r>
      <w:r w:rsidRPr="003C684F">
        <w:rPr>
          <w:rFonts w:ascii="仿宋" w:hAnsi="仿宋" w:eastAsia="仿宋" w:cs="黑体"/>
          <w:sz w:val="32"/>
          <w:szCs w:val="32"/>
        </w:rPr>
        <w:t>抑制剂</w:t>
      </w:r>
      <w:r w:rsidRPr="003C684F" w:rsidR="00C3674D">
        <w:rPr>
          <w:rFonts w:hint="eastAsia" w:ascii="仿宋" w:hAnsi="仿宋" w:eastAsia="仿宋" w:cs="黑体"/>
          <w:sz w:val="32"/>
          <w:szCs w:val="32"/>
        </w:rPr>
        <w:t>联合</w:t>
      </w:r>
      <w:r w:rsidRPr="003C684F">
        <w:rPr>
          <w:rFonts w:ascii="仿宋" w:hAnsi="仿宋" w:eastAsia="仿宋" w:cs="黑体"/>
          <w:sz w:val="32"/>
          <w:szCs w:val="32"/>
        </w:rPr>
        <w:t>使用，如果必须</w:t>
      </w:r>
      <w:r w:rsidRPr="003C684F" w:rsidR="00C3674D">
        <w:rPr>
          <w:rFonts w:hint="eastAsia" w:ascii="仿宋" w:hAnsi="仿宋" w:eastAsia="仿宋" w:cs="黑体"/>
          <w:sz w:val="32"/>
          <w:szCs w:val="32"/>
        </w:rPr>
        <w:t>联合</w:t>
      </w:r>
      <w:r w:rsidRPr="003C684F">
        <w:rPr>
          <w:rFonts w:ascii="仿宋" w:hAnsi="仿宋" w:eastAsia="仿宋" w:cs="黑体"/>
          <w:sz w:val="32"/>
          <w:szCs w:val="32"/>
        </w:rPr>
        <w:t>使用CYP3A</w:t>
      </w:r>
      <w:r w:rsidRPr="003C684F" w:rsidR="0029486A">
        <w:rPr>
          <w:rFonts w:ascii="仿宋" w:hAnsi="仿宋" w:eastAsia="仿宋" w:cs="黑体"/>
          <w:sz w:val="32"/>
          <w:szCs w:val="32"/>
        </w:rPr>
        <w:t>强效或中效</w:t>
      </w:r>
      <w:r w:rsidRPr="003C684F">
        <w:rPr>
          <w:rFonts w:ascii="仿宋" w:hAnsi="仿宋" w:eastAsia="仿宋" w:cs="黑体"/>
          <w:sz w:val="32"/>
          <w:szCs w:val="32"/>
        </w:rPr>
        <w:t>抑制剂，推荐将本品剂量减至100mg，每天两次，如果必须</w:t>
      </w:r>
      <w:r w:rsidRPr="003C684F" w:rsidR="00C3674D">
        <w:rPr>
          <w:rFonts w:hint="eastAsia" w:ascii="仿宋" w:hAnsi="仿宋" w:eastAsia="仿宋" w:cs="黑体"/>
          <w:sz w:val="32"/>
          <w:szCs w:val="32"/>
        </w:rPr>
        <w:t>联合</w:t>
      </w:r>
      <w:r w:rsidRPr="003C684F">
        <w:rPr>
          <w:rFonts w:ascii="仿宋" w:hAnsi="仿宋" w:eastAsia="仿宋" w:cs="黑体"/>
          <w:sz w:val="32"/>
          <w:szCs w:val="32"/>
        </w:rPr>
        <w:t>使用CYP3A</w:t>
      </w:r>
      <w:r w:rsidRPr="003C684F" w:rsidR="0029486A">
        <w:rPr>
          <w:rFonts w:ascii="仿宋" w:hAnsi="仿宋" w:eastAsia="仿宋" w:cs="黑体"/>
          <w:sz w:val="32"/>
          <w:szCs w:val="32"/>
        </w:rPr>
        <w:t>中效</w:t>
      </w:r>
      <w:r w:rsidRPr="003C684F">
        <w:rPr>
          <w:rFonts w:ascii="仿宋" w:hAnsi="仿宋" w:eastAsia="仿宋" w:cs="黑体"/>
          <w:sz w:val="32"/>
          <w:szCs w:val="32"/>
        </w:rPr>
        <w:t>抑制剂，推荐将本品剂量减至150mg，每天两次。</w:t>
      </w:r>
    </w:p>
    <w:p w:rsidRPr="003C684F" w:rsidR="00F10356" w:rsidP="00F10356" w:rsidRDefault="00F10356" w14:paraId="4B66BC08" w14:textId="5FF7CF20">
      <w:pPr>
        <w:spacing w:line="360" w:lineRule="auto"/>
        <w:ind w:firstLine="643" w:firstLineChars="200"/>
        <w:rPr>
          <w:rFonts w:ascii="黑体" w:hAnsi="黑体" w:eastAsia="黑体" w:cs="黑体"/>
          <w:sz w:val="32"/>
          <w:szCs w:val="32"/>
        </w:rPr>
      </w:pPr>
      <w:r w:rsidRPr="003C684F">
        <w:rPr>
          <w:rFonts w:hint="eastAsia" w:ascii="仿宋" w:hAnsi="仿宋" w:eastAsia="仿宋" w:cs="仿宋"/>
          <w:b/>
          <w:bCs/>
          <w:sz w:val="32"/>
          <w:szCs w:val="32"/>
          <w:vertAlign w:val="superscript"/>
        </w:rPr>
        <w:t>※</w:t>
      </w:r>
      <w:r w:rsidRPr="003C684F" w:rsidR="006D074A">
        <w:rPr>
          <w:rFonts w:hint="eastAsia" w:ascii="黑体" w:hAnsi="黑体" w:eastAsia="黑体" w:cs="黑体"/>
          <w:sz w:val="32"/>
          <w:szCs w:val="32"/>
        </w:rPr>
        <w:t>十</w:t>
      </w:r>
      <w:r w:rsidRPr="003C684F" w:rsidR="00F661C9">
        <w:rPr>
          <w:rFonts w:hint="eastAsia" w:ascii="黑体" w:hAnsi="黑体" w:eastAsia="黑体" w:cs="黑体"/>
          <w:sz w:val="32"/>
          <w:szCs w:val="32"/>
        </w:rPr>
        <w:t>五</w:t>
      </w:r>
      <w:r w:rsidRPr="003C684F">
        <w:rPr>
          <w:rFonts w:hint="eastAsia" w:ascii="黑体" w:hAnsi="黑体" w:eastAsia="黑体" w:cs="黑体"/>
          <w:sz w:val="32"/>
          <w:szCs w:val="32"/>
        </w:rPr>
        <w:t>、仑伐替尼 Lenvatinib</w:t>
      </w:r>
    </w:p>
    <w:p w:rsidRPr="003C684F" w:rsidR="00F10356" w:rsidP="00F10356" w:rsidRDefault="00F10356" w14:paraId="3F4854D9"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olor w:val="000000"/>
          <w:sz w:val="32"/>
          <w:szCs w:val="32"/>
        </w:rPr>
        <w:t>胶囊：4mg、10mg</w:t>
      </w:r>
    </w:p>
    <w:p w:rsidRPr="003C684F" w:rsidR="00F10356" w:rsidP="00F10356" w:rsidRDefault="00F10356" w14:paraId="54EBEFC8"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适应证：</w:t>
      </w:r>
    </w:p>
    <w:p w:rsidRPr="003C684F" w:rsidR="00F10356" w:rsidP="00F10356" w:rsidRDefault="00F10356" w14:paraId="7A5ABB85"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1.与依维莫司联用治疗既往接受抗血管生成药物治疗失败或进展的晚期肾细胞癌。</w:t>
      </w:r>
    </w:p>
    <w:p w:rsidRPr="003C684F" w:rsidR="00F10356" w:rsidP="00F10356" w:rsidRDefault="00F10356" w14:paraId="05D8E4CA"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2.与帕博利珠单抗联合用于晚期肾透明细胞癌的一线治疗</w:t>
      </w:r>
      <w:r w:rsidRPr="003C684F">
        <w:rPr>
          <w:rFonts w:hint="eastAsia" w:ascii="仿宋" w:hAnsi="仿宋" w:eastAsia="仿宋" w:cs="仿宋"/>
          <w:sz w:val="32"/>
          <w:szCs w:val="32"/>
        </w:rPr>
        <w:t>。</w:t>
      </w:r>
    </w:p>
    <w:p w:rsidRPr="003C684F" w:rsidR="00F10356" w:rsidP="00F10356" w:rsidRDefault="00F10356" w14:paraId="6CCDDC71"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F10356" w:rsidP="00F10356" w:rsidRDefault="00F10356" w14:paraId="308ECAB2"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w:t>
      </w:r>
      <w:r w:rsidRPr="003C684F">
        <w:rPr>
          <w:rFonts w:hint="eastAsia" w:ascii="仿宋" w:hAnsi="仿宋" w:eastAsia="仿宋" w:cs="仿宋"/>
          <w:sz w:val="32"/>
          <w:szCs w:val="32"/>
        </w:rPr>
        <w:t>仑伐替尼联合帕博利珠单抗已获得美国FDA批准，但目前尚未得到国家药品监督管理局的批准，可在与患者充分沟通的情况下考虑使用。</w:t>
      </w:r>
    </w:p>
    <w:p w:rsidRPr="003C684F" w:rsidR="00F10356" w:rsidP="00F10356" w:rsidRDefault="00F10356" w14:paraId="7102DADD" w14:textId="2C4E3ACD">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与依维莫司联合，其推荐剂量为</w:t>
      </w:r>
      <w:r w:rsidRPr="003C684F">
        <w:rPr>
          <w:rFonts w:ascii="仿宋" w:hAnsi="仿宋" w:eastAsia="仿宋" w:cs="仿宋"/>
          <w:sz w:val="32"/>
          <w:szCs w:val="32"/>
        </w:rPr>
        <w:t>18mg</w:t>
      </w:r>
      <w:r w:rsidRPr="003C684F">
        <w:rPr>
          <w:rFonts w:hint="eastAsia" w:ascii="仿宋" w:hAnsi="仿宋" w:eastAsia="仿宋" w:cs="仿宋"/>
          <w:sz w:val="32"/>
          <w:szCs w:val="32"/>
        </w:rPr>
        <w:t>/次，每天一次，口服。而与帕博利珠单抗联合时，其推荐剂量为2</w:t>
      </w:r>
      <w:r w:rsidRPr="003C684F">
        <w:rPr>
          <w:rFonts w:ascii="仿宋" w:hAnsi="仿宋" w:eastAsia="仿宋" w:cs="仿宋"/>
          <w:sz w:val="32"/>
          <w:szCs w:val="32"/>
        </w:rPr>
        <w:t>0</w:t>
      </w:r>
      <w:r w:rsidRPr="003C684F" w:rsidR="00437CAC">
        <w:rPr>
          <w:rFonts w:ascii="仿宋" w:hAnsi="仿宋" w:eastAsia="仿宋" w:cs="仿宋"/>
          <w:sz w:val="32"/>
          <w:szCs w:val="32"/>
        </w:rPr>
        <w:t>mg</w:t>
      </w:r>
      <w:r w:rsidRPr="003C684F">
        <w:rPr>
          <w:rFonts w:hint="eastAsia" w:ascii="仿宋" w:hAnsi="仿宋" w:eastAsia="仿宋" w:cs="仿宋"/>
          <w:sz w:val="32"/>
          <w:szCs w:val="32"/>
        </w:rPr>
        <w:t>/次，每天一次，口服。需要根据病人耐受性进行仑伐替尼药物的剂量调整。</w:t>
      </w:r>
    </w:p>
    <w:p w:rsidRPr="003C684F" w:rsidR="00F10356" w:rsidP="00F10356" w:rsidRDefault="00F10356" w14:paraId="4DF40F0F" w14:textId="02134ACB">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.用药过程需密切监测不良反应的发生。最常见的不良</w:t>
      </w:r>
      <w:r w:rsidRPr="003C684F">
        <w:rPr>
          <w:rFonts w:hint="eastAsia" w:ascii="仿宋" w:hAnsi="仿宋" w:eastAsia="仿宋" w:cs="仿宋"/>
          <w:sz w:val="32"/>
          <w:szCs w:val="32"/>
        </w:rPr>
        <w:lastRenderedPageBreak/>
        <w:t>反应（≥30%）为腹泻、乏力、骨关节疼痛、食欲减退、恶心、呕吐、口腔炎、高血压、蛋白尿等。必要时减量、暂停用药或永久停用。减量推荐：需按照18mg→14mg→10mg→8mg的剂量减量。</w:t>
      </w:r>
    </w:p>
    <w:p w:rsidRPr="003C684F" w:rsidR="00F10356" w:rsidP="00F10356" w:rsidRDefault="00613807" w14:paraId="26F28938" w14:textId="7748A08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sidR="00F10356">
        <w:rPr>
          <w:rFonts w:hint="eastAsia" w:ascii="仿宋" w:hAnsi="仿宋" w:eastAsia="仿宋" w:cs="仿宋"/>
          <w:sz w:val="32"/>
          <w:szCs w:val="32"/>
        </w:rPr>
        <w:t>.严重肾功能损伤和肝功能损伤的患者，仑伐替尼的剂量应改为</w:t>
      </w:r>
      <w:r w:rsidRPr="003C684F" w:rsidR="00D13010">
        <w:rPr>
          <w:rFonts w:hint="eastAsia" w:ascii="仿宋" w:hAnsi="仿宋" w:eastAsia="仿宋" w:cs="仿宋"/>
          <w:sz w:val="32"/>
          <w:szCs w:val="32"/>
        </w:rPr>
        <w:t>8～</w:t>
      </w:r>
      <w:r w:rsidRPr="003C684F" w:rsidR="00F10356">
        <w:rPr>
          <w:rFonts w:hint="eastAsia" w:ascii="仿宋" w:hAnsi="仿宋" w:eastAsia="仿宋" w:cs="仿宋"/>
          <w:sz w:val="32"/>
          <w:szCs w:val="32"/>
        </w:rPr>
        <w:t>10mg/次，每天一次，口服。</w:t>
      </w:r>
    </w:p>
    <w:p w:rsidRPr="003C684F" w:rsidR="00F10356" w:rsidP="00F10356" w:rsidRDefault="00613807" w14:paraId="4186E9DB" w14:textId="279868F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sidR="00F10356">
        <w:rPr>
          <w:rFonts w:hint="eastAsia" w:ascii="仿宋" w:hAnsi="仿宋" w:eastAsia="仿宋" w:cs="仿宋"/>
          <w:sz w:val="32"/>
          <w:szCs w:val="32"/>
        </w:rPr>
        <w:t>.仑伐替尼应在每天固定时间服用，可与食物同服或不同服。如果患者遗漏一次用药且无法在12小时内服用，无需补服，应按常规用药时间进行下一次服药。</w:t>
      </w:r>
    </w:p>
    <w:p w:rsidRPr="003C684F" w:rsidR="00F10356" w:rsidP="00F10356" w:rsidRDefault="00F10356" w14:paraId="6FC65F75" w14:textId="502A5F38">
      <w:pPr>
        <w:spacing w:line="360" w:lineRule="auto"/>
        <w:ind w:firstLine="643" w:firstLineChars="200"/>
        <w:rPr>
          <w:rFonts w:ascii="黑体" w:hAnsi="黑体" w:eastAsia="黑体" w:cs="黑体"/>
          <w:sz w:val="32"/>
          <w:szCs w:val="32"/>
        </w:rPr>
      </w:pPr>
      <w:r w:rsidRPr="003C684F">
        <w:rPr>
          <w:rFonts w:hint="eastAsia" w:ascii="仿宋" w:hAnsi="仿宋" w:eastAsia="仿宋" w:cs="仿宋"/>
          <w:b/>
          <w:bCs/>
          <w:sz w:val="32"/>
          <w:szCs w:val="32"/>
          <w:vertAlign w:val="superscript"/>
        </w:rPr>
        <w:t>※</w:t>
      </w:r>
      <w:r w:rsidRPr="003C684F" w:rsidR="006D074A">
        <w:rPr>
          <w:rFonts w:hint="eastAsia" w:ascii="黑体" w:hAnsi="黑体" w:eastAsia="黑体" w:cs="黑体"/>
          <w:sz w:val="32"/>
          <w:szCs w:val="32"/>
        </w:rPr>
        <w:t>十</w:t>
      </w:r>
      <w:r w:rsidRPr="003C684F" w:rsidR="00F661C9">
        <w:rPr>
          <w:rFonts w:hint="eastAsia" w:ascii="黑体" w:hAnsi="黑体" w:eastAsia="黑体" w:cs="黑体"/>
          <w:sz w:val="32"/>
          <w:szCs w:val="32"/>
        </w:rPr>
        <w:t>六</w:t>
      </w:r>
      <w:r w:rsidRPr="003C684F">
        <w:rPr>
          <w:rFonts w:hint="eastAsia" w:ascii="黑体" w:hAnsi="黑体" w:eastAsia="黑体" w:cs="黑体"/>
          <w:sz w:val="32"/>
          <w:szCs w:val="32"/>
        </w:rPr>
        <w:t>、纳武利尤单抗 Nivolumab</w:t>
      </w:r>
    </w:p>
    <w:p w:rsidRPr="003C684F" w:rsidR="00F10356" w:rsidP="00F10356" w:rsidRDefault="00F10356" w14:paraId="2848F0BC"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注射液：40mg（4ml）/瓶、100mg（10ml）/瓶</w:t>
      </w:r>
    </w:p>
    <w:p w:rsidRPr="003C684F" w:rsidR="00F10356" w:rsidP="00F10356" w:rsidRDefault="00F10356" w14:paraId="11481F10"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适应证：</w:t>
      </w:r>
      <w:r w:rsidRPr="003C684F">
        <w:rPr>
          <w:rFonts w:hint="eastAsia" w:ascii="仿宋" w:hAnsi="仿宋" w:eastAsia="仿宋" w:cs="仿宋"/>
          <w:sz w:val="32"/>
          <w:szCs w:val="32"/>
        </w:rPr>
        <w:t>本品联合伊匹木单抗适用于国际转移性肾细胞癌联合数据库（IMDC）评分为中高危的晚期肾透明细胞癌患者的一线治疗。</w:t>
      </w:r>
    </w:p>
    <w:p w:rsidRPr="003C684F" w:rsidR="00F10356" w:rsidP="00F10356" w:rsidRDefault="00F10356" w14:paraId="16DC5639"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F10356" w:rsidP="00F10356" w:rsidRDefault="00F10356" w14:paraId="1DE47F08" w14:textId="724A874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1.纳武利尤单抗联合伊匹木单抗用于IMDC评分为中高危的晚期肾细胞癌的一线治疗基于CheckMate214研究。该治疗方法已获得美国FDA和欧洲药品管理局批准，推荐临床剂量是纳武利尤单抗3mg/kg</w:t>
      </w:r>
      <w:r w:rsidRPr="003C684F" w:rsidR="00B55CB0">
        <w:rPr>
          <w:rFonts w:hint="eastAsia" w:ascii="仿宋" w:hAnsi="仿宋" w:eastAsia="仿宋" w:cs="仿宋"/>
          <w:sz w:val="32"/>
          <w:szCs w:val="32"/>
        </w:rPr>
        <w:t>（</w:t>
      </w:r>
      <w:r w:rsidRPr="003C684F">
        <w:rPr>
          <w:rFonts w:hint="eastAsia" w:ascii="仿宋" w:hAnsi="仿宋" w:eastAsia="仿宋" w:cs="仿宋"/>
          <w:sz w:val="32"/>
          <w:szCs w:val="32"/>
        </w:rPr>
        <w:t>每次持续至少60分钟</w:t>
      </w:r>
      <w:r w:rsidRPr="003C684F" w:rsidR="00B55CB0">
        <w:rPr>
          <w:rFonts w:hint="eastAsia" w:ascii="仿宋" w:hAnsi="仿宋" w:eastAsia="仿宋" w:cs="仿宋"/>
          <w:sz w:val="32"/>
          <w:szCs w:val="32"/>
        </w:rPr>
        <w:t>）</w:t>
      </w:r>
      <w:r w:rsidRPr="003C684F">
        <w:rPr>
          <w:rFonts w:hint="eastAsia" w:ascii="仿宋" w:hAnsi="仿宋" w:eastAsia="仿宋" w:cs="仿宋"/>
          <w:sz w:val="32"/>
          <w:szCs w:val="32"/>
        </w:rPr>
        <w:t>+伊匹木单抗1mg/kg</w:t>
      </w:r>
      <w:r w:rsidRPr="003C684F" w:rsidR="00B55CB0">
        <w:rPr>
          <w:rFonts w:hint="eastAsia" w:ascii="仿宋" w:hAnsi="仿宋" w:eastAsia="仿宋" w:cs="仿宋"/>
          <w:sz w:val="32"/>
          <w:szCs w:val="32"/>
        </w:rPr>
        <w:t>（</w:t>
      </w:r>
      <w:r w:rsidRPr="003C684F">
        <w:rPr>
          <w:rFonts w:hint="eastAsia" w:ascii="仿宋" w:hAnsi="仿宋" w:eastAsia="仿宋" w:cs="仿宋"/>
          <w:sz w:val="32"/>
          <w:szCs w:val="32"/>
        </w:rPr>
        <w:t>每次持续至少30分钟</w:t>
      </w:r>
      <w:r w:rsidRPr="003C684F" w:rsidR="00B55CB0">
        <w:rPr>
          <w:rFonts w:hint="eastAsia" w:ascii="仿宋" w:hAnsi="仿宋" w:eastAsia="仿宋" w:cs="仿宋"/>
          <w:sz w:val="32"/>
          <w:szCs w:val="32"/>
        </w:rPr>
        <w:t>）</w:t>
      </w:r>
      <w:r w:rsidRPr="003C684F">
        <w:rPr>
          <w:rFonts w:hint="eastAsia" w:ascii="仿宋" w:hAnsi="仿宋" w:eastAsia="仿宋" w:cs="仿宋"/>
          <w:sz w:val="32"/>
          <w:szCs w:val="32"/>
        </w:rPr>
        <w:t>，每3周一次，</w:t>
      </w:r>
      <w:r w:rsidRPr="003C684F" w:rsidR="000E3392">
        <w:rPr>
          <w:rFonts w:hint="eastAsia" w:ascii="仿宋" w:hAnsi="仿宋" w:eastAsia="仿宋" w:cs="仿宋"/>
          <w:sz w:val="32"/>
          <w:szCs w:val="32"/>
        </w:rPr>
        <w:t>静脉输注，</w:t>
      </w:r>
      <w:r w:rsidRPr="003C684F">
        <w:rPr>
          <w:rFonts w:hint="eastAsia" w:ascii="仿宋" w:hAnsi="仿宋" w:eastAsia="仿宋" w:cs="仿宋"/>
          <w:sz w:val="32"/>
          <w:szCs w:val="32"/>
        </w:rPr>
        <w:t>连续4次后，改为纳武利尤单抗3mg/kg</w:t>
      </w:r>
      <w:r w:rsidRPr="003C684F" w:rsidR="000E3392">
        <w:rPr>
          <w:rFonts w:hint="eastAsia" w:ascii="仿宋" w:hAnsi="仿宋" w:eastAsia="仿宋" w:cs="仿宋"/>
          <w:sz w:val="32"/>
          <w:szCs w:val="32"/>
        </w:rPr>
        <w:t>（每次持续</w:t>
      </w:r>
      <w:r w:rsidRPr="003C684F" w:rsidR="000E3392">
        <w:rPr>
          <w:rFonts w:hint="eastAsia" w:ascii="仿宋" w:hAnsi="仿宋" w:eastAsia="仿宋" w:cs="仿宋"/>
          <w:sz w:val="32"/>
          <w:szCs w:val="32"/>
        </w:rPr>
        <w:lastRenderedPageBreak/>
        <w:t>至少60分钟）</w:t>
      </w:r>
      <w:r w:rsidRPr="003C684F" w:rsidR="00B55CB0">
        <w:rPr>
          <w:rFonts w:hint="eastAsia" w:ascii="仿宋" w:hAnsi="仿宋" w:eastAsia="仿宋" w:cs="仿宋"/>
          <w:sz w:val="32"/>
          <w:szCs w:val="32"/>
        </w:rPr>
        <w:t>，</w:t>
      </w:r>
      <w:r w:rsidRPr="003C684F">
        <w:rPr>
          <w:rFonts w:hint="eastAsia" w:ascii="仿宋" w:hAnsi="仿宋" w:eastAsia="仿宋" w:cs="仿宋"/>
          <w:sz w:val="32"/>
          <w:szCs w:val="32"/>
        </w:rPr>
        <w:t>每2周一次</w:t>
      </w:r>
      <w:r w:rsidRPr="003C684F" w:rsidR="000E3392">
        <w:rPr>
          <w:rFonts w:hint="eastAsia" w:ascii="仿宋" w:hAnsi="仿宋" w:eastAsia="仿宋" w:cs="仿宋"/>
          <w:sz w:val="32"/>
          <w:szCs w:val="32"/>
        </w:rPr>
        <w:t>，静脉输注</w:t>
      </w:r>
      <w:r w:rsidRPr="003C684F">
        <w:rPr>
          <w:rFonts w:hint="eastAsia" w:ascii="仿宋" w:hAnsi="仿宋" w:eastAsia="仿宋" w:cs="仿宋"/>
          <w:sz w:val="32"/>
          <w:szCs w:val="32"/>
        </w:rPr>
        <w:t>。但该适应证尚未获得国家药品监督管理局批准，可在与患者充分沟通的情况下考虑使用。</w:t>
      </w:r>
    </w:p>
    <w:p w:rsidRPr="003C684F" w:rsidR="00F10356" w:rsidP="00F10356" w:rsidRDefault="00F10356" w14:paraId="61EA23D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2.IMDC评分内容包括：贫血、中性粒细胞升高、血小板升高、KPS评分＜80、一线治疗距诊断时间＜1年、高钙血症。每项为1分。总分0分为低危人群，1～2分为中危人群，≥3分为高危人群。</w:t>
      </w:r>
    </w:p>
    <w:p w:rsidRPr="003C684F" w:rsidR="00F10356" w:rsidP="00F10356" w:rsidRDefault="00F10356" w14:paraId="6E6D789E" w14:textId="52391300">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因部分患者使用免疫治疗可能会出现假性进展（治疗最初数月内肿瘤出现短暂性增大或出现新的小病灶，随后肿瘤缩小甚至消失），故只要观察到临床获益，应继续使用纳武利尤单抗联合伊匹木单抗或纳武利尤单抗单药治疗</w:t>
      </w:r>
      <w:r w:rsidRPr="003C684F" w:rsidR="000E3392">
        <w:rPr>
          <w:rFonts w:hint="eastAsia" w:ascii="仿宋" w:hAnsi="仿宋" w:eastAsia="仿宋" w:cs="仿宋"/>
          <w:sz w:val="32"/>
          <w:szCs w:val="32"/>
        </w:rPr>
        <w:t>,直</w:t>
      </w:r>
      <w:r w:rsidRPr="003C684F">
        <w:rPr>
          <w:rFonts w:hint="eastAsia" w:ascii="仿宋" w:hAnsi="仿宋" w:eastAsia="仿宋" w:cs="仿宋"/>
          <w:sz w:val="32"/>
          <w:szCs w:val="32"/>
        </w:rPr>
        <w:t>至疾病进展或</w:t>
      </w:r>
      <w:r w:rsidRPr="003C684F" w:rsidR="000E3392">
        <w:rPr>
          <w:rFonts w:hint="eastAsia" w:ascii="仿宋" w:hAnsi="仿宋" w:eastAsia="仿宋" w:cs="仿宋"/>
          <w:sz w:val="32"/>
          <w:szCs w:val="32"/>
        </w:rPr>
        <w:t>出现</w:t>
      </w:r>
      <w:r w:rsidRPr="003C684F">
        <w:rPr>
          <w:rFonts w:hint="eastAsia" w:ascii="仿宋" w:hAnsi="仿宋" w:eastAsia="仿宋" w:cs="仿宋"/>
          <w:sz w:val="32"/>
          <w:szCs w:val="32"/>
        </w:rPr>
        <w:t>不可耐受的毒性。如果患者临床症状稳定，即使有疾病进展的初步证据，但基于总体临床获益的判断，可考虑继续应用本品治疗，直至证实疾病进展。</w:t>
      </w:r>
    </w:p>
    <w:p w:rsidRPr="003C684F" w:rsidR="00F10356" w:rsidP="00F10356" w:rsidRDefault="00F10356" w14:paraId="78B94838" w14:textId="5D9BC6C9">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4.根据个体患者的安全性和耐受性，可暂停给药或</w:t>
      </w:r>
      <w:r w:rsidRPr="003C684F" w:rsidR="000E3392">
        <w:rPr>
          <w:rFonts w:hint="eastAsia" w:ascii="仿宋" w:hAnsi="仿宋" w:eastAsia="仿宋" w:cs="仿宋"/>
          <w:sz w:val="32"/>
          <w:szCs w:val="32"/>
        </w:rPr>
        <w:t>永久停用</w:t>
      </w:r>
      <w:r w:rsidRPr="003C684F">
        <w:rPr>
          <w:rFonts w:hint="eastAsia" w:ascii="仿宋" w:hAnsi="仿宋" w:eastAsia="仿宋" w:cs="仿宋"/>
          <w:sz w:val="32"/>
          <w:szCs w:val="32"/>
        </w:rPr>
        <w:t>。不建议增加或减少剂量。</w:t>
      </w:r>
    </w:p>
    <w:p w:rsidRPr="003C684F" w:rsidR="00F10356" w:rsidP="00F10356" w:rsidRDefault="00F10356" w14:paraId="77149216" w14:textId="5D2431B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根据不良反应判断其与药物纳武利尤单抗及伊匹木单抗的相关性。如发生4级或复发性3级，虽然进行治疗调整但仍持续存在2级或3级不良反应，应充分分析引发该不良反应的可能的药物，可能需要永久停用双抗或纳武利尤单抗或伊匹木单抗。</w:t>
      </w:r>
    </w:p>
    <w:p w:rsidRPr="003C684F" w:rsidR="00F10356" w:rsidP="00F10356" w:rsidRDefault="00F10356" w14:paraId="6B355F09"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6.老年患者数据有限，轻中度肾功能损伤患者无需调整</w:t>
      </w:r>
      <w:r w:rsidRPr="003C684F">
        <w:rPr>
          <w:rFonts w:hint="eastAsia" w:ascii="仿宋" w:hAnsi="仿宋" w:eastAsia="仿宋" w:cs="仿宋"/>
          <w:sz w:val="32"/>
          <w:szCs w:val="32"/>
        </w:rPr>
        <w:lastRenderedPageBreak/>
        <w:t>剂量。重度肾功能损伤患者的数据有限。</w:t>
      </w:r>
    </w:p>
    <w:p w:rsidRPr="003C684F" w:rsidR="00F10356" w:rsidP="00F10356" w:rsidRDefault="00F10356" w14:paraId="798BBEA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7.轻度肝功能损伤患者无需调整剂量，没有对中重度肝功能损伤患者进行本品的相关研究。</w:t>
      </w:r>
    </w:p>
    <w:p w:rsidRPr="003C684F" w:rsidR="00F10356" w:rsidP="00F10356" w:rsidRDefault="00F10356" w14:paraId="011DD32E"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8.纳武利尤单抗±伊匹木单抗可引起免疫相关性不良反应。因为不良反应可能在免疫治疗期间或免疫治疗停止后的任何时间发生，应持续进行患者监测。</w:t>
      </w:r>
    </w:p>
    <w:p w:rsidRPr="003C684F" w:rsidR="00F10356" w:rsidP="00F10356" w:rsidRDefault="00F10356" w14:paraId="703B3C5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9.对于疑似免疫相关性不良反应，应进行充分的评估以确认病因或排除其他病因。根据不良反应的严重程度，暂停纳武利尤单抗治疗并给予糖皮质激素或非糖皮质激素性免疫抑制剂治疗。必要时与相关领域学科进行多学科诊疗。</w:t>
      </w:r>
    </w:p>
    <w:p w:rsidRPr="003C684F" w:rsidR="00F10356" w:rsidP="00F10356" w:rsidRDefault="00F10356" w14:paraId="2B86AB07"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10.在患者接受免疫抑制剂量的糖皮质激素或其他免疫抑制治疗期间，不可重新使用纳武利尤单抗治疗。</w:t>
      </w:r>
    </w:p>
    <w:p w:rsidRPr="003C684F" w:rsidR="00F10356" w:rsidP="00F10356" w:rsidRDefault="00F10356" w14:paraId="685BED41" w14:textId="31812F9A">
      <w:pPr>
        <w:spacing w:line="360" w:lineRule="auto"/>
        <w:ind w:firstLine="643" w:firstLineChars="200"/>
        <w:rPr>
          <w:rFonts w:ascii="黑体" w:hAnsi="黑体" w:eastAsia="黑体" w:cs="黑体"/>
          <w:sz w:val="32"/>
          <w:szCs w:val="32"/>
        </w:rPr>
      </w:pPr>
      <w:r w:rsidRPr="003C684F">
        <w:rPr>
          <w:rFonts w:hint="eastAsia" w:ascii="仿宋" w:hAnsi="仿宋" w:eastAsia="仿宋" w:cs="仿宋"/>
          <w:b/>
          <w:bCs/>
          <w:sz w:val="32"/>
          <w:szCs w:val="32"/>
          <w:vertAlign w:val="superscript"/>
        </w:rPr>
        <w:t>※</w:t>
      </w:r>
      <w:r w:rsidRPr="003C684F" w:rsidR="006D074A">
        <w:rPr>
          <w:rFonts w:hint="eastAsia" w:ascii="黑体" w:hAnsi="黑体" w:eastAsia="黑体" w:cs="黑体"/>
          <w:sz w:val="32"/>
          <w:szCs w:val="32"/>
        </w:rPr>
        <w:t>十</w:t>
      </w:r>
      <w:r w:rsidRPr="003C684F" w:rsidR="00F661C9">
        <w:rPr>
          <w:rFonts w:hint="eastAsia" w:ascii="黑体" w:hAnsi="黑体" w:eastAsia="黑体" w:cs="黑体"/>
          <w:sz w:val="32"/>
          <w:szCs w:val="32"/>
        </w:rPr>
        <w:t>七</w:t>
      </w:r>
      <w:r w:rsidRPr="003C684F">
        <w:rPr>
          <w:rFonts w:hint="eastAsia" w:ascii="黑体" w:hAnsi="黑体" w:eastAsia="黑体" w:cs="黑体"/>
          <w:sz w:val="32"/>
          <w:szCs w:val="32"/>
        </w:rPr>
        <w:t>、帕博利珠单抗 Pembrolizumab</w:t>
      </w:r>
    </w:p>
    <w:p w:rsidRPr="003C684F" w:rsidR="00F10356" w:rsidP="00F10356" w:rsidRDefault="00F10356" w14:paraId="29A9BBEB"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sz w:val="32"/>
          <w:szCs w:val="32"/>
        </w:rPr>
        <w:t>制剂与规格：</w:t>
      </w:r>
      <w:r w:rsidRPr="003C684F">
        <w:rPr>
          <w:rFonts w:hint="eastAsia" w:ascii="仿宋" w:hAnsi="仿宋" w:eastAsia="仿宋" w:cs="仿宋"/>
          <w:sz w:val="32"/>
          <w:szCs w:val="32"/>
        </w:rPr>
        <w:t>注射剂：</w:t>
      </w:r>
      <w:r w:rsidRPr="003C684F">
        <w:rPr>
          <w:rFonts w:ascii="仿宋" w:hAnsi="仿宋" w:eastAsia="仿宋" w:cs="仿宋"/>
          <w:sz w:val="32"/>
          <w:szCs w:val="32"/>
        </w:rPr>
        <w:t>100mg</w:t>
      </w:r>
      <w:r w:rsidRPr="003C684F">
        <w:rPr>
          <w:rFonts w:hint="eastAsia" w:ascii="仿宋" w:hAnsi="仿宋" w:eastAsia="仿宋" w:cs="仿宋"/>
          <w:sz w:val="32"/>
          <w:szCs w:val="32"/>
        </w:rPr>
        <w:t>（</w:t>
      </w:r>
      <w:r w:rsidRPr="003C684F">
        <w:rPr>
          <w:rFonts w:ascii="仿宋" w:hAnsi="仿宋" w:eastAsia="仿宋" w:cs="仿宋"/>
          <w:sz w:val="32"/>
          <w:szCs w:val="32"/>
        </w:rPr>
        <w:t>4ml</w:t>
      </w:r>
      <w:r w:rsidRPr="003C684F">
        <w:rPr>
          <w:rFonts w:hint="eastAsia" w:ascii="仿宋" w:hAnsi="仿宋" w:eastAsia="仿宋" w:cs="仿宋"/>
          <w:sz w:val="32"/>
          <w:szCs w:val="32"/>
        </w:rPr>
        <w:t>）</w:t>
      </w:r>
      <w:r w:rsidRPr="003C684F">
        <w:rPr>
          <w:rFonts w:ascii="仿宋" w:hAnsi="仿宋" w:eastAsia="仿宋" w:cs="仿宋"/>
          <w:sz w:val="32"/>
          <w:szCs w:val="32"/>
        </w:rPr>
        <w:t>/</w:t>
      </w:r>
      <w:r w:rsidRPr="003C684F">
        <w:rPr>
          <w:rFonts w:hint="eastAsia" w:ascii="仿宋" w:hAnsi="仿宋" w:eastAsia="仿宋" w:cs="仿宋"/>
          <w:sz w:val="32"/>
          <w:szCs w:val="32"/>
        </w:rPr>
        <w:t>瓶</w:t>
      </w:r>
    </w:p>
    <w:p w:rsidRPr="003C684F" w:rsidR="00F10356" w:rsidP="00F10356" w:rsidRDefault="00F10356" w14:paraId="6F9AF006"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适应证：</w:t>
      </w:r>
    </w:p>
    <w:p w:rsidRPr="003C684F" w:rsidR="00F10356" w:rsidP="00F10356" w:rsidRDefault="00F10356" w14:paraId="25F7053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帕博利珠单抗联合阿昔替尼适用于晚期肾透明细胞癌的一线治疗。</w:t>
      </w:r>
    </w:p>
    <w:p w:rsidRPr="003C684F" w:rsidR="00F10356" w:rsidP="00F10356" w:rsidRDefault="00F10356" w14:paraId="10903CE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适用于含铂化疗后疾病进展的晚期尿路上皮癌治疗。</w:t>
      </w:r>
    </w:p>
    <w:p w:rsidRPr="003C684F" w:rsidR="00F10356" w:rsidP="00F10356" w:rsidRDefault="00F10356" w14:paraId="087CC0DC"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仿宋"/>
          <w:b/>
          <w:sz w:val="32"/>
          <w:szCs w:val="32"/>
        </w:rPr>
        <w:t>合理用药要点：</w:t>
      </w:r>
    </w:p>
    <w:p w:rsidRPr="003C684F" w:rsidR="00F10356" w:rsidP="00F10356" w:rsidRDefault="00F10356" w14:paraId="34FF7D15" w14:textId="1BEE154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1.帕博利珠单抗联合阿昔替尼用于晚期肾透明细胞癌的一线治疗适应证是基于全球Ⅲ期KEYNOTE-426临床研究的结果。帕博利珠单抗通过</w:t>
      </w:r>
      <w:r w:rsidRPr="003C684F" w:rsidR="000E3392">
        <w:rPr>
          <w:rFonts w:hint="eastAsia" w:ascii="仿宋" w:hAnsi="仿宋" w:eastAsia="仿宋" w:cs="仿宋"/>
          <w:sz w:val="32"/>
          <w:szCs w:val="32"/>
        </w:rPr>
        <w:t>固定剂量</w:t>
      </w:r>
      <w:r w:rsidRPr="003C684F">
        <w:rPr>
          <w:rFonts w:hint="eastAsia" w:ascii="仿宋" w:hAnsi="仿宋" w:eastAsia="仿宋" w:cs="仿宋"/>
          <w:sz w:val="32"/>
          <w:szCs w:val="32"/>
        </w:rPr>
        <w:t>200mg</w:t>
      </w:r>
      <w:r w:rsidRPr="003C684F" w:rsidR="000E3392">
        <w:rPr>
          <w:rFonts w:hint="eastAsia" w:ascii="仿宋" w:hAnsi="仿宋" w:eastAsia="仿宋" w:cs="仿宋"/>
          <w:sz w:val="32"/>
          <w:szCs w:val="32"/>
        </w:rPr>
        <w:t>/次</w:t>
      </w:r>
      <w:r w:rsidRPr="003C684F">
        <w:rPr>
          <w:rFonts w:hint="eastAsia" w:ascii="仿宋" w:hAnsi="仿宋" w:eastAsia="仿宋" w:cs="仿宋"/>
          <w:sz w:val="32"/>
          <w:szCs w:val="32"/>
        </w:rPr>
        <w:t>，每3周一次，</w:t>
      </w:r>
      <w:r w:rsidRPr="003C684F" w:rsidR="000E3392">
        <w:rPr>
          <w:rFonts w:hint="eastAsia" w:ascii="仿宋" w:hAnsi="仿宋" w:eastAsia="仿宋" w:cs="仿宋"/>
          <w:sz w:val="32"/>
          <w:szCs w:val="32"/>
        </w:rPr>
        <w:lastRenderedPageBreak/>
        <w:t>静脉输注，</w:t>
      </w:r>
      <w:r w:rsidRPr="003C684F">
        <w:rPr>
          <w:rFonts w:hint="eastAsia" w:ascii="仿宋" w:hAnsi="仿宋" w:eastAsia="仿宋" w:cs="仿宋"/>
          <w:sz w:val="32"/>
          <w:szCs w:val="32"/>
        </w:rPr>
        <w:t>每次持续至少30分钟，阿昔替尼5mg，每天两次</w:t>
      </w:r>
      <w:r w:rsidRPr="003C684F" w:rsidR="000E3392">
        <w:rPr>
          <w:rFonts w:hint="eastAsia" w:ascii="仿宋" w:hAnsi="仿宋" w:eastAsia="仿宋" w:cs="仿宋"/>
          <w:sz w:val="32"/>
          <w:szCs w:val="32"/>
        </w:rPr>
        <w:t>，</w:t>
      </w:r>
      <w:r w:rsidRPr="003C684F">
        <w:rPr>
          <w:rFonts w:hint="eastAsia" w:ascii="仿宋" w:hAnsi="仿宋" w:eastAsia="仿宋" w:cs="仿宋"/>
          <w:sz w:val="32"/>
          <w:szCs w:val="32"/>
        </w:rPr>
        <w:t>口服（部分患者进行了剂量滴定）。帕博利珠单抗用于不耐受铂类化疗的晚期尿路上皮癌的一线治疗适应证是基于</w:t>
      </w:r>
      <w:r w:rsidRPr="003C684F">
        <w:rPr>
          <w:rFonts w:hint="eastAsia" w:ascii="仿宋" w:hAnsi="仿宋" w:eastAsia="仿宋" w:cs="仿宋"/>
          <w:bCs/>
          <w:sz w:val="32"/>
          <w:szCs w:val="32"/>
        </w:rPr>
        <w:t>Ⅱ</w:t>
      </w:r>
      <w:r w:rsidRPr="003C684F">
        <w:rPr>
          <w:rFonts w:hint="eastAsia" w:ascii="仿宋" w:hAnsi="仿宋" w:eastAsia="仿宋" w:cs="仿宋"/>
          <w:sz w:val="32"/>
          <w:szCs w:val="32"/>
        </w:rPr>
        <w:t>期单臂临床研究KEYNOTE-052的研究结果，该联合方案已获得美国FDA批准，但目前尚未得到国家药品监督管理局的批准，可在与患者充分沟通的情况下考虑使用。帕博利珠单抗用于晚期尿路上皮癌的二线治疗适应证是基于全球Ⅲ期临床研究KEYNOTE-045的研究结果，</w:t>
      </w:r>
      <w:bookmarkStart w:name="_Hlk110167896" w:id="5"/>
      <w:r w:rsidRPr="003C684F">
        <w:rPr>
          <w:rFonts w:hint="eastAsia" w:ascii="仿宋" w:hAnsi="仿宋" w:eastAsia="仿宋" w:cs="仿宋"/>
          <w:sz w:val="32"/>
          <w:szCs w:val="32"/>
        </w:rPr>
        <w:t>该治疗方案已获得美国FDA批准，但目前尚未得到国家药品监督管理局的批准，可在与患者充分沟通的情况下考虑使用。</w:t>
      </w:r>
      <w:bookmarkEnd w:id="5"/>
    </w:p>
    <w:p w:rsidRPr="003C684F" w:rsidR="00F10356" w:rsidP="00F10356" w:rsidRDefault="00F10356" w14:paraId="486E5B35" w14:textId="0C41CBD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2.对于既往靶向治疗失败的晚期肾透明细胞癌，也可以考虑帕博利珠单抗联合阿昔替尼用于二</w:t>
      </w:r>
      <w:r w:rsidR="002A3DF9">
        <w:rPr>
          <w:rFonts w:hint="eastAsia" w:ascii="仿宋" w:hAnsi="仿宋" w:eastAsia="仿宋" w:cs="仿宋"/>
          <w:sz w:val="32"/>
          <w:szCs w:val="32"/>
        </w:rPr>
        <w:t>、</w:t>
      </w:r>
      <w:r w:rsidRPr="003C684F">
        <w:rPr>
          <w:rFonts w:hint="eastAsia" w:ascii="仿宋" w:hAnsi="仿宋" w:eastAsia="仿宋" w:cs="仿宋"/>
          <w:sz w:val="32"/>
          <w:szCs w:val="32"/>
        </w:rPr>
        <w:t>三线治疗。</w:t>
      </w:r>
    </w:p>
    <w:p w:rsidRPr="003C684F" w:rsidR="00F10356" w:rsidP="00F10356" w:rsidRDefault="00F10356" w14:paraId="4CADCC28"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3.在使用本品之前应避免使用全身性糖皮质激素或免疫抑制剂，因为这些药物可能会影响本品的药效学活性及疗效。但在本品开始给药后，可使用全身性糖皮质激素或其他免疫抑制剂治疗免疫介导性不良反应。</w:t>
      </w:r>
    </w:p>
    <w:p w:rsidRPr="003C684F" w:rsidR="00F10356" w:rsidP="00F10356" w:rsidRDefault="00F10356" w14:paraId="427DF472" w14:textId="47E79898">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4.根据个体患者的安全性和耐受性，可能需要暂停给药或</w:t>
      </w:r>
      <w:r w:rsidRPr="003C684F" w:rsidR="009D63EE">
        <w:rPr>
          <w:rFonts w:hint="eastAsia" w:ascii="仿宋" w:hAnsi="仿宋" w:eastAsia="仿宋" w:cs="仿宋"/>
          <w:sz w:val="32"/>
          <w:szCs w:val="32"/>
        </w:rPr>
        <w:t>永久停用</w:t>
      </w:r>
      <w:r w:rsidRPr="003C684F">
        <w:rPr>
          <w:rFonts w:hint="eastAsia" w:ascii="仿宋" w:hAnsi="仿宋" w:eastAsia="仿宋" w:cs="仿宋"/>
          <w:sz w:val="32"/>
          <w:szCs w:val="32"/>
        </w:rPr>
        <w:t>，不建议增加或减少剂量。</w:t>
      </w:r>
    </w:p>
    <w:p w:rsidRPr="003C684F" w:rsidR="00F10356" w:rsidP="00F10356" w:rsidRDefault="00F10356" w14:paraId="7517920D" w14:textId="3CEA3F7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根据不良反应判断其与药物的相关性。如发生4级或复发性3级，考虑与帕博利珠单抗相关的不良反应，虽然进行治疗调整但仍持续存在2级或3级不良反应，应永久停用帕博利珠单抗。有关阿昔替尼的具体用法详见阿昔替尼部分</w:t>
      </w:r>
      <w:r w:rsidRPr="003C684F">
        <w:rPr>
          <w:rFonts w:hint="eastAsia" w:ascii="仿宋" w:hAnsi="仿宋" w:eastAsia="仿宋" w:cs="仿宋"/>
          <w:sz w:val="32"/>
          <w:szCs w:val="32"/>
        </w:rPr>
        <w:lastRenderedPageBreak/>
        <w:t>的介绍。</w:t>
      </w:r>
    </w:p>
    <w:p w:rsidRPr="003C684F" w:rsidR="00F10356" w:rsidP="00F10356" w:rsidRDefault="00F10356" w14:paraId="244AF85B" w14:textId="6A87896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6.老年患者（≥65岁）与＜65岁</w:t>
      </w:r>
      <w:r w:rsidRPr="003C684F" w:rsidR="000E3392">
        <w:rPr>
          <w:rFonts w:hint="eastAsia" w:ascii="仿宋" w:hAnsi="仿宋" w:eastAsia="仿宋" w:cs="仿宋"/>
          <w:sz w:val="32"/>
          <w:szCs w:val="32"/>
        </w:rPr>
        <w:t>的患者</w:t>
      </w:r>
      <w:r w:rsidRPr="003C684F">
        <w:rPr>
          <w:rFonts w:hint="eastAsia" w:ascii="仿宋" w:hAnsi="仿宋" w:eastAsia="仿宋" w:cs="仿宋"/>
          <w:sz w:val="32"/>
          <w:szCs w:val="32"/>
        </w:rPr>
        <w:t>在安全性或有效性上未出现总体的差异，无需在这一人群中进行调整，轻中</w:t>
      </w:r>
      <w:r w:rsidRPr="003C684F" w:rsidR="00FC0D38">
        <w:rPr>
          <w:rFonts w:hint="eastAsia" w:ascii="仿宋" w:hAnsi="仿宋" w:eastAsia="仿宋" w:cs="仿宋"/>
          <w:sz w:val="32"/>
          <w:szCs w:val="32"/>
        </w:rPr>
        <w:t>重</w:t>
      </w:r>
      <w:r w:rsidRPr="003C684F">
        <w:rPr>
          <w:rFonts w:hint="eastAsia" w:ascii="仿宋" w:hAnsi="仿宋" w:eastAsia="仿宋" w:cs="仿宋"/>
          <w:sz w:val="32"/>
          <w:szCs w:val="32"/>
        </w:rPr>
        <w:t>度肾功能损伤患者无需调整剂量，重度肾功能损伤患者的数据有限。</w:t>
      </w:r>
    </w:p>
    <w:p w:rsidRPr="003C684F" w:rsidR="00F10356" w:rsidP="00F10356" w:rsidRDefault="00F10356" w14:paraId="6B2689A8"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7.轻度肝功能损伤患者无需调整剂量，尚未在中重度肝功能损伤患者中进行本品的相关研究。</w:t>
      </w:r>
    </w:p>
    <w:p w:rsidRPr="003C684F" w:rsidR="00F10356" w:rsidP="00F10356" w:rsidRDefault="00F10356" w14:paraId="407BE0A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8.帕博利珠单抗可引起免疫相关性不良反应。因为不良反应可能在帕博利珠单抗治疗期间或帕博利珠单抗治疗停止后的任何时间发生，应持续进行患者监测。对于疑似免疫相关性不良反应，应进行充分的评估以确认病因或排除其他病因。根据不良反应的严重程度，暂停帕博利珠单抗治疗，并给予糖皮质激素或非糖皮质激素性免疫抑制剂治疗。必要时与相关领域学科进行多学科诊疗。</w:t>
      </w:r>
    </w:p>
    <w:p w:rsidRPr="003C684F" w:rsidR="00154BFF" w:rsidP="000E3392" w:rsidRDefault="00F10356" w14:paraId="64E042F0" w14:textId="6B6537DC">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9.在患者接受免疫抑制剂量的糖皮质激素或其他免疫抑制治疗期间，需要根据病情充分评估再考虑是否重新使用帕博利珠单抗治疗。</w:t>
      </w:r>
    </w:p>
    <w:p w:rsidRPr="003C684F" w:rsidR="00913F0D" w:rsidP="000E3392" w:rsidRDefault="00913F0D" w14:paraId="09936949" w14:textId="77777777">
      <w:pPr>
        <w:spacing w:line="360" w:lineRule="auto"/>
        <w:ind w:firstLine="640" w:firstLineChars="200"/>
        <w:rPr>
          <w:rFonts w:ascii="仿宋" w:hAnsi="仿宋" w:eastAsia="仿宋"/>
          <w:sz w:val="32"/>
          <w:szCs w:val="32"/>
        </w:rPr>
      </w:pPr>
    </w:p>
    <w:p w:rsidRPr="003C684F" w:rsidR="009730C1" w:rsidRDefault="00A315B9" w14:paraId="0A74CE8D" w14:textId="77777777">
      <w:pPr>
        <w:spacing w:line="360" w:lineRule="auto"/>
        <w:ind w:firstLine="883" w:firstLineChars="200"/>
        <w:jc w:val="center"/>
        <w:rPr>
          <w:rFonts w:ascii="宋体" w:hAnsi="宋体" w:cs="宋体"/>
          <w:b/>
          <w:bCs/>
          <w:sz w:val="44"/>
          <w:szCs w:val="44"/>
        </w:rPr>
      </w:pPr>
      <w:r w:rsidRPr="003C684F">
        <w:rPr>
          <w:rFonts w:hint="eastAsia" w:ascii="宋体" w:hAnsi="宋体" w:cs="宋体"/>
          <w:b/>
          <w:bCs/>
          <w:sz w:val="44"/>
          <w:szCs w:val="44"/>
        </w:rPr>
        <w:t>乳腺癌用药</w:t>
      </w:r>
    </w:p>
    <w:p w:rsidRPr="003C684F" w:rsidR="009730C1" w:rsidRDefault="009730C1" w14:paraId="3E24B723" w14:textId="77777777">
      <w:pPr>
        <w:spacing w:line="360" w:lineRule="auto"/>
        <w:ind w:firstLine="643" w:firstLineChars="200"/>
        <w:jc w:val="center"/>
        <w:rPr>
          <w:rFonts w:ascii="仿宋" w:hAnsi="仿宋" w:eastAsia="仿宋" w:cs="Times New Roman"/>
          <w:b/>
          <w:bCs/>
          <w:sz w:val="32"/>
          <w:szCs w:val="32"/>
        </w:rPr>
      </w:pPr>
    </w:p>
    <w:p w:rsidRPr="003C684F" w:rsidR="009730C1" w:rsidRDefault="00A315B9" w14:paraId="2192913C" w14:textId="77777777">
      <w:pPr>
        <w:ind w:firstLine="640" w:firstLineChars="200"/>
        <w:rPr>
          <w:rFonts w:ascii="仿宋" w:hAnsi="仿宋" w:eastAsia="仿宋"/>
          <w:color w:val="000000"/>
          <w:sz w:val="32"/>
          <w:szCs w:val="32"/>
        </w:rPr>
      </w:pPr>
      <w:r w:rsidRPr="003C684F">
        <w:rPr>
          <w:rFonts w:hint="eastAsia" w:ascii="黑体" w:hAnsi="黑体" w:eastAsia="黑体"/>
          <w:color w:val="000000"/>
          <w:sz w:val="32"/>
          <w:szCs w:val="32"/>
        </w:rPr>
        <w:t>一、曲妥珠单抗 T</w:t>
      </w:r>
      <w:r w:rsidRPr="003C684F">
        <w:rPr>
          <w:rFonts w:ascii="黑体" w:hAnsi="黑体" w:eastAsia="黑体"/>
          <w:color w:val="000000"/>
          <w:sz w:val="32"/>
          <w:szCs w:val="32"/>
        </w:rPr>
        <w:t>rastuzumab</w:t>
      </w:r>
    </w:p>
    <w:p w:rsidRPr="003C684F" w:rsidR="009730C1" w:rsidRDefault="00A315B9" w14:paraId="0EDA6445"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注射剂：440mg（20ml）/瓶</w:t>
      </w:r>
    </w:p>
    <w:p w:rsidRPr="003C684F" w:rsidR="009730C1" w:rsidRDefault="00A315B9" w14:paraId="6B456AC1"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lastRenderedPageBreak/>
        <w:t>适应证：</w:t>
      </w:r>
    </w:p>
    <w:p w:rsidRPr="003C684F" w:rsidR="0022063F" w:rsidRDefault="00A315B9" w14:paraId="48E69809" w14:textId="6D177FF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sidR="0022063F">
        <w:rPr>
          <w:rFonts w:hint="eastAsia" w:ascii="仿宋" w:hAnsi="仿宋" w:eastAsia="仿宋"/>
          <w:color w:val="000000"/>
          <w:sz w:val="32"/>
          <w:szCs w:val="32"/>
        </w:rPr>
        <w:t>复发或转移性乳腺癌：本品适用于HER2阳性转移性乳腺癌，单药或与拉帕替尼等酪氨酸激酶抑制剂联合或与内分泌治疗药物（激素受体阳性、HER2阳性乳腺癌）等联合用于已接受过多个化疗方案的转移性乳腺癌；与帕妥珠单抗和紫杉醇或多西他赛等化疗药物联合，用于未接受化疗的转移性乳腺癌患者。</w:t>
      </w:r>
    </w:p>
    <w:p w:rsidRPr="003C684F" w:rsidR="009730C1" w:rsidRDefault="00A315B9" w14:paraId="3DA2D344" w14:textId="53CFD7C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乳腺癌辅助治疗：本品适用于肿瘤直径＞0.5cm的HER2阳性可手术乳腺癌的辅助治疗；对肿瘤直径＜0.5cm浸润性乳腺癌，需要结合其他因素考虑是否使用。曲妥珠单抗一般不与蒽环类药物联合使用，但可序贯使用；可与紫杉类及其他（环磷酰胺、卡铂等）化疗药物</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，可与放疗、辅助内分泌治疗同时使用。</w:t>
      </w:r>
    </w:p>
    <w:p w:rsidRPr="003C684F" w:rsidR="009730C1" w:rsidRDefault="00A315B9" w14:paraId="2A8F9D3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3.乳腺癌新辅助治疗：与化疗联合进行新辅助治疗，用于局部晚期（包括炎性）的HER2阳性乳腺癌。术后继续使用曲妥珠单抗总疗程为1年。</w:t>
      </w:r>
    </w:p>
    <w:p w:rsidRPr="003C684F" w:rsidR="009730C1" w:rsidRDefault="00A315B9" w14:paraId="628FF637"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7E579A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1.在接受曲妥珠单抗治疗前，应在有资质的病理实验室进行HER2检测，HER2阳性患者方可应用曲妥珠单抗治疗。</w:t>
      </w:r>
    </w:p>
    <w:p w:rsidRPr="003C684F" w:rsidR="009730C1" w:rsidRDefault="00A315B9" w14:paraId="4978645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2.与蒽环类药物同期应用须慎重，可能增加心脏毒性，严重者会发生心力衰竭，建议序贯使用或分别使用。</w:t>
      </w:r>
    </w:p>
    <w:p w:rsidRPr="003C684F" w:rsidR="009730C1" w:rsidRDefault="00A315B9" w14:paraId="2AAF312F" w14:textId="0080856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3.临床实践中要对既往史、体格检查、心电图、超声心</w:t>
      </w:r>
      <w:r w:rsidRPr="003C684F">
        <w:rPr>
          <w:rFonts w:hint="eastAsia" w:ascii="仿宋" w:hAnsi="仿宋" w:eastAsia="仿宋"/>
          <w:color w:val="000000"/>
          <w:sz w:val="32"/>
          <w:szCs w:val="32"/>
        </w:rPr>
        <w:lastRenderedPageBreak/>
        <w:t>动图LVEF基线评估后，再开始应用曲妥珠单抗，使用期间应每3个月监测LVEF。若患者有无症状性心功能不全，监测频率应更高。出现下列情况时：治疗中若出现LVEF＜50%或低于治疗前16%以上，应暂停治疗，并跟踪监测LVEF动态变化，直至恢复到50%以上方可继续用药。LVEF持续下降（大于8周），</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三次以上因心脏毒性而停止曲妥珠单抗治疗，应永久停用曲妥珠单抗。</w:t>
      </w:r>
    </w:p>
    <w:p w:rsidRPr="003C684F" w:rsidR="009730C1" w:rsidRDefault="00A315B9" w14:paraId="1DFE930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4.多项临床研究证实，HER2阳性转移性乳腺癌患者，在其他化疗药物或内分泌药物治疗时，联合曲妥珠单抗可进一步增加临床获益。</w:t>
      </w:r>
    </w:p>
    <w:p w:rsidRPr="003C684F" w:rsidR="009730C1" w:rsidRDefault="00A315B9" w14:paraId="4A5BE4F6" w14:textId="44462B6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5.每周给药方案初始负荷剂量：建议本品的初始负荷量为4mg/kg</w:t>
      </w:r>
      <w:r w:rsidRPr="003C684F" w:rsidR="00CC43FB">
        <w:rPr>
          <w:rFonts w:hint="eastAsia" w:ascii="仿宋" w:hAnsi="仿宋" w:eastAsia="仿宋"/>
          <w:color w:val="000000"/>
          <w:sz w:val="32"/>
          <w:szCs w:val="32"/>
        </w:rPr>
        <w:t>，每周一次，</w:t>
      </w:r>
      <w:r w:rsidRPr="003C684F">
        <w:rPr>
          <w:rFonts w:hint="eastAsia" w:ascii="仿宋" w:hAnsi="仿宋" w:eastAsia="仿宋"/>
          <w:color w:val="000000"/>
          <w:sz w:val="32"/>
          <w:szCs w:val="32"/>
        </w:rPr>
        <w:t>静脉输注90分钟以上</w:t>
      </w:r>
      <w:r w:rsidRPr="003C684F" w:rsidR="00CC43FB">
        <w:rPr>
          <w:rFonts w:hint="eastAsia" w:ascii="仿宋" w:hAnsi="仿宋" w:eastAsia="仿宋"/>
          <w:color w:val="000000"/>
          <w:sz w:val="32"/>
          <w:szCs w:val="32"/>
        </w:rPr>
        <w:t>；</w:t>
      </w:r>
      <w:r w:rsidRPr="003C684F">
        <w:rPr>
          <w:rFonts w:hint="eastAsia" w:ascii="仿宋" w:hAnsi="仿宋" w:eastAsia="仿宋"/>
          <w:color w:val="000000"/>
          <w:sz w:val="32"/>
          <w:szCs w:val="32"/>
        </w:rPr>
        <w:t>维持剂量：建议本品用量为2mg/kg</w:t>
      </w:r>
      <w:r w:rsidRPr="003C684F" w:rsidR="00CC43FB">
        <w:rPr>
          <w:rFonts w:hint="eastAsia" w:ascii="仿宋" w:hAnsi="仿宋" w:eastAsia="仿宋"/>
          <w:color w:val="000000"/>
          <w:sz w:val="32"/>
          <w:szCs w:val="32"/>
        </w:rPr>
        <w:t>，每周一次，</w:t>
      </w:r>
      <w:r w:rsidRPr="003C684F">
        <w:rPr>
          <w:rFonts w:hint="eastAsia" w:ascii="仿宋" w:hAnsi="仿宋" w:eastAsia="仿宋"/>
          <w:color w:val="000000"/>
          <w:sz w:val="32"/>
          <w:szCs w:val="32"/>
        </w:rPr>
        <w:t>如初始负荷量可耐受，则此剂量可静脉输注30分钟。3周给药方案初始负荷剂量为8mg/kg，随后6mg/kg每</w:t>
      </w:r>
      <w:r w:rsidRPr="003C684F" w:rsidR="0008262F">
        <w:rPr>
          <w:rFonts w:hint="eastAsia" w:ascii="仿宋" w:hAnsi="仿宋" w:eastAsia="仿宋"/>
          <w:color w:val="000000"/>
          <w:sz w:val="32"/>
          <w:szCs w:val="32"/>
        </w:rPr>
        <w:t>3周</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。且重复6mg/kg每</w:t>
      </w:r>
      <w:r w:rsidRPr="003C684F" w:rsidR="0008262F">
        <w:rPr>
          <w:rFonts w:hint="eastAsia" w:ascii="仿宋" w:hAnsi="仿宋" w:eastAsia="仿宋"/>
          <w:color w:val="000000"/>
          <w:sz w:val="32"/>
          <w:szCs w:val="32"/>
        </w:rPr>
        <w:t>3周</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时输注时间约为90分钟。如果患者在首次输注时耐受性良好，后续输注可改为30分钟。</w:t>
      </w:r>
      <w:r w:rsidRPr="003C684F" w:rsidR="00A400E4">
        <w:rPr>
          <w:rFonts w:hint="eastAsia" w:ascii="仿宋" w:hAnsi="仿宋" w:eastAsia="仿宋"/>
          <w:color w:val="000000"/>
          <w:sz w:val="32"/>
          <w:szCs w:val="32"/>
        </w:rPr>
        <w:t>配制</w:t>
      </w:r>
      <w:r w:rsidRPr="003C684F">
        <w:rPr>
          <w:rFonts w:hint="eastAsia" w:ascii="仿宋" w:hAnsi="仿宋" w:eastAsia="仿宋"/>
          <w:color w:val="000000"/>
          <w:sz w:val="32"/>
          <w:szCs w:val="32"/>
        </w:rPr>
        <w:t>后的溶液稀释于250ml的0.9%氯化钠中，不可使用5%的葡萄糖</w:t>
      </w:r>
      <w:r w:rsidR="00E04840">
        <w:rPr>
          <w:rFonts w:hint="eastAsia" w:ascii="仿宋" w:hAnsi="仿宋" w:eastAsia="仿宋"/>
          <w:color w:val="000000"/>
          <w:sz w:val="32"/>
          <w:szCs w:val="32"/>
        </w:rPr>
        <w:t>溶液</w:t>
      </w:r>
      <w:r w:rsidRPr="003C684F">
        <w:rPr>
          <w:rFonts w:hint="eastAsia" w:ascii="仿宋" w:hAnsi="仿宋" w:eastAsia="仿宋"/>
          <w:color w:val="000000"/>
          <w:sz w:val="32"/>
          <w:szCs w:val="32"/>
        </w:rPr>
        <w:t>（可使蛋白聚集）。</w:t>
      </w:r>
    </w:p>
    <w:p w:rsidRPr="003C684F" w:rsidR="009730C1" w:rsidRDefault="00A315B9" w14:paraId="426B94A6" w14:textId="6DCF0F1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6.疗程：乳腺癌患者术后使用曲妥珠单抗辅助治疗时间为1年，不建议延长治疗时间。复发或转移患者治疗至疾病进展或出现</w:t>
      </w:r>
      <w:r w:rsidRPr="003C684F" w:rsidR="004B304F">
        <w:rPr>
          <w:rFonts w:hint="eastAsia" w:ascii="仿宋" w:hAnsi="仿宋" w:eastAsia="仿宋"/>
          <w:color w:val="000000"/>
          <w:sz w:val="32"/>
          <w:szCs w:val="32"/>
        </w:rPr>
        <w:t>不可耐受的毒性</w:t>
      </w:r>
      <w:r w:rsidRPr="003C684F">
        <w:rPr>
          <w:rFonts w:hint="eastAsia" w:ascii="仿宋" w:hAnsi="仿宋" w:eastAsia="仿宋"/>
          <w:color w:val="000000"/>
          <w:sz w:val="32"/>
          <w:szCs w:val="32"/>
        </w:rPr>
        <w:t>，联合治疗有效后可以使用曲妥</w:t>
      </w:r>
      <w:r w:rsidRPr="003C684F">
        <w:rPr>
          <w:rFonts w:hint="eastAsia" w:ascii="仿宋" w:hAnsi="仿宋" w:eastAsia="仿宋"/>
          <w:color w:val="000000"/>
          <w:sz w:val="32"/>
          <w:szCs w:val="32"/>
        </w:rPr>
        <w:lastRenderedPageBreak/>
        <w:t>珠单抗维持治疗。</w:t>
      </w:r>
    </w:p>
    <w:p w:rsidRPr="003C684F" w:rsidR="009730C1" w:rsidP="0037660B" w:rsidRDefault="00A315B9" w14:paraId="343271A2"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二、恩美曲妥珠单抗 Trastuzumab Emtansine</w:t>
      </w:r>
    </w:p>
    <w:p w:rsidRPr="003C684F" w:rsidR="009730C1" w:rsidRDefault="00A315B9" w14:paraId="0E3E18B7"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sidR="00C44566">
        <w:rPr>
          <w:rFonts w:hint="eastAsia" w:ascii="仿宋" w:hAnsi="仿宋" w:eastAsia="仿宋" w:cs="黑体"/>
          <w:sz w:val="32"/>
          <w:szCs w:val="32"/>
        </w:rPr>
        <w:t>注射用冻干</w:t>
      </w:r>
      <w:r w:rsidRPr="003C684F" w:rsidR="00C44566">
        <w:rPr>
          <w:rFonts w:hint="eastAsia" w:ascii="仿宋" w:hAnsi="仿宋" w:eastAsia="仿宋" w:cs="仿宋"/>
          <w:sz w:val="32"/>
          <w:szCs w:val="32"/>
        </w:rPr>
        <w:t>粉针剂</w:t>
      </w:r>
      <w:r w:rsidRPr="003C684F">
        <w:rPr>
          <w:rFonts w:hint="eastAsia" w:ascii="仿宋" w:hAnsi="仿宋" w:eastAsia="仿宋" w:cs="仿宋"/>
          <w:sz w:val="32"/>
          <w:szCs w:val="32"/>
        </w:rPr>
        <w:t>：100mg/瓶、160mg/瓶</w:t>
      </w:r>
    </w:p>
    <w:p w:rsidRPr="003C684F" w:rsidR="009730C1" w:rsidRDefault="00A315B9" w14:paraId="7F46D52E"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RDefault="00A315B9" w14:paraId="5B6D4876" w14:textId="77777777">
      <w:pPr>
        <w:spacing w:line="360" w:lineRule="auto"/>
        <w:ind w:firstLine="640" w:firstLineChars="200"/>
        <w:rPr>
          <w:rFonts w:ascii="仿宋" w:hAnsi="仿宋" w:eastAsia="仿宋" w:cs="仿宋"/>
          <w:bCs/>
          <w:sz w:val="32"/>
          <w:szCs w:val="32"/>
        </w:rPr>
      </w:pPr>
      <w:r w:rsidRPr="003C684F">
        <w:rPr>
          <w:rFonts w:hint="eastAsia" w:ascii="仿宋" w:hAnsi="仿宋" w:eastAsia="仿宋" w:cs="仿宋"/>
          <w:bCs/>
          <w:sz w:val="32"/>
          <w:szCs w:val="32"/>
        </w:rPr>
        <w:t>1.乳腺癌辅助治疗：单药适用于接受了紫杉类联合曲妥珠单抗为基础的新辅助治疗后，仍残存侵袭性病灶的HER2阳性早期乳腺癌患者的辅助治疗。</w:t>
      </w:r>
    </w:p>
    <w:p w:rsidRPr="003C684F" w:rsidR="009730C1" w:rsidRDefault="00A315B9" w14:paraId="0A81AF5C" w14:textId="77777777">
      <w:pPr>
        <w:spacing w:line="360" w:lineRule="auto"/>
        <w:ind w:firstLine="640" w:firstLineChars="200"/>
        <w:rPr>
          <w:rFonts w:ascii="仿宋" w:hAnsi="仿宋" w:eastAsia="仿宋" w:cs="仿宋"/>
          <w:bCs/>
          <w:sz w:val="32"/>
          <w:szCs w:val="32"/>
        </w:rPr>
      </w:pPr>
      <w:r w:rsidRPr="003C684F">
        <w:rPr>
          <w:rFonts w:hint="eastAsia" w:ascii="仿宋" w:hAnsi="仿宋" w:eastAsia="仿宋" w:cs="仿宋"/>
          <w:bCs/>
          <w:sz w:val="32"/>
          <w:szCs w:val="32"/>
        </w:rPr>
        <w:t>2.转移性乳腺癌治疗：单药适用于接受了紫杉类和曲妥珠单抗治疗的HER2阳性、不可切除局部晚期或转移性乳腺癌患者。且患者应具备以下任一情形：既往接受过针对局部晚期或转移性乳腺癌的治疗，或在辅助治疗期间或完成辅助治疗后6个月内出现疾病复发。</w:t>
      </w:r>
    </w:p>
    <w:p w:rsidRPr="003C684F" w:rsidR="009730C1" w:rsidRDefault="00A315B9" w14:paraId="2C3123C1" w14:textId="77777777">
      <w:pPr>
        <w:spacing w:line="360" w:lineRule="auto"/>
        <w:ind w:firstLine="643" w:firstLineChars="200"/>
        <w:rPr>
          <w:rFonts w:ascii="黑体" w:hAnsi="黑体" w:eastAsia="黑体" w:cs="黑体"/>
          <w:sz w:val="32"/>
          <w:szCs w:val="32"/>
        </w:rPr>
      </w:pPr>
      <w:r w:rsidRPr="003C684F">
        <w:rPr>
          <w:rFonts w:hint="eastAsia" w:ascii="仿宋" w:hAnsi="仿宋" w:eastAsia="仿宋" w:cs="仿宋"/>
          <w:b/>
          <w:bCs/>
          <w:sz w:val="32"/>
          <w:szCs w:val="32"/>
        </w:rPr>
        <w:t>合理用药要点：</w:t>
      </w:r>
    </w:p>
    <w:p w:rsidRPr="003C684F" w:rsidR="009730C1" w:rsidRDefault="00A315B9" w14:paraId="743579F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1.恩美曲妥珠单抗（T-DM1）与曲妥珠单抗为不同药物，禁止在临床应用中进行替换。</w:t>
      </w:r>
    </w:p>
    <w:p w:rsidRPr="003C684F" w:rsidR="009730C1" w:rsidRDefault="00A315B9" w14:paraId="4294737C"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接受T-DM1辅助治疗的患者应符合以下要求：（1）应在有资质的病理实验室通过HER2检测确认为HER2阳性。（2）完成以曲妥珠单抗（H）和紫杉类为基础的新辅助治疗方案。（3）新辅助治疗后的病理评估结果未能达到病理学完全缓解。病理学完全缓解（pCR）定义为乳腺原发灶无浸润性癌且区域淋巴结阴性，即ypT0/Tis ypN0。新辅助治疗后仅残余乳腺脉管内肿瘤或仅淋巴结内残余ITC均不能诊断</w:t>
      </w:r>
      <w:r w:rsidRPr="003C684F">
        <w:rPr>
          <w:rFonts w:hint="eastAsia" w:ascii="仿宋" w:hAnsi="仿宋" w:eastAsia="仿宋" w:cs="仿宋"/>
          <w:sz w:val="32"/>
          <w:szCs w:val="32"/>
        </w:rPr>
        <w:lastRenderedPageBreak/>
        <w:t>pCR。</w:t>
      </w:r>
    </w:p>
    <w:p w:rsidRPr="003C684F" w:rsidR="009730C1" w:rsidRDefault="00A315B9" w14:paraId="541F40F9" w14:textId="3493FA42">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3.T-DM1的推荐剂量为3.6mg/kg，每3周一次（21天为一个周期）</w:t>
      </w:r>
      <w:r w:rsidRPr="003C684F" w:rsidR="009B465F">
        <w:rPr>
          <w:rFonts w:hint="eastAsia" w:ascii="仿宋" w:hAnsi="仿宋" w:eastAsia="仿宋" w:cs="仿宋"/>
          <w:sz w:val="32"/>
          <w:szCs w:val="32"/>
        </w:rPr>
        <w:t>，静脉输注</w:t>
      </w:r>
      <w:r w:rsidRPr="003C684F">
        <w:rPr>
          <w:rFonts w:hint="eastAsia" w:ascii="仿宋" w:hAnsi="仿宋" w:eastAsia="仿宋" w:cs="仿宋"/>
          <w:sz w:val="32"/>
          <w:szCs w:val="32"/>
        </w:rPr>
        <w:t>。早期乳腺癌患者应接受共14个周期的治疗，除非</w:t>
      </w:r>
      <w:r w:rsidRPr="003C684F" w:rsidR="00B95507">
        <w:rPr>
          <w:rFonts w:hint="eastAsia" w:ascii="仿宋" w:hAnsi="仿宋" w:eastAsia="仿宋" w:cs="仿宋"/>
          <w:sz w:val="32"/>
          <w:szCs w:val="32"/>
        </w:rPr>
        <w:t>疾病进展或出现不可耐受的毒性。</w:t>
      </w:r>
      <w:r w:rsidRPr="003C684F">
        <w:rPr>
          <w:rFonts w:hint="eastAsia" w:ascii="仿宋" w:hAnsi="仿宋" w:eastAsia="仿宋" w:cs="仿宋"/>
          <w:sz w:val="32"/>
          <w:szCs w:val="32"/>
        </w:rPr>
        <w:t>晚期乳腺癌应持续接受治疗，直至</w:t>
      </w:r>
      <w:r w:rsidRPr="003C684F" w:rsidR="00B95507">
        <w:rPr>
          <w:rFonts w:hint="eastAsia" w:ascii="仿宋" w:hAnsi="仿宋" w:eastAsia="仿宋" w:cs="仿宋"/>
          <w:sz w:val="32"/>
          <w:szCs w:val="32"/>
        </w:rPr>
        <w:t>疾病进展或出现不可耐受的毒性。</w:t>
      </w:r>
      <w:r w:rsidRPr="003C684F">
        <w:rPr>
          <w:rFonts w:hint="eastAsia" w:ascii="仿宋" w:hAnsi="仿宋" w:eastAsia="仿宋" w:cs="仿宋"/>
          <w:sz w:val="32"/>
          <w:szCs w:val="32"/>
        </w:rPr>
        <w:t>发生不良反应时应根据说明书及时调整剂量，剂量降低方案如下表。降低剂量后，不应再增加T-DM1剂量。</w:t>
      </w:r>
    </w:p>
    <w:tbl>
      <w:tblPr>
        <w:tblStyle w:val="ac"/>
        <w:tblW w:w="4887" w:type="pct"/>
        <w:tblLook w:val="04A0" w:firstRow="1" w:lastRow="0" w:firstColumn="1" w:lastColumn="0" w:noHBand="0" w:noVBand="1"/>
      </w:tblPr>
      <w:tblGrid>
        <w:gridCol w:w="4261"/>
        <w:gridCol w:w="4068"/>
      </w:tblGrid>
      <w:tr w:rsidRPr="003C684F" w:rsidR="009730C1" w14:paraId="5130AAEC" w14:textId="77777777">
        <w:trPr>
          <w:trHeight w:val="454"/>
        </w:trPr>
        <w:tc>
          <w:tcPr>
            <w:tcW w:w="5000" w:type="pct"/>
            <w:gridSpan w:val="2"/>
            <w:tcBorders>
              <w:top w:val="nil"/>
              <w:left w:val="nil"/>
              <w:bottom w:val="single" w:color="auto" w:sz="4" w:space="0"/>
              <w:right w:val="nil"/>
            </w:tcBorders>
            <w:vAlign w:val="center"/>
          </w:tcPr>
          <w:p w:rsidRPr="003C684F" w:rsidR="009730C1" w:rsidP="001B6FD3" w:rsidRDefault="00A315B9" w14:paraId="4E0C83FF" w14:textId="2C17F8F8">
            <w:pPr>
              <w:spacing w:line="360" w:lineRule="auto"/>
              <w:jc w:val="center"/>
              <w:rPr>
                <w:rFonts w:ascii="仿宋" w:hAnsi="仿宋" w:eastAsia="仿宋" w:cs="仿宋"/>
                <w:b/>
                <w:kern w:val="0"/>
                <w:sz w:val="20"/>
              </w:rPr>
            </w:pPr>
            <w:r w:rsidRPr="003C684F">
              <w:rPr>
                <w:rFonts w:hint="eastAsia" w:ascii="仿宋" w:hAnsi="仿宋" w:eastAsia="仿宋" w:cs="仿宋"/>
                <w:b/>
                <w:kern w:val="0"/>
                <w:sz w:val="20"/>
              </w:rPr>
              <w:t>表1</w:t>
            </w:r>
            <w:r w:rsidRPr="003C684F" w:rsidR="001B6FD3">
              <w:rPr>
                <w:rFonts w:hint="eastAsia" w:ascii="仿宋" w:hAnsi="仿宋" w:eastAsia="仿宋" w:cs="仿宋"/>
                <w:b/>
                <w:kern w:val="0"/>
                <w:sz w:val="20"/>
              </w:rPr>
              <w:t>2</w:t>
            </w:r>
            <w:r w:rsidRPr="003C684F">
              <w:rPr>
                <w:rFonts w:hint="eastAsia" w:ascii="仿宋" w:hAnsi="仿宋" w:eastAsia="仿宋" w:cs="仿宋"/>
                <w:b/>
                <w:kern w:val="0"/>
                <w:sz w:val="20"/>
              </w:rPr>
              <w:t xml:space="preserve">　恩美曲妥珠单抗剂量降低方案</w:t>
            </w:r>
          </w:p>
        </w:tc>
      </w:tr>
      <w:tr w:rsidRPr="003C684F" w:rsidR="009730C1" w14:paraId="483C3A4F" w14:textId="77777777">
        <w:trPr>
          <w:trHeight w:val="454"/>
        </w:trPr>
        <w:tc>
          <w:tcPr>
            <w:tcW w:w="2558"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5319FF0B" w14:textId="77777777">
            <w:pPr>
              <w:spacing w:line="360" w:lineRule="auto"/>
              <w:rPr>
                <w:rFonts w:ascii="仿宋" w:hAnsi="仿宋" w:eastAsia="仿宋" w:cs="仿宋"/>
                <w:b/>
                <w:kern w:val="0"/>
                <w:sz w:val="20"/>
              </w:rPr>
            </w:pPr>
            <w:r w:rsidRPr="003C684F">
              <w:rPr>
                <w:rFonts w:hint="eastAsia" w:ascii="仿宋" w:hAnsi="仿宋" w:eastAsia="仿宋" w:cs="仿宋"/>
                <w:b/>
                <w:kern w:val="0"/>
                <w:sz w:val="20"/>
              </w:rPr>
              <w:t>剂量降低方案</w:t>
            </w:r>
          </w:p>
        </w:tc>
        <w:tc>
          <w:tcPr>
            <w:tcW w:w="2442"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275A24A3" w14:textId="77777777">
            <w:pPr>
              <w:spacing w:line="360" w:lineRule="auto"/>
              <w:rPr>
                <w:rFonts w:ascii="仿宋" w:hAnsi="仿宋" w:eastAsia="仿宋" w:cs="仿宋"/>
                <w:b/>
                <w:kern w:val="0"/>
                <w:sz w:val="20"/>
              </w:rPr>
            </w:pPr>
            <w:r w:rsidRPr="003C684F">
              <w:rPr>
                <w:rFonts w:hint="eastAsia" w:ascii="仿宋" w:hAnsi="仿宋" w:eastAsia="仿宋" w:cs="仿宋"/>
                <w:b/>
                <w:kern w:val="0"/>
                <w:sz w:val="20"/>
              </w:rPr>
              <w:t>剂量水平</w:t>
            </w:r>
          </w:p>
        </w:tc>
      </w:tr>
      <w:tr w:rsidRPr="003C684F" w:rsidR="009730C1" w14:paraId="79C30A43" w14:textId="77777777">
        <w:trPr>
          <w:trHeight w:val="454"/>
        </w:trPr>
        <w:tc>
          <w:tcPr>
            <w:tcW w:w="2558"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4995D246"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起始剂量</w:t>
            </w:r>
          </w:p>
        </w:tc>
        <w:tc>
          <w:tcPr>
            <w:tcW w:w="2442"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13B09EA6"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3.6mg/kg</w:t>
            </w:r>
          </w:p>
        </w:tc>
      </w:tr>
      <w:tr w:rsidRPr="003C684F" w:rsidR="009730C1" w14:paraId="1F9308DC" w14:textId="77777777">
        <w:trPr>
          <w:trHeight w:val="454"/>
        </w:trPr>
        <w:tc>
          <w:tcPr>
            <w:tcW w:w="2558"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4A6DA2E0"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第1次降低剂量</w:t>
            </w:r>
          </w:p>
        </w:tc>
        <w:tc>
          <w:tcPr>
            <w:tcW w:w="2442"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6B0E5300"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3mg/kg</w:t>
            </w:r>
          </w:p>
        </w:tc>
      </w:tr>
      <w:tr w:rsidRPr="003C684F" w:rsidR="009730C1" w14:paraId="4F5B9147" w14:textId="77777777">
        <w:trPr>
          <w:trHeight w:val="454"/>
        </w:trPr>
        <w:tc>
          <w:tcPr>
            <w:tcW w:w="2558"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66C79C16"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第2次降低剂量</w:t>
            </w:r>
          </w:p>
        </w:tc>
        <w:tc>
          <w:tcPr>
            <w:tcW w:w="2442"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12BBF2BA"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2.4mg/kg</w:t>
            </w:r>
          </w:p>
        </w:tc>
      </w:tr>
      <w:tr w:rsidRPr="003C684F" w:rsidR="009730C1" w14:paraId="7808A394" w14:textId="77777777">
        <w:trPr>
          <w:trHeight w:val="454"/>
        </w:trPr>
        <w:tc>
          <w:tcPr>
            <w:tcW w:w="2558"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06E1241E"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需要进一步降低剂量</w:t>
            </w:r>
          </w:p>
        </w:tc>
        <w:tc>
          <w:tcPr>
            <w:tcW w:w="2442" w:type="pct"/>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063345C7" w14:textId="77777777">
            <w:pPr>
              <w:spacing w:line="360" w:lineRule="auto"/>
              <w:jc w:val="left"/>
              <w:rPr>
                <w:rFonts w:ascii="仿宋" w:hAnsi="仿宋" w:eastAsia="仿宋" w:cs="仿宋"/>
                <w:kern w:val="0"/>
                <w:sz w:val="20"/>
              </w:rPr>
            </w:pPr>
            <w:r w:rsidRPr="003C684F">
              <w:rPr>
                <w:rFonts w:hint="eastAsia" w:ascii="仿宋" w:hAnsi="仿宋" w:eastAsia="仿宋" w:cs="仿宋"/>
                <w:kern w:val="0"/>
                <w:sz w:val="20"/>
              </w:rPr>
              <w:t>终止治疗</w:t>
            </w:r>
          </w:p>
        </w:tc>
      </w:tr>
    </w:tbl>
    <w:p w:rsidRPr="003C684F" w:rsidR="009730C1" w:rsidRDefault="00A315B9" w14:paraId="7E785F1F"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临床实践中要对既往史、体格检查、心电图、超声心动图LVEF基线评估后，再开始应用T-DM1，使用期间应每3个月监测LVEF。若患者有无症状性心功能不全，监测频率应更高。出现下列情况时：（1）LVEF＜45%应暂停治疗，3周内重复评估LVEF。如果确认LVEF＜45%，应终止治疗。（2）LVEF为45%至＜50%，且相对基线下降≥10%，应暂停治疗，并在3周内重复评估LVEF。如果LVEF仍为＜50%，并且相对基线未恢复至＜10%，应终止治疗。（3）LVEF为45%至＜50%，相对基线下降＜10%，可继续治疗，并在3周内重复评估LVEF。（4）LVEF≥50%，可继续进行治疗。（5）症状性充血性心</w:t>
      </w:r>
      <w:r w:rsidRPr="003C684F">
        <w:rPr>
          <w:rFonts w:hint="eastAsia" w:ascii="仿宋" w:hAnsi="仿宋" w:eastAsia="仿宋" w:cs="仿宋"/>
          <w:sz w:val="32"/>
          <w:szCs w:val="32"/>
        </w:rPr>
        <w:lastRenderedPageBreak/>
        <w:t>力衰竭，3～4级左心室收缩功能障碍或3～4级心力衰竭，或2级心力衰竭伴有LVEF＜45%，应终止治疗。</w:t>
      </w:r>
    </w:p>
    <w:p w:rsidRPr="003C684F" w:rsidR="009730C1" w:rsidRDefault="00A315B9" w14:paraId="6AE619E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5.建议在每次T-DM1给药之前监测血小板计数：对于早期乳腺癌患者剂量调整方案：（1）如果计划治疗日时为2～3级（</w:t>
      </w:r>
      <w:r w:rsidRPr="003C684F">
        <w:rPr>
          <w:rFonts w:hint="eastAsia" w:ascii="仿宋" w:hAnsi="仿宋" w:eastAsia="仿宋" w:cs="仿宋"/>
          <w:color w:val="000000"/>
          <w:sz w:val="32"/>
          <w:szCs w:val="32"/>
        </w:rPr>
        <w:t>25～75）×10</w:t>
      </w:r>
      <w:r w:rsidRPr="003C684F">
        <w:rPr>
          <w:rFonts w:hint="eastAsia" w:ascii="仿宋" w:hAnsi="仿宋" w:eastAsia="仿宋" w:cs="仿宋"/>
          <w:color w:val="000000"/>
          <w:sz w:val="32"/>
          <w:szCs w:val="32"/>
          <w:vertAlign w:val="superscript"/>
        </w:rPr>
        <w:t>9</w:t>
      </w:r>
      <w:r w:rsidRPr="003C684F">
        <w:rPr>
          <w:rFonts w:hint="eastAsia" w:ascii="仿宋" w:hAnsi="仿宋" w:eastAsia="仿宋" w:cs="仿宋"/>
          <w:color w:val="000000"/>
          <w:sz w:val="32"/>
          <w:szCs w:val="32"/>
        </w:rPr>
        <w:t>/L</w:t>
      </w:r>
      <w:r w:rsidRPr="003C684F">
        <w:rPr>
          <w:rFonts w:hint="eastAsia" w:ascii="仿宋" w:hAnsi="仿宋" w:eastAsia="仿宋" w:cs="仿宋"/>
          <w:sz w:val="32"/>
          <w:szCs w:val="32"/>
        </w:rPr>
        <w:t>，则应延迟至血小板计数恢复至≤1级（</w:t>
      </w:r>
      <w:r w:rsidRPr="003C684F">
        <w:rPr>
          <w:rFonts w:hint="eastAsia" w:ascii="仿宋" w:hAnsi="仿宋" w:eastAsia="仿宋" w:cs="仿宋"/>
          <w:color w:val="000000"/>
          <w:sz w:val="32"/>
          <w:szCs w:val="32"/>
        </w:rPr>
        <w:t>≥75×10</w:t>
      </w:r>
      <w:r w:rsidRPr="003C684F">
        <w:rPr>
          <w:rFonts w:hint="eastAsia" w:ascii="仿宋" w:hAnsi="仿宋" w:eastAsia="仿宋" w:cs="仿宋"/>
          <w:color w:val="000000"/>
          <w:sz w:val="32"/>
          <w:szCs w:val="32"/>
          <w:vertAlign w:val="superscript"/>
        </w:rPr>
        <w:t>9</w:t>
      </w:r>
      <w:r w:rsidRPr="003C684F">
        <w:rPr>
          <w:rFonts w:hint="eastAsia" w:ascii="仿宋" w:hAnsi="仿宋" w:eastAsia="仿宋" w:cs="仿宋"/>
          <w:color w:val="000000"/>
          <w:sz w:val="32"/>
          <w:szCs w:val="32"/>
        </w:rPr>
        <w:t>/L</w:t>
      </w:r>
      <w:r w:rsidRPr="003C684F">
        <w:rPr>
          <w:rFonts w:hint="eastAsia" w:ascii="仿宋" w:hAnsi="仿宋" w:eastAsia="仿宋" w:cs="仿宋"/>
          <w:sz w:val="32"/>
          <w:szCs w:val="32"/>
        </w:rPr>
        <w:t>）后以相同剂量水平进行治疗。如果患者因血小板减少症需延迟两次给药，应考虑降低一个剂量水平进行治疗。（2）如果</w:t>
      </w:r>
      <w:r w:rsidRPr="003C684F" w:rsidR="00701C08">
        <w:rPr>
          <w:rFonts w:hint="eastAsia" w:ascii="仿宋" w:hAnsi="仿宋" w:eastAsia="仿宋" w:cs="仿宋"/>
          <w:sz w:val="32"/>
          <w:szCs w:val="32"/>
        </w:rPr>
        <w:t>血小板减少</w:t>
      </w:r>
      <w:r w:rsidRPr="003C684F">
        <w:rPr>
          <w:rFonts w:hint="eastAsia" w:ascii="仿宋" w:hAnsi="仿宋" w:eastAsia="仿宋" w:cs="仿宋"/>
          <w:sz w:val="32"/>
          <w:szCs w:val="32"/>
        </w:rPr>
        <w:t>达到4级（＜</w:t>
      </w:r>
      <w:r w:rsidRPr="003C684F">
        <w:rPr>
          <w:rFonts w:hint="eastAsia" w:ascii="仿宋" w:hAnsi="仿宋" w:eastAsia="仿宋" w:cs="仿宋"/>
          <w:color w:val="000000"/>
          <w:sz w:val="32"/>
          <w:szCs w:val="32"/>
        </w:rPr>
        <w:t>25×10</w:t>
      </w:r>
      <w:r w:rsidRPr="003C684F">
        <w:rPr>
          <w:rFonts w:hint="eastAsia" w:ascii="仿宋" w:hAnsi="仿宋" w:eastAsia="仿宋" w:cs="仿宋"/>
          <w:color w:val="000000"/>
          <w:sz w:val="32"/>
          <w:szCs w:val="32"/>
          <w:vertAlign w:val="superscript"/>
        </w:rPr>
        <w:t>9</w:t>
      </w:r>
      <w:r w:rsidRPr="003C684F">
        <w:rPr>
          <w:rFonts w:hint="eastAsia" w:ascii="仿宋" w:hAnsi="仿宋" w:eastAsia="仿宋" w:cs="仿宋"/>
          <w:color w:val="000000"/>
          <w:sz w:val="32"/>
          <w:szCs w:val="32"/>
        </w:rPr>
        <w:t>/L）</w:t>
      </w:r>
      <w:r w:rsidRPr="003C684F">
        <w:rPr>
          <w:rFonts w:hint="eastAsia" w:ascii="仿宋" w:hAnsi="仿宋" w:eastAsia="仿宋" w:cs="仿宋"/>
          <w:sz w:val="32"/>
          <w:szCs w:val="32"/>
        </w:rPr>
        <w:t>，则应延迟至血小板计数恢复至≤1级（≥</w:t>
      </w:r>
      <w:r w:rsidRPr="003C684F">
        <w:rPr>
          <w:rFonts w:hint="eastAsia" w:ascii="仿宋" w:hAnsi="仿宋" w:eastAsia="仿宋" w:cs="仿宋"/>
          <w:color w:val="000000"/>
          <w:sz w:val="32"/>
          <w:szCs w:val="32"/>
        </w:rPr>
        <w:t>75×10</w:t>
      </w:r>
      <w:r w:rsidRPr="003C684F">
        <w:rPr>
          <w:rFonts w:hint="eastAsia" w:ascii="仿宋" w:hAnsi="仿宋" w:eastAsia="仿宋" w:cs="仿宋"/>
          <w:color w:val="000000"/>
          <w:sz w:val="32"/>
          <w:szCs w:val="32"/>
          <w:vertAlign w:val="superscript"/>
        </w:rPr>
        <w:t>9</w:t>
      </w:r>
      <w:r w:rsidRPr="003C684F">
        <w:rPr>
          <w:rFonts w:hint="eastAsia" w:ascii="仿宋" w:hAnsi="仿宋" w:eastAsia="仿宋" w:cs="仿宋"/>
          <w:color w:val="000000"/>
          <w:sz w:val="32"/>
          <w:szCs w:val="32"/>
        </w:rPr>
        <w:t>/L</w:t>
      </w:r>
      <w:r w:rsidRPr="003C684F">
        <w:rPr>
          <w:rFonts w:hint="eastAsia" w:ascii="仿宋" w:hAnsi="仿宋" w:eastAsia="仿宋" w:cs="仿宋"/>
          <w:sz w:val="32"/>
          <w:szCs w:val="32"/>
        </w:rPr>
        <w:t>）后降低一个剂量水平进行治疗。对于晚期乳腺癌患者剂量调整方案：（1）如果血小板减少达到3级（25～50）×10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/L，则应延迟至血小板计数恢复至≤1级（≥75×10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/L）后以相同剂量水平进行治疗。（2）如果血小板减少达到4级（＜25×10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/L），则应延迟至血小板计数恢复至≤1级（≥75×10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/L）后降低一个剂量水平进行治疗。（3）对于出现血小板减少症（血小板计数＜</w:t>
      </w:r>
      <w:r w:rsidRPr="003C684F">
        <w:rPr>
          <w:rFonts w:hint="eastAsia" w:ascii="仿宋" w:hAnsi="仿宋" w:eastAsia="仿宋" w:cs="仿宋"/>
          <w:color w:val="000000"/>
          <w:sz w:val="32"/>
          <w:szCs w:val="32"/>
        </w:rPr>
        <w:t>100×10</w:t>
      </w:r>
      <w:r w:rsidRPr="003C684F">
        <w:rPr>
          <w:rFonts w:hint="eastAsia" w:ascii="仿宋" w:hAnsi="仿宋" w:eastAsia="仿宋" w:cs="仿宋"/>
          <w:color w:val="000000"/>
          <w:sz w:val="32"/>
          <w:szCs w:val="32"/>
          <w:vertAlign w:val="superscript"/>
        </w:rPr>
        <w:t>9</w:t>
      </w:r>
      <w:r w:rsidRPr="003C684F">
        <w:rPr>
          <w:rFonts w:hint="eastAsia" w:ascii="仿宋" w:hAnsi="仿宋" w:eastAsia="仿宋" w:cs="仿宋"/>
          <w:color w:val="000000"/>
          <w:sz w:val="32"/>
          <w:szCs w:val="32"/>
        </w:rPr>
        <w:t>/L</w:t>
      </w:r>
      <w:r w:rsidRPr="003C684F">
        <w:rPr>
          <w:rFonts w:hint="eastAsia" w:ascii="仿宋" w:hAnsi="仿宋" w:eastAsia="仿宋" w:cs="仿宋"/>
          <w:sz w:val="32"/>
          <w:szCs w:val="32"/>
        </w:rPr>
        <w:t>）的患者和正在接受抗凝治疗的患者，在本品治疗期间，应该对其进行密切监测。（4）绝大多数血小板减少可以根据说明书进行暂停或减量及停药处理后恢复。经常规升血小板治疗后效果不佳时，应尽早请血液科专科医师会诊，必要时给予针对性的检查如骨髓穿刺、血小板生成素抗体、血小板抗体检测等，明确可能的病因后给予对症处理。（5）在接受T-DM1治疗后出现的罕见重度持续</w:t>
      </w:r>
      <w:r w:rsidRPr="003C684F">
        <w:rPr>
          <w:rFonts w:hint="eastAsia" w:ascii="仿宋" w:hAnsi="仿宋" w:eastAsia="仿宋" w:cs="仿宋"/>
          <w:sz w:val="32"/>
          <w:szCs w:val="32"/>
        </w:rPr>
        <w:lastRenderedPageBreak/>
        <w:t>性血小板减少（≥3级且持续时间超过90天）的患者中，绝大部分接受了rhTPO治疗，故使用rhTPO时应注意持续性血小板减少状况。</w:t>
      </w:r>
    </w:p>
    <w:p w:rsidRPr="003C684F" w:rsidR="009730C1" w:rsidRDefault="00A315B9" w14:paraId="187D8812" w14:textId="77777777">
      <w:pPr>
        <w:ind w:firstLine="640" w:firstLineChars="200"/>
        <w:rPr>
          <w:rFonts w:ascii="仿宋" w:hAnsi="仿宋" w:eastAsia="仿宋"/>
          <w:color w:val="000000"/>
          <w:sz w:val="32"/>
          <w:szCs w:val="32"/>
        </w:rPr>
      </w:pPr>
      <w:r w:rsidRPr="003C684F">
        <w:rPr>
          <w:rFonts w:hint="eastAsia" w:ascii="仿宋" w:hAnsi="仿宋" w:eastAsia="仿宋" w:cs="仿宋"/>
          <w:sz w:val="32"/>
          <w:szCs w:val="32"/>
        </w:rPr>
        <w:t>6.恩美曲妥珠单抗稀释于250ml的0.45%氯化钠或0.9%氯化钠中，不得使用5%葡萄糖溶液稀释，其会引起蛋白质聚集，同时也不得与其他药物混合或稀释。如果使用0.9%氯化钠进行输注，则需要0.2/0.22μm的管内聚醚砜滤器。一旦做好输注准备，则应立即给药。如果不立即使用，输注液可在2～8℃的冰箱中储存长达24小时。储存期间切勿冷冻或甩动输注袋。</w:t>
      </w:r>
    </w:p>
    <w:p w:rsidRPr="003C684F" w:rsidR="009730C1" w:rsidP="0037660B" w:rsidRDefault="00A315B9" w14:paraId="22D9CE77"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三、帕妥珠单抗 Pertuzumab</w:t>
      </w:r>
    </w:p>
    <w:p w:rsidRPr="003C684F" w:rsidR="009730C1" w:rsidRDefault="00A315B9" w14:paraId="18D2805A"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1114A1">
        <w:rPr>
          <w:rFonts w:hint="eastAsia" w:ascii="仿宋" w:hAnsi="仿宋" w:eastAsia="仿宋"/>
          <w:color w:val="000000"/>
          <w:sz w:val="32"/>
          <w:szCs w:val="32"/>
        </w:rPr>
        <w:t>剂</w:t>
      </w:r>
      <w:r w:rsidRPr="003C684F">
        <w:rPr>
          <w:rFonts w:hint="eastAsia" w:ascii="仿宋" w:hAnsi="仿宋" w:eastAsia="仿宋"/>
          <w:color w:val="000000"/>
          <w:sz w:val="32"/>
          <w:szCs w:val="32"/>
        </w:rPr>
        <w:t>：420mg（14ml）/瓶</w:t>
      </w:r>
    </w:p>
    <w:p w:rsidRPr="003C684F" w:rsidR="009730C1" w:rsidRDefault="00A315B9" w14:paraId="5E92BD5B"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3E7742E5"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1.乳腺癌辅助治疗：本品与曲妥珠单抗和化疗联合，用于高复发风险的HER2阳性早期乳腺癌患者的辅助治疗。帕妥珠单抗与曲妥珠单抗联合，还可与辅助内分泌治疗同用。</w:t>
      </w:r>
    </w:p>
    <w:p w:rsidRPr="003C684F" w:rsidR="009730C1" w:rsidRDefault="00A315B9" w14:paraId="004E282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2.乳腺癌新辅助治疗：本品与曲妥珠单抗和化疗联合，用于HER2阳性、局部晚期、炎性或早期乳腺癌患者（肿瘤直径＞2cm或淋巴结阳性）的新辅助治疗。</w:t>
      </w:r>
    </w:p>
    <w:p w:rsidRPr="003C684F" w:rsidR="009730C1" w:rsidRDefault="00A315B9" w14:paraId="51683025" w14:textId="023AAE5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3.复发或转移性乳腺癌治疗：本品与曲妥珠单抗和紫杉类化疗药</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于HER2阳性、转移性或不可切除的局部复发性乳腺癌患者。患者既往针对转移性疾病应未接受过抗</w:t>
      </w:r>
      <w:r w:rsidRPr="003C684F">
        <w:rPr>
          <w:rFonts w:hint="eastAsia" w:ascii="仿宋" w:hAnsi="仿宋" w:eastAsia="仿宋"/>
          <w:color w:val="000000"/>
          <w:sz w:val="32"/>
          <w:szCs w:val="32"/>
        </w:rPr>
        <w:lastRenderedPageBreak/>
        <w:t>HER2治疗，或既往辅助治疗阶段接受过抗HER2治疗，停止抗HER2治疗后一年以上复发或转移的患者。</w:t>
      </w:r>
    </w:p>
    <w:p w:rsidRPr="003C684F" w:rsidR="009730C1" w:rsidRDefault="00A315B9" w14:paraId="250BE791"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4BF6BA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1.接受帕妥珠单抗治疗的患者病灶组织标本，应在有资质的病理实验室进行HER2检测，HER2阳性患者方可应用。</w:t>
      </w:r>
    </w:p>
    <w:p w:rsidRPr="003C684F" w:rsidR="009730C1" w:rsidRDefault="00A315B9" w14:paraId="4E91FEE5" w14:textId="69873EC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2.帕妥珠单抗的推荐起始剂量为840mg，静脉输注60分钟，此后</w:t>
      </w:r>
      <w:r w:rsidRPr="003C684F" w:rsidR="001D3D66">
        <w:rPr>
          <w:rFonts w:hint="eastAsia" w:ascii="仿宋" w:hAnsi="仿宋" w:eastAsia="仿宋"/>
          <w:color w:val="000000"/>
          <w:sz w:val="32"/>
          <w:szCs w:val="32"/>
        </w:rPr>
        <w:t>给药剂量为420mg，</w:t>
      </w:r>
      <w:r w:rsidRPr="003C684F" w:rsidR="0071399F">
        <w:rPr>
          <w:rFonts w:hint="eastAsia" w:ascii="仿宋" w:hAnsi="仿宋" w:eastAsia="仿宋"/>
          <w:color w:val="000000"/>
          <w:sz w:val="32"/>
          <w:szCs w:val="32"/>
        </w:rPr>
        <w:t>每3周一次</w:t>
      </w:r>
      <w:r w:rsidRPr="003C684F">
        <w:rPr>
          <w:rFonts w:hint="eastAsia" w:ascii="仿宋" w:hAnsi="仿宋" w:eastAsia="仿宋"/>
          <w:color w:val="000000"/>
          <w:sz w:val="32"/>
          <w:szCs w:val="32"/>
        </w:rPr>
        <w:t>，输注时间30～60分钟。在每次完成帕妥珠单抗输液后，建议观察30～60分钟。观察时间结束后方可给予后续曲妥珠单抗或化疗。</w:t>
      </w:r>
    </w:p>
    <w:p w:rsidRPr="003C684F" w:rsidR="009730C1" w:rsidRDefault="00A315B9" w14:paraId="51EC827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帕妥珠单抗和曲妥珠单抗必须序贯给药，但先后顺序均可。在与帕妥珠单抗联合使用时，曲妥珠单抗的使用建议采用每3周一次使用；对于接受紫杉类药物治疗的患者，帕妥珠单抗和曲妥珠单抗给药应先于紫杉类药物；对于接受蒽环类药物治疗的患者，帕妥珠单抗和曲妥珠单抗应在完成完整蒽环类药物治疗方案后给予。</w:t>
      </w:r>
    </w:p>
    <w:p w:rsidRPr="003C684F" w:rsidR="009730C1" w:rsidRDefault="00A315B9" w14:paraId="7956D371" w14:textId="203F392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4.帕妥珠单抗稀释于250ml的0.9%氯化钠中，不得使用5%葡萄糖溶液稀释，同时也不得与其他药物混合或稀释。</w:t>
      </w:r>
      <w:r w:rsidRPr="003C684F" w:rsidR="00A400E4">
        <w:rPr>
          <w:rFonts w:hint="eastAsia" w:ascii="仿宋" w:hAnsi="仿宋" w:eastAsia="仿宋"/>
          <w:color w:val="000000"/>
          <w:sz w:val="32"/>
          <w:szCs w:val="32"/>
        </w:rPr>
        <w:t>配制</w:t>
      </w:r>
      <w:r w:rsidRPr="003C684F">
        <w:rPr>
          <w:rFonts w:hint="eastAsia" w:ascii="仿宋" w:hAnsi="仿宋" w:eastAsia="仿宋"/>
          <w:color w:val="000000"/>
          <w:sz w:val="32"/>
          <w:szCs w:val="32"/>
        </w:rPr>
        <w:t>好后应轻轻倒置输液袋以混合</w:t>
      </w:r>
      <w:r w:rsidRPr="003C684F" w:rsidR="00A935AB">
        <w:rPr>
          <w:rFonts w:hint="eastAsia" w:ascii="仿宋" w:hAnsi="仿宋" w:eastAsia="仿宋"/>
          <w:color w:val="000000"/>
          <w:sz w:val="32"/>
          <w:szCs w:val="32"/>
        </w:rPr>
        <w:t>均匀</w:t>
      </w:r>
      <w:r w:rsidRPr="003C684F">
        <w:rPr>
          <w:rFonts w:hint="eastAsia" w:ascii="仿宋" w:hAnsi="仿宋" w:eastAsia="仿宋"/>
          <w:color w:val="000000"/>
          <w:sz w:val="32"/>
          <w:szCs w:val="32"/>
        </w:rPr>
        <w:t>，避免起泡。</w:t>
      </w:r>
    </w:p>
    <w:p w:rsidRPr="003C684F" w:rsidR="009730C1" w:rsidRDefault="00A315B9" w14:paraId="12FA94A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用于术前新辅助治疗时，建议患者接受4～6个周期的含帕妥珠单抗联合治疗。用于辅助治疗时，作为早期乳腺癌完整治疗方案的一部分（包括标准的蒽环类和/或紫杉类化疗），帕妥珠单抗应与曲妥珠单抗联合使用，疗程一年。</w:t>
      </w:r>
      <w:r w:rsidRPr="003C684F">
        <w:rPr>
          <w:rFonts w:hint="eastAsia" w:ascii="仿宋" w:hAnsi="仿宋" w:eastAsia="仿宋"/>
          <w:color w:val="000000"/>
          <w:sz w:val="32"/>
          <w:szCs w:val="32"/>
        </w:rPr>
        <w:lastRenderedPageBreak/>
        <w:t>用于复发或转移性乳腺癌治疗时，帕妥珠单抗与曲妥珠单抗和紫杉类化疗药物联合使用，直至出现疾病进展或不可控制的毒性，即使终止化疗后，帕妥珠单抗与曲妥珠单抗的治疗也可继续。</w:t>
      </w:r>
    </w:p>
    <w:p w:rsidRPr="003C684F" w:rsidR="009730C1" w:rsidRDefault="00A315B9" w14:paraId="3226B027" w14:textId="04D16BD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6.在首次接受帕妥珠单抗治疗之前评估LVEF，并在治疗期间予以定期评估（约4个周期见下表），以确保LVEF在正常范围内（＞50%）。如果LVEF下降并未改善，</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在后续评估中进一步下降，应考虑停用帕妥珠单抗及曲妥珠单抗。</w:t>
      </w:r>
    </w:p>
    <w:p w:rsidRPr="003C684F" w:rsidR="009730C1" w:rsidRDefault="00A315B9" w14:paraId="114092F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7.临床研究证实，在HR阳性、HER2阳性复发或转移性乳腺癌患者，在其他化疗药物或内分泌药物治疗时，联合帕妥珠单抗和曲妥珠单抗可进一步增加临床获益。</w:t>
      </w:r>
    </w:p>
    <w:p w:rsidRPr="003C684F" w:rsidR="009730C1" w:rsidRDefault="00A315B9" w14:paraId="75523264" w14:textId="076EC67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8.帕妥珠单抗</w:t>
      </w:r>
      <w:r w:rsidRPr="003C684F" w:rsidR="005D77F3">
        <w:rPr>
          <w:rFonts w:hint="eastAsia" w:ascii="仿宋" w:hAnsi="仿宋" w:eastAsia="仿宋"/>
          <w:color w:val="000000"/>
          <w:sz w:val="32"/>
          <w:szCs w:val="32"/>
        </w:rPr>
        <w:t>尚未确定</w:t>
      </w:r>
      <w:r w:rsidRPr="003C684F">
        <w:rPr>
          <w:rFonts w:hint="eastAsia" w:ascii="仿宋" w:hAnsi="仿宋" w:eastAsia="仿宋"/>
          <w:color w:val="000000"/>
          <w:sz w:val="32"/>
          <w:szCs w:val="32"/>
        </w:rPr>
        <w:t>18岁以下儿童和青少年</w:t>
      </w:r>
      <w:r w:rsidRPr="003C684F" w:rsidR="00D61FBA">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w:t>
      </w:r>
    </w:p>
    <w:p w:rsidRPr="003C684F" w:rsidR="009730C1" w:rsidRDefault="00A315B9" w14:paraId="6D64166B" w14:textId="4169D4FD">
      <w:pPr>
        <w:spacing w:line="360" w:lineRule="auto"/>
        <w:jc w:val="center"/>
        <w:rPr>
          <w:rFonts w:ascii="仿宋" w:hAnsi="仿宋" w:eastAsia="仿宋"/>
          <w:b/>
          <w:color w:val="000000"/>
        </w:rPr>
      </w:pPr>
      <w:r w:rsidRPr="003C684F">
        <w:rPr>
          <w:rFonts w:hint="eastAsia" w:ascii="仿宋" w:hAnsi="仿宋" w:eastAsia="仿宋"/>
          <w:b/>
          <w:color w:val="000000"/>
        </w:rPr>
        <w:t>表1</w:t>
      </w:r>
      <w:r w:rsidRPr="003C684F" w:rsidR="001B6FD3">
        <w:rPr>
          <w:rFonts w:hint="eastAsia" w:ascii="仿宋" w:hAnsi="仿宋" w:eastAsia="仿宋"/>
          <w:b/>
          <w:color w:val="000000"/>
        </w:rPr>
        <w:t>3</w:t>
      </w:r>
      <w:r w:rsidRPr="003C684F">
        <w:rPr>
          <w:rFonts w:hint="eastAsia" w:ascii="仿宋" w:hAnsi="仿宋" w:eastAsia="仿宋"/>
          <w:b/>
          <w:color w:val="000000"/>
        </w:rPr>
        <w:t xml:space="preserve">　左心室功能不全的帕妥珠单抗剂量推荐</w:t>
      </w:r>
    </w:p>
    <w:tbl>
      <w:tblPr>
        <w:tblW w:w="8355" w:type="dxa"/>
        <w:jc w:val="center"/>
        <w:tblLayout w:type="fixed"/>
        <w:tblCellMar>
          <w:top w:w="28" w:type="dxa"/>
          <w:left w:w="28" w:type="dxa"/>
          <w:bottom w:w="28" w:type="dxa"/>
          <w:right w:w="28" w:type="dxa"/>
        </w:tblCellMar>
        <w:tblLook w:val="04A0" w:firstRow="1" w:lastRow="0" w:firstColumn="1" w:lastColumn="0" w:noHBand="0" w:noVBand="1"/>
      </w:tblPr>
      <w:tblGrid>
        <w:gridCol w:w="1312"/>
        <w:gridCol w:w="1312"/>
        <w:gridCol w:w="1312"/>
        <w:gridCol w:w="1109"/>
        <w:gridCol w:w="1099"/>
        <w:gridCol w:w="10"/>
        <w:gridCol w:w="1100"/>
        <w:gridCol w:w="1101"/>
      </w:tblGrid>
      <w:tr w:rsidRPr="003C684F" w:rsidR="009730C1" w14:paraId="2351959F" w14:textId="77777777">
        <w:trPr>
          <w:jc w:val="center"/>
        </w:trPr>
        <w:tc>
          <w:tcPr>
            <w:tcW w:w="1313" w:type="dxa"/>
            <w:tcBorders>
              <w:top w:val="single" w:color="auto" w:sz="6" w:space="0"/>
              <w:left w:val="single" w:color="auto" w:sz="6" w:space="0"/>
              <w:bottom w:val="single" w:color="auto" w:sz="6" w:space="0"/>
              <w:right w:val="single" w:color="auto" w:sz="6" w:space="0"/>
            </w:tcBorders>
          </w:tcPr>
          <w:p w:rsidRPr="003C684F" w:rsidR="009730C1" w:rsidRDefault="009730C1" w14:paraId="33BCFCE2" w14:textId="77777777">
            <w:pPr>
              <w:spacing w:line="360" w:lineRule="auto"/>
              <w:jc w:val="left"/>
              <w:rPr>
                <w:rFonts w:ascii="仿宋" w:hAnsi="仿宋" w:eastAsia="仿宋"/>
                <w:color w:val="000000"/>
              </w:rPr>
            </w:pPr>
          </w:p>
        </w:tc>
        <w:tc>
          <w:tcPr>
            <w:tcW w:w="1313" w:type="dxa"/>
            <w:tcBorders>
              <w:top w:val="single" w:color="auto" w:sz="6" w:space="0"/>
              <w:left w:val="single" w:color="auto" w:sz="6" w:space="0"/>
              <w:bottom w:val="single" w:color="auto" w:sz="6" w:space="0"/>
              <w:right w:val="single" w:color="auto" w:sz="6" w:space="0"/>
            </w:tcBorders>
          </w:tcPr>
          <w:p w:rsidRPr="003C684F" w:rsidR="009730C1" w:rsidRDefault="00A315B9" w14:paraId="743E473C" w14:textId="77777777">
            <w:pPr>
              <w:spacing w:line="360" w:lineRule="auto"/>
              <w:jc w:val="left"/>
              <w:rPr>
                <w:rFonts w:ascii="仿宋" w:hAnsi="仿宋" w:eastAsia="仿宋"/>
                <w:b/>
                <w:color w:val="000000"/>
              </w:rPr>
            </w:pPr>
            <w:r w:rsidRPr="003C684F">
              <w:rPr>
                <w:rFonts w:hint="eastAsia" w:ascii="仿宋" w:hAnsi="仿宋" w:eastAsia="仿宋"/>
                <w:b/>
                <w:color w:val="000000"/>
              </w:rPr>
              <w:t>治疗前的LVEF：</w:t>
            </w:r>
          </w:p>
        </w:tc>
        <w:tc>
          <w:tcPr>
            <w:tcW w:w="1313" w:type="dxa"/>
            <w:tcBorders>
              <w:top w:val="single" w:color="auto" w:sz="6" w:space="0"/>
              <w:left w:val="single" w:color="auto" w:sz="6" w:space="0"/>
              <w:bottom w:val="single" w:color="auto" w:sz="6" w:space="0"/>
              <w:right w:val="single" w:color="auto" w:sz="6" w:space="0"/>
            </w:tcBorders>
          </w:tcPr>
          <w:p w:rsidRPr="003C684F" w:rsidR="009730C1" w:rsidRDefault="00A315B9" w14:paraId="143FC089" w14:textId="77777777">
            <w:pPr>
              <w:spacing w:line="360" w:lineRule="auto"/>
              <w:rPr>
                <w:rFonts w:ascii="仿宋" w:hAnsi="仿宋" w:eastAsia="仿宋"/>
                <w:b/>
                <w:color w:val="000000"/>
              </w:rPr>
            </w:pPr>
            <w:r w:rsidRPr="003C684F">
              <w:rPr>
                <w:rFonts w:hint="eastAsia" w:ascii="仿宋" w:hAnsi="仿宋" w:eastAsia="仿宋"/>
                <w:b/>
                <w:color w:val="000000"/>
              </w:rPr>
              <w:t>LVEF监测间隔：</w:t>
            </w:r>
          </w:p>
        </w:tc>
        <w:tc>
          <w:tcPr>
            <w:tcW w:w="2210" w:type="dxa"/>
            <w:gridSpan w:val="2"/>
            <w:tcBorders>
              <w:top w:val="single" w:color="auto" w:sz="6" w:space="0"/>
              <w:left w:val="single" w:color="auto" w:sz="6" w:space="0"/>
              <w:bottom w:val="single" w:color="auto" w:sz="6" w:space="0"/>
              <w:right w:val="single" w:color="auto" w:sz="6" w:space="0"/>
            </w:tcBorders>
          </w:tcPr>
          <w:p w:rsidRPr="003C684F" w:rsidR="009730C1" w:rsidRDefault="00A315B9" w14:paraId="6CCA056F" w14:textId="77777777">
            <w:pPr>
              <w:spacing w:line="360" w:lineRule="auto"/>
              <w:rPr>
                <w:rFonts w:ascii="仿宋" w:hAnsi="仿宋" w:eastAsia="仿宋"/>
                <w:b/>
                <w:color w:val="000000"/>
              </w:rPr>
            </w:pPr>
            <w:r w:rsidRPr="003C684F">
              <w:rPr>
                <w:rFonts w:hint="eastAsia" w:ascii="仿宋" w:hAnsi="仿宋" w:eastAsia="仿宋"/>
                <w:b/>
                <w:color w:val="000000"/>
              </w:rPr>
              <w:t>当LVEF下降至以下水平，帕妥珠单抗和曲妥珠单抗至少暂停3周：</w:t>
            </w:r>
          </w:p>
        </w:tc>
        <w:tc>
          <w:tcPr>
            <w:tcW w:w="2213" w:type="dxa"/>
            <w:gridSpan w:val="3"/>
            <w:tcBorders>
              <w:top w:val="single" w:color="auto" w:sz="6" w:space="0"/>
              <w:left w:val="single" w:color="auto" w:sz="6" w:space="0"/>
              <w:bottom w:val="single" w:color="auto" w:sz="6" w:space="0"/>
              <w:right w:val="single" w:color="auto" w:sz="6" w:space="0"/>
            </w:tcBorders>
          </w:tcPr>
          <w:p w:rsidRPr="003C684F" w:rsidR="009730C1" w:rsidRDefault="00A315B9" w14:paraId="1D3F5FF9" w14:textId="77777777">
            <w:pPr>
              <w:spacing w:line="360" w:lineRule="auto"/>
              <w:rPr>
                <w:rFonts w:ascii="仿宋" w:hAnsi="仿宋" w:eastAsia="仿宋"/>
                <w:b/>
                <w:color w:val="000000"/>
              </w:rPr>
            </w:pPr>
            <w:r w:rsidRPr="003C684F">
              <w:rPr>
                <w:rFonts w:hint="eastAsia" w:ascii="仿宋" w:hAnsi="仿宋" w:eastAsia="仿宋"/>
                <w:b/>
                <w:color w:val="000000"/>
              </w:rPr>
              <w:t>如果LVEF缓解至以下水平，则在3周后重新使用帕妥珠单抗和曲妥珠单抗：</w:t>
            </w:r>
          </w:p>
        </w:tc>
      </w:tr>
      <w:tr w:rsidRPr="003C684F" w:rsidR="009730C1" w14:paraId="6F61391B" w14:textId="77777777">
        <w:trPr>
          <w:trHeight w:val="325"/>
          <w:jc w:val="center"/>
        </w:trPr>
        <w:tc>
          <w:tcPr>
            <w:tcW w:w="1313" w:type="dxa"/>
            <w:tcBorders>
              <w:top w:val="nil"/>
              <w:left w:val="single" w:color="auto" w:sz="6" w:space="0"/>
              <w:bottom w:val="single" w:color="auto" w:sz="6" w:space="0"/>
              <w:right w:val="single" w:color="auto" w:sz="6" w:space="0"/>
            </w:tcBorders>
          </w:tcPr>
          <w:p w:rsidRPr="003C684F" w:rsidR="009730C1" w:rsidRDefault="00A315B9" w14:paraId="0BE5B727" w14:textId="77777777">
            <w:pPr>
              <w:spacing w:line="360" w:lineRule="auto"/>
              <w:jc w:val="left"/>
              <w:rPr>
                <w:rFonts w:ascii="仿宋" w:hAnsi="仿宋" w:eastAsia="仿宋"/>
                <w:color w:val="000000"/>
              </w:rPr>
            </w:pPr>
            <w:r w:rsidRPr="003C684F">
              <w:rPr>
                <w:rFonts w:hint="eastAsia" w:ascii="仿宋" w:hAnsi="仿宋" w:eastAsia="仿宋"/>
                <w:color w:val="000000"/>
              </w:rPr>
              <w:t>转移性乳腺癌</w:t>
            </w:r>
          </w:p>
        </w:tc>
        <w:tc>
          <w:tcPr>
            <w:tcW w:w="1313" w:type="dxa"/>
            <w:tcBorders>
              <w:top w:val="nil"/>
              <w:left w:val="single" w:color="auto" w:sz="6" w:space="0"/>
              <w:bottom w:val="single" w:color="auto" w:sz="6" w:space="0"/>
              <w:right w:val="single" w:color="auto" w:sz="6" w:space="0"/>
            </w:tcBorders>
          </w:tcPr>
          <w:p w:rsidRPr="003C684F" w:rsidR="009730C1" w:rsidRDefault="00A315B9" w14:paraId="06B0041A" w14:textId="77777777">
            <w:pPr>
              <w:spacing w:line="360" w:lineRule="auto"/>
              <w:jc w:val="left"/>
              <w:rPr>
                <w:rFonts w:ascii="仿宋" w:hAnsi="仿宋" w:eastAsia="仿宋"/>
                <w:color w:val="000000"/>
              </w:rPr>
            </w:pPr>
            <w:r w:rsidRPr="003C684F">
              <w:rPr>
                <w:rFonts w:hint="eastAsia" w:ascii="仿宋" w:hAnsi="仿宋" w:eastAsia="仿宋"/>
                <w:color w:val="000000"/>
              </w:rPr>
              <w:t>≥50%</w:t>
            </w:r>
          </w:p>
        </w:tc>
        <w:tc>
          <w:tcPr>
            <w:tcW w:w="1313" w:type="dxa"/>
            <w:tcBorders>
              <w:top w:val="nil"/>
              <w:left w:val="single" w:color="auto" w:sz="6" w:space="0"/>
              <w:bottom w:val="single" w:color="auto" w:sz="6" w:space="0"/>
              <w:right w:val="single" w:color="auto" w:sz="6" w:space="0"/>
            </w:tcBorders>
          </w:tcPr>
          <w:p w:rsidRPr="003C684F" w:rsidR="009730C1" w:rsidRDefault="00A315B9" w14:paraId="2999FE03" w14:textId="77777777">
            <w:pPr>
              <w:spacing w:line="360" w:lineRule="auto"/>
              <w:jc w:val="left"/>
              <w:rPr>
                <w:rFonts w:ascii="仿宋" w:hAnsi="仿宋" w:eastAsia="仿宋"/>
                <w:color w:val="000000"/>
              </w:rPr>
            </w:pPr>
            <w:r w:rsidRPr="003C684F">
              <w:rPr>
                <w:rFonts w:hint="eastAsia" w:ascii="仿宋" w:hAnsi="仿宋" w:eastAsia="仿宋"/>
                <w:color w:val="000000"/>
              </w:rPr>
              <w:t>约12周</w:t>
            </w:r>
          </w:p>
        </w:tc>
        <w:tc>
          <w:tcPr>
            <w:tcW w:w="1110" w:type="dxa"/>
            <w:tcBorders>
              <w:top w:val="single" w:color="auto" w:sz="6" w:space="0"/>
              <w:left w:val="single" w:color="auto" w:sz="6" w:space="0"/>
              <w:bottom w:val="single" w:color="auto" w:sz="6" w:space="0"/>
              <w:right w:val="single" w:color="auto" w:sz="6" w:space="0"/>
            </w:tcBorders>
          </w:tcPr>
          <w:p w:rsidRPr="003C684F" w:rsidR="009730C1" w:rsidRDefault="00A315B9" w14:paraId="13B28525" w14:textId="77777777">
            <w:pPr>
              <w:spacing w:line="360" w:lineRule="auto"/>
              <w:jc w:val="left"/>
              <w:rPr>
                <w:rFonts w:ascii="仿宋" w:hAnsi="仿宋" w:eastAsia="仿宋"/>
                <w:color w:val="000000"/>
              </w:rPr>
            </w:pPr>
            <w:r w:rsidRPr="003C684F">
              <w:rPr>
                <w:rFonts w:hint="eastAsia" w:ascii="仿宋" w:hAnsi="仿宋" w:eastAsia="仿宋"/>
                <w:color w:val="000000"/>
              </w:rPr>
              <w:t>＜40%或</w:t>
            </w:r>
          </w:p>
        </w:tc>
        <w:tc>
          <w:tcPr>
            <w:tcW w:w="1110" w:type="dxa"/>
            <w:gridSpan w:val="2"/>
            <w:tcBorders>
              <w:top w:val="single" w:color="auto" w:sz="6" w:space="0"/>
              <w:left w:val="single" w:color="auto" w:sz="6" w:space="0"/>
              <w:bottom w:val="single" w:color="auto" w:sz="6" w:space="0"/>
              <w:right w:val="single" w:color="auto" w:sz="6" w:space="0"/>
            </w:tcBorders>
          </w:tcPr>
          <w:p w:rsidRPr="003C684F" w:rsidR="009730C1" w:rsidRDefault="00A315B9" w14:paraId="42AA9DEE" w14:textId="77777777">
            <w:pPr>
              <w:spacing w:line="360" w:lineRule="auto"/>
              <w:jc w:val="left"/>
              <w:rPr>
                <w:rFonts w:ascii="仿宋" w:hAnsi="仿宋" w:eastAsia="仿宋"/>
                <w:color w:val="000000"/>
              </w:rPr>
            </w:pPr>
            <w:r w:rsidRPr="003C684F">
              <w:rPr>
                <w:rFonts w:hint="eastAsia" w:ascii="仿宋" w:hAnsi="仿宋" w:eastAsia="仿宋"/>
                <w:color w:val="000000"/>
              </w:rPr>
              <w:t>40%～45%，与治疗前绝对数值相比降低了≥10%</w:t>
            </w:r>
          </w:p>
        </w:tc>
        <w:tc>
          <w:tcPr>
            <w:tcW w:w="1101" w:type="dxa"/>
            <w:tcBorders>
              <w:top w:val="nil"/>
              <w:left w:val="single" w:color="auto" w:sz="6" w:space="0"/>
              <w:bottom w:val="single" w:color="auto" w:sz="6" w:space="0"/>
              <w:right w:val="single" w:color="auto" w:sz="6" w:space="0"/>
            </w:tcBorders>
          </w:tcPr>
          <w:p w:rsidRPr="003C684F" w:rsidR="009730C1" w:rsidRDefault="00A315B9" w14:paraId="267983DC" w14:textId="77777777">
            <w:pPr>
              <w:spacing w:line="360" w:lineRule="auto"/>
              <w:jc w:val="left"/>
              <w:rPr>
                <w:rFonts w:ascii="仿宋" w:hAnsi="仿宋" w:eastAsia="仿宋"/>
                <w:color w:val="000000"/>
              </w:rPr>
            </w:pPr>
            <w:r w:rsidRPr="003C684F">
              <w:rPr>
                <w:rFonts w:hint="eastAsia" w:ascii="仿宋" w:hAnsi="仿宋" w:eastAsia="仿宋"/>
                <w:color w:val="000000"/>
              </w:rPr>
              <w:t>＞45%或</w:t>
            </w:r>
          </w:p>
        </w:tc>
        <w:tc>
          <w:tcPr>
            <w:tcW w:w="1102" w:type="dxa"/>
            <w:tcBorders>
              <w:top w:val="nil"/>
              <w:left w:val="single" w:color="auto" w:sz="6" w:space="0"/>
              <w:bottom w:val="single" w:color="auto" w:sz="6" w:space="0"/>
              <w:right w:val="single" w:color="auto" w:sz="6" w:space="0"/>
            </w:tcBorders>
          </w:tcPr>
          <w:p w:rsidRPr="003C684F" w:rsidR="009730C1" w:rsidRDefault="00A315B9" w14:paraId="1EC464F1" w14:textId="77777777">
            <w:pPr>
              <w:spacing w:line="360" w:lineRule="auto"/>
              <w:jc w:val="left"/>
              <w:rPr>
                <w:rFonts w:ascii="仿宋" w:hAnsi="仿宋" w:eastAsia="仿宋"/>
                <w:color w:val="000000"/>
              </w:rPr>
            </w:pPr>
            <w:r w:rsidRPr="003C684F">
              <w:rPr>
                <w:rFonts w:hint="eastAsia" w:ascii="仿宋" w:hAnsi="仿宋" w:eastAsia="仿宋"/>
                <w:color w:val="000000"/>
              </w:rPr>
              <w:t>40%～45%，与治疗前绝对数值相比降低了＜10%</w:t>
            </w:r>
          </w:p>
        </w:tc>
      </w:tr>
      <w:tr w:rsidRPr="003C684F" w:rsidR="009730C1" w14:paraId="45ABC48E" w14:textId="77777777">
        <w:trPr>
          <w:jc w:val="center"/>
        </w:trPr>
        <w:tc>
          <w:tcPr>
            <w:tcW w:w="1313" w:type="dxa"/>
            <w:tcBorders>
              <w:top w:val="single" w:color="auto" w:sz="6" w:space="0"/>
              <w:left w:val="single" w:color="auto" w:sz="6" w:space="0"/>
              <w:bottom w:val="single" w:color="auto" w:sz="6" w:space="0"/>
              <w:right w:val="single" w:color="auto" w:sz="6" w:space="0"/>
            </w:tcBorders>
          </w:tcPr>
          <w:p w:rsidRPr="003C684F" w:rsidR="009730C1" w:rsidRDefault="00A315B9" w14:paraId="7FD8AC8D" w14:textId="77777777">
            <w:pPr>
              <w:spacing w:line="360" w:lineRule="auto"/>
              <w:jc w:val="left"/>
              <w:rPr>
                <w:rFonts w:ascii="仿宋" w:hAnsi="仿宋" w:eastAsia="仿宋"/>
                <w:color w:val="000000"/>
              </w:rPr>
            </w:pPr>
            <w:r w:rsidRPr="003C684F">
              <w:rPr>
                <w:rFonts w:hint="eastAsia" w:ascii="仿宋" w:hAnsi="仿宋" w:eastAsia="仿宋"/>
                <w:color w:val="000000"/>
              </w:rPr>
              <w:t>早期乳腺癌</w:t>
            </w:r>
          </w:p>
        </w:tc>
        <w:tc>
          <w:tcPr>
            <w:tcW w:w="1313" w:type="dxa"/>
            <w:tcBorders>
              <w:top w:val="single" w:color="auto" w:sz="6" w:space="0"/>
              <w:left w:val="single" w:color="auto" w:sz="6" w:space="0"/>
              <w:bottom w:val="single" w:color="auto" w:sz="6" w:space="0"/>
              <w:right w:val="single" w:color="auto" w:sz="6" w:space="0"/>
            </w:tcBorders>
          </w:tcPr>
          <w:p w:rsidRPr="003C684F" w:rsidR="009730C1" w:rsidRDefault="00A315B9" w14:paraId="3660A538" w14:textId="77777777">
            <w:pPr>
              <w:spacing w:line="360" w:lineRule="auto"/>
              <w:jc w:val="left"/>
              <w:rPr>
                <w:rFonts w:ascii="仿宋" w:hAnsi="仿宋" w:eastAsia="仿宋"/>
                <w:color w:val="000000"/>
              </w:rPr>
            </w:pPr>
            <w:r w:rsidRPr="003C684F">
              <w:rPr>
                <w:rFonts w:hint="eastAsia" w:ascii="仿宋" w:hAnsi="仿宋" w:eastAsia="仿宋"/>
                <w:color w:val="000000"/>
              </w:rPr>
              <w:t>≥55%</w:t>
            </w:r>
            <w:r w:rsidRPr="003C684F">
              <w:rPr>
                <w:rFonts w:hint="eastAsia" w:ascii="仿宋" w:hAnsi="仿宋" w:eastAsia="仿宋"/>
                <w:color w:val="000000"/>
                <w:vertAlign w:val="superscript"/>
              </w:rPr>
              <w:t>*</w:t>
            </w:r>
          </w:p>
        </w:tc>
        <w:tc>
          <w:tcPr>
            <w:tcW w:w="1313" w:type="dxa"/>
            <w:tcBorders>
              <w:top w:val="single" w:color="auto" w:sz="6" w:space="0"/>
              <w:left w:val="single" w:color="auto" w:sz="6" w:space="0"/>
              <w:bottom w:val="single" w:color="auto" w:sz="6" w:space="0"/>
              <w:right w:val="single" w:color="auto" w:sz="6" w:space="0"/>
            </w:tcBorders>
          </w:tcPr>
          <w:p w:rsidRPr="003C684F" w:rsidR="009730C1" w:rsidRDefault="00A315B9" w14:paraId="34AF22E5" w14:textId="77777777">
            <w:pPr>
              <w:spacing w:line="360" w:lineRule="auto"/>
              <w:jc w:val="left"/>
              <w:rPr>
                <w:rFonts w:ascii="仿宋" w:hAnsi="仿宋" w:eastAsia="仿宋"/>
                <w:color w:val="000000"/>
              </w:rPr>
            </w:pPr>
            <w:r w:rsidRPr="003C684F">
              <w:rPr>
                <w:rFonts w:hint="eastAsia" w:ascii="仿宋" w:hAnsi="仿宋" w:eastAsia="仿宋"/>
                <w:color w:val="000000"/>
              </w:rPr>
              <w:t>约12周（在新辅助治疗</w:t>
            </w:r>
            <w:r w:rsidRPr="003C684F">
              <w:rPr>
                <w:rFonts w:hint="eastAsia" w:ascii="仿宋" w:hAnsi="仿宋" w:eastAsia="仿宋"/>
                <w:color w:val="000000"/>
              </w:rPr>
              <w:lastRenderedPageBreak/>
              <w:t>期间监测一次）</w:t>
            </w:r>
          </w:p>
        </w:tc>
        <w:tc>
          <w:tcPr>
            <w:tcW w:w="2220" w:type="dxa"/>
            <w:gridSpan w:val="3"/>
            <w:tcBorders>
              <w:top w:val="single" w:color="auto" w:sz="6" w:space="0"/>
              <w:left w:val="single" w:color="auto" w:sz="6" w:space="0"/>
              <w:bottom w:val="single" w:color="auto" w:sz="6" w:space="0"/>
              <w:right w:val="single" w:color="auto" w:sz="6" w:space="0"/>
            </w:tcBorders>
          </w:tcPr>
          <w:p w:rsidRPr="003C684F" w:rsidR="009730C1" w:rsidRDefault="00A315B9" w14:paraId="3DDA84F5" w14:textId="77777777">
            <w:pPr>
              <w:spacing w:line="360" w:lineRule="auto"/>
              <w:jc w:val="left"/>
              <w:rPr>
                <w:rFonts w:ascii="仿宋" w:hAnsi="仿宋" w:eastAsia="仿宋"/>
                <w:color w:val="000000"/>
              </w:rPr>
            </w:pPr>
            <w:r w:rsidRPr="003C684F">
              <w:rPr>
                <w:rFonts w:hint="eastAsia" w:ascii="仿宋" w:hAnsi="仿宋" w:eastAsia="仿宋"/>
                <w:color w:val="000000"/>
              </w:rPr>
              <w:lastRenderedPageBreak/>
              <w:t>＜50%，且与治疗前绝对数值相比降低了≥10%</w:t>
            </w:r>
          </w:p>
        </w:tc>
        <w:tc>
          <w:tcPr>
            <w:tcW w:w="1101" w:type="dxa"/>
            <w:tcBorders>
              <w:top w:val="single" w:color="auto" w:sz="6" w:space="0"/>
              <w:left w:val="single" w:color="auto" w:sz="6" w:space="0"/>
              <w:bottom w:val="single" w:color="auto" w:sz="6" w:space="0"/>
              <w:right w:val="single" w:color="auto" w:sz="6" w:space="0"/>
            </w:tcBorders>
          </w:tcPr>
          <w:p w:rsidRPr="003C684F" w:rsidR="009730C1" w:rsidRDefault="00A315B9" w14:paraId="032B75B6" w14:textId="77777777">
            <w:pPr>
              <w:spacing w:line="360" w:lineRule="auto"/>
              <w:jc w:val="left"/>
              <w:rPr>
                <w:rFonts w:ascii="仿宋" w:hAnsi="仿宋" w:eastAsia="仿宋"/>
                <w:color w:val="000000"/>
              </w:rPr>
            </w:pPr>
            <w:r w:rsidRPr="003C684F">
              <w:rPr>
                <w:rFonts w:hint="eastAsia" w:ascii="仿宋" w:hAnsi="仿宋" w:eastAsia="仿宋"/>
                <w:color w:val="000000"/>
              </w:rPr>
              <w:t>≥50%或</w:t>
            </w:r>
          </w:p>
        </w:tc>
        <w:tc>
          <w:tcPr>
            <w:tcW w:w="1102" w:type="dxa"/>
            <w:tcBorders>
              <w:top w:val="single" w:color="auto" w:sz="6" w:space="0"/>
              <w:left w:val="single" w:color="auto" w:sz="6" w:space="0"/>
              <w:bottom w:val="single" w:color="auto" w:sz="6" w:space="0"/>
              <w:right w:val="single" w:color="auto" w:sz="6" w:space="0"/>
            </w:tcBorders>
          </w:tcPr>
          <w:p w:rsidRPr="003C684F" w:rsidR="009730C1" w:rsidRDefault="00A315B9" w14:paraId="354F7E44" w14:textId="77777777">
            <w:pPr>
              <w:spacing w:line="360" w:lineRule="auto"/>
              <w:jc w:val="left"/>
              <w:rPr>
                <w:rFonts w:ascii="仿宋" w:hAnsi="仿宋" w:eastAsia="仿宋"/>
                <w:color w:val="000000"/>
              </w:rPr>
            </w:pPr>
            <w:r w:rsidRPr="003C684F">
              <w:rPr>
                <w:rFonts w:hint="eastAsia" w:ascii="仿宋" w:hAnsi="仿宋" w:eastAsia="仿宋"/>
                <w:color w:val="000000"/>
              </w:rPr>
              <w:t>与治疗前绝对数值</w:t>
            </w:r>
            <w:r w:rsidRPr="003C684F">
              <w:rPr>
                <w:rFonts w:hint="eastAsia" w:ascii="仿宋" w:hAnsi="仿宋" w:eastAsia="仿宋"/>
                <w:color w:val="000000"/>
              </w:rPr>
              <w:lastRenderedPageBreak/>
              <w:t>相比降低了＜10%</w:t>
            </w:r>
          </w:p>
        </w:tc>
      </w:tr>
    </w:tbl>
    <w:p w:rsidRPr="003C684F" w:rsidR="009730C1" w:rsidRDefault="00A315B9" w14:paraId="69A061DC" w14:textId="77777777">
      <w:pPr>
        <w:spacing w:line="360" w:lineRule="auto"/>
        <w:ind w:firstLine="360" w:firstLineChars="200"/>
        <w:rPr>
          <w:rFonts w:ascii="仿宋" w:hAnsi="仿宋" w:eastAsia="仿宋"/>
          <w:color w:val="000000"/>
          <w:sz w:val="18"/>
          <w:szCs w:val="18"/>
        </w:rPr>
      </w:pPr>
      <w:r w:rsidRPr="003C684F">
        <w:rPr>
          <w:rFonts w:hint="eastAsia" w:ascii="仿宋" w:hAnsi="仿宋" w:eastAsia="仿宋"/>
          <w:color w:val="000000"/>
          <w:sz w:val="18"/>
          <w:szCs w:val="18"/>
          <w:vertAlign w:val="superscript"/>
        </w:rPr>
        <w:lastRenderedPageBreak/>
        <w:t>*</w:t>
      </w:r>
      <w:r w:rsidRPr="003C684F">
        <w:rPr>
          <w:rFonts w:hint="eastAsia" w:ascii="仿宋" w:hAnsi="仿宋" w:eastAsia="仿宋"/>
          <w:color w:val="000000"/>
          <w:sz w:val="18"/>
          <w:szCs w:val="18"/>
        </w:rPr>
        <w:t>对于接受蒽环类药物化疗的患者，在完成蒽环类药物化疗之后和在首次帕妥珠单抗和曲妥珠单抗之前，LVEF值需≥50%。</w:t>
      </w:r>
    </w:p>
    <w:p w:rsidRPr="003C684F" w:rsidR="009730C1" w:rsidP="0037660B" w:rsidRDefault="00A315B9" w14:paraId="48D732CD"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四、伊尼妥单抗 Inetetamab</w:t>
      </w:r>
    </w:p>
    <w:p w:rsidRPr="003C684F" w:rsidR="009730C1" w:rsidRDefault="00A315B9" w14:paraId="02C4C24F" w14:textId="1D03ABFE">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制剂与规格：</w:t>
      </w:r>
      <w:r w:rsidRPr="003C684F" w:rsidR="003D5DD7">
        <w:rPr>
          <w:rFonts w:hint="eastAsia" w:ascii="仿宋" w:hAnsi="仿宋" w:eastAsia="仿宋" w:cs="仿宋"/>
          <w:sz w:val="32"/>
          <w:szCs w:val="32"/>
        </w:rPr>
        <w:t>注射</w:t>
      </w:r>
      <w:r w:rsidRPr="003C684F">
        <w:rPr>
          <w:rFonts w:hint="eastAsia" w:ascii="仿宋" w:hAnsi="仿宋" w:eastAsia="仿宋" w:cs="仿宋"/>
          <w:sz w:val="32"/>
          <w:szCs w:val="32"/>
        </w:rPr>
        <w:t>剂：50mg/</w:t>
      </w:r>
      <w:r w:rsidRPr="003C684F" w:rsidR="008C6544">
        <w:rPr>
          <w:rFonts w:hint="eastAsia" w:ascii="仿宋" w:hAnsi="仿宋" w:eastAsia="仿宋" w:cs="仿宋"/>
          <w:sz w:val="32"/>
          <w:szCs w:val="32"/>
        </w:rPr>
        <w:t>瓶</w:t>
      </w:r>
    </w:p>
    <w:p w:rsidRPr="003C684F" w:rsidR="009730C1" w:rsidRDefault="00A315B9" w14:paraId="515F1063"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适应证：</w:t>
      </w:r>
      <w:r w:rsidRPr="003C684F">
        <w:rPr>
          <w:rFonts w:hint="eastAsia" w:ascii="仿宋" w:hAnsi="仿宋" w:eastAsia="仿宋" w:cs="仿宋"/>
          <w:sz w:val="32"/>
          <w:szCs w:val="32"/>
        </w:rPr>
        <w:t>本品适用于HER2阳性，与长春瑞滨联合治疗已接受过1个或多个化疗方案的转移性乳腺癌患者。</w:t>
      </w:r>
    </w:p>
    <w:p w:rsidRPr="003C684F" w:rsidR="009730C1" w:rsidRDefault="00A315B9" w14:paraId="47048EF1"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14EC906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在接受伊尼妥单抗治疗前，应进行</w:t>
      </w:r>
      <w:r w:rsidRPr="003C684F">
        <w:rPr>
          <w:rFonts w:ascii="仿宋" w:hAnsi="仿宋" w:eastAsia="仿宋" w:cs="仿宋"/>
          <w:sz w:val="32"/>
          <w:szCs w:val="32"/>
        </w:rPr>
        <w:t>HER2</w:t>
      </w:r>
      <w:r w:rsidRPr="003C684F">
        <w:rPr>
          <w:rFonts w:hint="eastAsia" w:ascii="仿宋" w:hAnsi="仿宋" w:eastAsia="仿宋" w:cs="仿宋"/>
          <w:sz w:val="32"/>
          <w:szCs w:val="32"/>
        </w:rPr>
        <w:t>检测，</w:t>
      </w:r>
      <w:r w:rsidRPr="003C684F">
        <w:rPr>
          <w:rFonts w:ascii="仿宋" w:hAnsi="仿宋" w:eastAsia="仿宋" w:cs="仿宋"/>
          <w:sz w:val="32"/>
          <w:szCs w:val="32"/>
        </w:rPr>
        <w:t>HER2</w:t>
      </w:r>
      <w:r w:rsidRPr="003C684F">
        <w:rPr>
          <w:rFonts w:hint="eastAsia" w:ascii="仿宋" w:hAnsi="仿宋" w:eastAsia="仿宋" w:cs="仿宋"/>
          <w:sz w:val="32"/>
          <w:szCs w:val="32"/>
        </w:rPr>
        <w:t>阳性患者可应用伊尼妥单抗治疗。</w:t>
      </w:r>
    </w:p>
    <w:p w:rsidRPr="003C684F" w:rsidR="009730C1" w:rsidRDefault="00A315B9" w14:paraId="526C01D3" w14:textId="011D849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伊尼妥单抗注册临床研究中使用了单周用药方案和</w:t>
      </w:r>
      <w:r w:rsidRPr="003C684F" w:rsidR="0008262F">
        <w:rPr>
          <w:rFonts w:hint="eastAsia" w:ascii="仿宋" w:hAnsi="仿宋" w:eastAsia="仿宋" w:cs="仿宋"/>
          <w:sz w:val="32"/>
          <w:szCs w:val="32"/>
        </w:rPr>
        <w:t>3周</w:t>
      </w:r>
      <w:r w:rsidRPr="003C684F">
        <w:rPr>
          <w:rFonts w:hint="eastAsia" w:ascii="仿宋" w:hAnsi="仿宋" w:eastAsia="仿宋" w:cs="仿宋"/>
          <w:sz w:val="32"/>
          <w:szCs w:val="32"/>
        </w:rPr>
        <w:t>用药方案。单周用药方案中伊尼妥单抗的推荐初始负荷剂量为</w:t>
      </w:r>
      <w:r w:rsidRPr="003C684F">
        <w:rPr>
          <w:rFonts w:ascii="仿宋" w:hAnsi="仿宋" w:eastAsia="仿宋" w:cs="仿宋"/>
          <w:sz w:val="32"/>
          <w:szCs w:val="32"/>
        </w:rPr>
        <w:t>4mg/kg</w:t>
      </w:r>
      <w:r w:rsidRPr="003C684F">
        <w:rPr>
          <w:rFonts w:hint="eastAsia" w:ascii="仿宋" w:hAnsi="仿宋" w:eastAsia="仿宋" w:cs="仿宋"/>
          <w:sz w:val="32"/>
          <w:szCs w:val="32"/>
        </w:rPr>
        <w:t>，</w:t>
      </w:r>
      <w:r w:rsidRPr="003C684F" w:rsidR="006B571C">
        <w:rPr>
          <w:rFonts w:hint="eastAsia" w:ascii="仿宋" w:hAnsi="仿宋" w:eastAsia="仿宋" w:cs="仿宋"/>
          <w:sz w:val="32"/>
          <w:szCs w:val="32"/>
        </w:rPr>
        <w:t>每周一次，</w:t>
      </w:r>
      <w:r w:rsidRPr="003C684F" w:rsidR="00FC21CC">
        <w:rPr>
          <w:rFonts w:hint="eastAsia" w:ascii="仿宋" w:hAnsi="仿宋" w:eastAsia="仿宋" w:cs="仿宋"/>
          <w:sz w:val="32"/>
          <w:szCs w:val="32"/>
        </w:rPr>
        <w:t>静脉输注</w:t>
      </w:r>
      <w:r w:rsidRPr="003C684F">
        <w:rPr>
          <w:rFonts w:ascii="仿宋" w:hAnsi="仿宋" w:eastAsia="仿宋" w:cs="仿宋"/>
          <w:sz w:val="32"/>
          <w:szCs w:val="32"/>
        </w:rPr>
        <w:t>90</w:t>
      </w:r>
      <w:r w:rsidRPr="003C684F">
        <w:rPr>
          <w:rFonts w:hint="eastAsia" w:ascii="仿宋" w:hAnsi="仿宋" w:eastAsia="仿宋" w:cs="仿宋"/>
          <w:sz w:val="32"/>
          <w:szCs w:val="32"/>
        </w:rPr>
        <w:t>分钟以上；维持剂量为</w:t>
      </w:r>
      <w:r w:rsidRPr="003C684F">
        <w:rPr>
          <w:rFonts w:ascii="仿宋" w:hAnsi="仿宋" w:eastAsia="仿宋" w:cs="仿宋"/>
          <w:sz w:val="32"/>
          <w:szCs w:val="32"/>
        </w:rPr>
        <w:t>2mg/kg</w:t>
      </w:r>
      <w:r w:rsidRPr="003C684F">
        <w:rPr>
          <w:rFonts w:hint="eastAsia" w:ascii="仿宋" w:hAnsi="仿宋" w:eastAsia="仿宋" w:cs="仿宋"/>
          <w:sz w:val="32"/>
          <w:szCs w:val="32"/>
        </w:rPr>
        <w:t>，每周</w:t>
      </w:r>
      <w:r w:rsidRPr="003C684F">
        <w:rPr>
          <w:rFonts w:ascii="仿宋" w:hAnsi="仿宋" w:eastAsia="仿宋" w:cs="仿宋"/>
          <w:sz w:val="32"/>
          <w:szCs w:val="32"/>
        </w:rPr>
        <w:t>一次</w:t>
      </w:r>
      <w:r w:rsidRPr="003C684F">
        <w:rPr>
          <w:rFonts w:hint="eastAsia" w:ascii="仿宋" w:hAnsi="仿宋" w:eastAsia="仿宋" w:cs="仿宋"/>
          <w:sz w:val="32"/>
          <w:szCs w:val="32"/>
        </w:rPr>
        <w:t>。</w:t>
      </w:r>
      <w:r w:rsidRPr="003C684F" w:rsidR="0008262F">
        <w:rPr>
          <w:rFonts w:hint="eastAsia" w:ascii="仿宋" w:hAnsi="仿宋" w:eastAsia="仿宋" w:cs="仿宋"/>
          <w:sz w:val="32"/>
          <w:szCs w:val="32"/>
        </w:rPr>
        <w:t>3周</w:t>
      </w:r>
      <w:r w:rsidRPr="003C684F">
        <w:rPr>
          <w:rFonts w:hint="eastAsia" w:ascii="仿宋" w:hAnsi="仿宋" w:eastAsia="仿宋" w:cs="仿宋"/>
          <w:sz w:val="32"/>
          <w:szCs w:val="32"/>
        </w:rPr>
        <w:t>用药方案中伊尼妥单抗的推荐初始负荷剂量为</w:t>
      </w:r>
      <w:r w:rsidRPr="003C684F">
        <w:rPr>
          <w:rFonts w:ascii="仿宋" w:hAnsi="仿宋" w:eastAsia="仿宋" w:cs="仿宋"/>
          <w:sz w:val="32"/>
          <w:szCs w:val="32"/>
        </w:rPr>
        <w:t>8mg/kg</w:t>
      </w:r>
      <w:r w:rsidRPr="003C684F">
        <w:rPr>
          <w:rFonts w:hint="eastAsia" w:ascii="仿宋" w:hAnsi="仿宋" w:eastAsia="仿宋" w:cs="仿宋"/>
          <w:sz w:val="32"/>
          <w:szCs w:val="32"/>
        </w:rPr>
        <w:t>，</w:t>
      </w:r>
      <w:r w:rsidRPr="003C684F" w:rsidR="00FC21CC">
        <w:rPr>
          <w:rFonts w:hint="eastAsia" w:ascii="仿宋" w:hAnsi="仿宋" w:eastAsia="仿宋" w:cs="仿宋"/>
          <w:sz w:val="32"/>
          <w:szCs w:val="32"/>
        </w:rPr>
        <w:t>静脉输注</w:t>
      </w:r>
      <w:r w:rsidRPr="003C684F">
        <w:rPr>
          <w:rFonts w:ascii="仿宋" w:hAnsi="仿宋" w:eastAsia="仿宋" w:cs="仿宋"/>
          <w:sz w:val="32"/>
          <w:szCs w:val="32"/>
        </w:rPr>
        <w:t>90</w:t>
      </w:r>
      <w:r w:rsidRPr="003C684F">
        <w:rPr>
          <w:rFonts w:hint="eastAsia" w:ascii="仿宋" w:hAnsi="仿宋" w:eastAsia="仿宋" w:cs="仿宋"/>
          <w:sz w:val="32"/>
          <w:szCs w:val="32"/>
        </w:rPr>
        <w:t>分钟以上；维持剂量为</w:t>
      </w:r>
      <w:r w:rsidRPr="003C684F">
        <w:rPr>
          <w:rFonts w:ascii="仿宋" w:hAnsi="仿宋" w:eastAsia="仿宋" w:cs="仿宋"/>
          <w:sz w:val="32"/>
          <w:szCs w:val="32"/>
        </w:rPr>
        <w:t>6mg/kg</w:t>
      </w:r>
      <w:r w:rsidRPr="003C684F">
        <w:rPr>
          <w:rFonts w:hint="eastAsia" w:ascii="仿宋" w:hAnsi="仿宋" w:eastAsia="仿宋" w:cs="仿宋"/>
          <w:sz w:val="32"/>
          <w:szCs w:val="32"/>
        </w:rPr>
        <w:t>，每</w:t>
      </w:r>
      <w:r w:rsidRPr="003C684F">
        <w:rPr>
          <w:rFonts w:ascii="仿宋" w:hAnsi="仿宋" w:eastAsia="仿宋" w:cs="仿宋"/>
          <w:sz w:val="32"/>
          <w:szCs w:val="32"/>
        </w:rPr>
        <w:t>3</w:t>
      </w:r>
      <w:r w:rsidRPr="003C684F">
        <w:rPr>
          <w:rFonts w:hint="eastAsia" w:ascii="仿宋" w:hAnsi="仿宋" w:eastAsia="仿宋" w:cs="仿宋"/>
          <w:sz w:val="32"/>
          <w:szCs w:val="32"/>
        </w:rPr>
        <w:t>周</w:t>
      </w:r>
      <w:r w:rsidRPr="003C684F">
        <w:rPr>
          <w:rFonts w:ascii="仿宋" w:hAnsi="仿宋" w:eastAsia="仿宋" w:cs="仿宋"/>
          <w:sz w:val="32"/>
          <w:szCs w:val="32"/>
        </w:rPr>
        <w:t>一次</w:t>
      </w:r>
      <w:r w:rsidRPr="003C684F">
        <w:rPr>
          <w:rFonts w:hint="eastAsia" w:ascii="仿宋" w:hAnsi="仿宋" w:eastAsia="仿宋" w:cs="仿宋"/>
          <w:sz w:val="32"/>
          <w:szCs w:val="32"/>
        </w:rPr>
        <w:t>。</w:t>
      </w:r>
    </w:p>
    <w:p w:rsidRPr="003C684F" w:rsidR="009730C1" w:rsidRDefault="00A315B9" w14:paraId="148EF005"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与蒽环类药物同期应用须慎重，可能增加心脏毒性，严重者会发生心力衰竭，应序贯使用或分别使用。</w:t>
      </w:r>
    </w:p>
    <w:p w:rsidRPr="003C684F" w:rsidR="009730C1" w:rsidRDefault="00A315B9" w14:paraId="4A9AA6A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使用伊尼妥单抗治疗前，应进行病史、体检、心电图、超声心动图</w:t>
      </w:r>
      <w:r w:rsidRPr="003C684F">
        <w:rPr>
          <w:rFonts w:ascii="仿宋" w:hAnsi="仿宋" w:eastAsia="仿宋" w:cs="仿宋"/>
          <w:sz w:val="32"/>
          <w:szCs w:val="32"/>
        </w:rPr>
        <w:t>LVEF</w:t>
      </w:r>
      <w:r w:rsidRPr="003C684F">
        <w:rPr>
          <w:rFonts w:hint="eastAsia" w:ascii="仿宋" w:hAnsi="仿宋" w:eastAsia="仿宋" w:cs="仿宋"/>
          <w:sz w:val="32"/>
          <w:szCs w:val="32"/>
        </w:rPr>
        <w:t>基线评估，使用期间应每</w:t>
      </w:r>
      <w:r w:rsidRPr="003C684F">
        <w:rPr>
          <w:rFonts w:ascii="仿宋" w:hAnsi="仿宋" w:eastAsia="仿宋" w:cs="仿宋"/>
          <w:sz w:val="32"/>
          <w:szCs w:val="32"/>
        </w:rPr>
        <w:t>3</w:t>
      </w:r>
      <w:r w:rsidRPr="003C684F">
        <w:rPr>
          <w:rFonts w:hint="eastAsia" w:ascii="仿宋" w:hAnsi="仿宋" w:eastAsia="仿宋" w:cs="仿宋"/>
          <w:sz w:val="32"/>
          <w:szCs w:val="32"/>
        </w:rPr>
        <w:t>个月监测</w:t>
      </w:r>
      <w:r w:rsidRPr="003C684F">
        <w:rPr>
          <w:rFonts w:ascii="仿宋" w:hAnsi="仿宋" w:eastAsia="仿宋" w:cs="仿宋"/>
          <w:sz w:val="32"/>
          <w:szCs w:val="32"/>
        </w:rPr>
        <w:t>LVEF</w:t>
      </w:r>
      <w:r w:rsidRPr="003C684F">
        <w:rPr>
          <w:rFonts w:hint="eastAsia" w:ascii="仿宋" w:hAnsi="仿宋" w:eastAsia="仿宋" w:cs="仿宋"/>
          <w:sz w:val="32"/>
          <w:szCs w:val="32"/>
        </w:rPr>
        <w:t>。若</w:t>
      </w:r>
      <w:r w:rsidRPr="003C684F">
        <w:rPr>
          <w:rFonts w:ascii="仿宋" w:hAnsi="仿宋" w:eastAsia="仿宋" w:cs="仿宋"/>
          <w:sz w:val="32"/>
          <w:szCs w:val="32"/>
        </w:rPr>
        <w:t>LVEF</w:t>
      </w:r>
      <w:r w:rsidRPr="003C684F">
        <w:rPr>
          <w:rFonts w:hint="eastAsia" w:ascii="仿宋" w:hAnsi="仿宋" w:eastAsia="仿宋" w:cs="仿宋"/>
          <w:sz w:val="32"/>
          <w:szCs w:val="32"/>
        </w:rPr>
        <w:t>值相对基线下降</w:t>
      </w:r>
      <w:r w:rsidRPr="003C684F">
        <w:rPr>
          <w:rFonts w:ascii="仿宋" w:hAnsi="仿宋" w:eastAsia="仿宋" w:cs="仿宋"/>
          <w:sz w:val="32"/>
          <w:szCs w:val="32"/>
        </w:rPr>
        <w:t>＞10%</w:t>
      </w:r>
      <w:r w:rsidRPr="003C684F">
        <w:rPr>
          <w:rFonts w:hint="eastAsia" w:ascii="仿宋" w:hAnsi="仿宋" w:eastAsia="仿宋" w:cs="仿宋"/>
          <w:sz w:val="32"/>
          <w:szCs w:val="32"/>
        </w:rPr>
        <w:t>，并且下降至</w:t>
      </w:r>
      <w:r w:rsidRPr="003C684F">
        <w:rPr>
          <w:rFonts w:ascii="仿宋" w:hAnsi="仿宋" w:eastAsia="仿宋" w:cs="仿宋"/>
          <w:sz w:val="32"/>
          <w:szCs w:val="32"/>
        </w:rPr>
        <w:t>50%</w:t>
      </w:r>
      <w:r w:rsidRPr="003C684F">
        <w:rPr>
          <w:rFonts w:hint="eastAsia" w:ascii="仿宋" w:hAnsi="仿宋" w:eastAsia="仿宋" w:cs="仿宋"/>
          <w:sz w:val="32"/>
          <w:szCs w:val="32"/>
        </w:rPr>
        <w:t>以下，则应暂停使用伊尼妥单抗，并在约</w:t>
      </w:r>
      <w:r w:rsidRPr="003C684F">
        <w:rPr>
          <w:rFonts w:ascii="仿宋" w:hAnsi="仿宋" w:eastAsia="仿宋" w:cs="仿宋"/>
          <w:sz w:val="32"/>
          <w:szCs w:val="32"/>
        </w:rPr>
        <w:t>3</w:t>
      </w:r>
      <w:r w:rsidRPr="003C684F">
        <w:rPr>
          <w:rFonts w:hint="eastAsia" w:ascii="仿宋" w:hAnsi="仿宋" w:eastAsia="仿宋" w:cs="仿宋"/>
          <w:sz w:val="32"/>
          <w:szCs w:val="32"/>
        </w:rPr>
        <w:t>周内重复评估</w:t>
      </w:r>
      <w:r w:rsidRPr="003C684F">
        <w:rPr>
          <w:rFonts w:ascii="仿宋" w:hAnsi="仿宋" w:eastAsia="仿宋" w:cs="仿宋"/>
          <w:sz w:val="32"/>
          <w:szCs w:val="32"/>
        </w:rPr>
        <w:t>LVEF</w:t>
      </w:r>
      <w:r w:rsidRPr="003C684F">
        <w:rPr>
          <w:rFonts w:hint="eastAsia" w:ascii="仿宋" w:hAnsi="仿宋" w:eastAsia="仿宋" w:cs="仿宋"/>
          <w:sz w:val="32"/>
          <w:szCs w:val="32"/>
        </w:rPr>
        <w:t>。若</w:t>
      </w:r>
      <w:r w:rsidRPr="003C684F">
        <w:rPr>
          <w:rFonts w:ascii="仿宋" w:hAnsi="仿宋" w:eastAsia="仿宋" w:cs="仿宋"/>
          <w:sz w:val="32"/>
          <w:szCs w:val="32"/>
        </w:rPr>
        <w:t>LVEF</w:t>
      </w:r>
      <w:r w:rsidRPr="003C684F">
        <w:rPr>
          <w:rFonts w:hint="eastAsia" w:ascii="仿宋" w:hAnsi="仿宋" w:eastAsia="仿宋" w:cs="仿宋"/>
          <w:sz w:val="32"/>
          <w:szCs w:val="32"/>
        </w:rPr>
        <w:lastRenderedPageBreak/>
        <w:t>无改善或进一步下降，或出现有临床意义的充血性心力衰竭，则强烈建议终止伊尼妥单抗用药。对于发生无症状心功能不全的患者，应频繁监测（如每</w:t>
      </w:r>
      <w:r w:rsidRPr="003C684F">
        <w:rPr>
          <w:rFonts w:ascii="仿宋" w:hAnsi="仿宋" w:eastAsia="仿宋" w:cs="仿宋"/>
          <w:sz w:val="32"/>
          <w:szCs w:val="32"/>
        </w:rPr>
        <w:t>6</w:t>
      </w:r>
      <w:r w:rsidRPr="003C684F">
        <w:rPr>
          <w:rFonts w:hint="eastAsia" w:ascii="仿宋" w:hAnsi="仿宋" w:eastAsia="仿宋" w:cs="仿宋"/>
          <w:sz w:val="32"/>
          <w:szCs w:val="32"/>
        </w:rPr>
        <w:t>～</w:t>
      </w:r>
      <w:r w:rsidRPr="003C684F">
        <w:rPr>
          <w:rFonts w:ascii="仿宋" w:hAnsi="仿宋" w:eastAsia="仿宋" w:cs="仿宋"/>
          <w:sz w:val="32"/>
          <w:szCs w:val="32"/>
        </w:rPr>
        <w:t>8</w:t>
      </w:r>
      <w:r w:rsidRPr="003C684F">
        <w:rPr>
          <w:rFonts w:hint="eastAsia" w:ascii="仿宋" w:hAnsi="仿宋" w:eastAsia="仿宋" w:cs="仿宋"/>
          <w:sz w:val="32"/>
          <w:szCs w:val="32"/>
        </w:rPr>
        <w:t>周一次）。</w:t>
      </w:r>
    </w:p>
    <w:p w:rsidRPr="003C684F" w:rsidR="009730C1" w:rsidRDefault="00A315B9" w14:paraId="29F8A01A"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Pr>
          <w:rFonts w:ascii="仿宋" w:hAnsi="仿宋" w:eastAsia="仿宋" w:cs="仿宋"/>
          <w:sz w:val="32"/>
          <w:szCs w:val="32"/>
        </w:rPr>
        <w:t>.</w:t>
      </w:r>
      <w:r w:rsidRPr="003C684F">
        <w:rPr>
          <w:rFonts w:hint="eastAsia" w:ascii="仿宋" w:hAnsi="仿宋" w:eastAsia="仿宋" w:cs="仿宋"/>
          <w:sz w:val="32"/>
          <w:szCs w:val="32"/>
        </w:rPr>
        <w:t>不推荐合并有以下疾病的患者使用本品：（</w:t>
      </w:r>
      <w:r w:rsidRPr="003C684F">
        <w:rPr>
          <w:rFonts w:ascii="仿宋" w:hAnsi="仿宋" w:eastAsia="仿宋" w:cs="仿宋"/>
          <w:sz w:val="32"/>
          <w:szCs w:val="32"/>
        </w:rPr>
        <w:t>1</w:t>
      </w:r>
      <w:r w:rsidRPr="003C684F">
        <w:rPr>
          <w:rFonts w:hint="eastAsia" w:ascii="仿宋" w:hAnsi="仿宋" w:eastAsia="仿宋" w:cs="仿宋"/>
          <w:sz w:val="32"/>
          <w:szCs w:val="32"/>
        </w:rPr>
        <w:t>）充血性心力衰竭。（</w:t>
      </w:r>
      <w:r w:rsidRPr="003C684F">
        <w:rPr>
          <w:rFonts w:ascii="仿宋" w:hAnsi="仿宋" w:eastAsia="仿宋" w:cs="仿宋"/>
          <w:sz w:val="32"/>
          <w:szCs w:val="32"/>
        </w:rPr>
        <w:t>2</w:t>
      </w:r>
      <w:r w:rsidRPr="003C684F">
        <w:rPr>
          <w:rFonts w:hint="eastAsia" w:ascii="仿宋" w:hAnsi="仿宋" w:eastAsia="仿宋" w:cs="仿宋"/>
          <w:sz w:val="32"/>
          <w:szCs w:val="32"/>
        </w:rPr>
        <w:t>）高危、未控制心律失常。（</w:t>
      </w:r>
      <w:r w:rsidRPr="003C684F">
        <w:rPr>
          <w:rFonts w:ascii="仿宋" w:hAnsi="仿宋" w:eastAsia="仿宋" w:cs="仿宋"/>
          <w:sz w:val="32"/>
          <w:szCs w:val="32"/>
        </w:rPr>
        <w:t>3</w:t>
      </w:r>
      <w:r w:rsidRPr="003C684F">
        <w:rPr>
          <w:rFonts w:hint="eastAsia" w:ascii="仿宋" w:hAnsi="仿宋" w:eastAsia="仿宋" w:cs="仿宋"/>
          <w:sz w:val="32"/>
          <w:szCs w:val="32"/>
        </w:rPr>
        <w:t>）需要药物治疗的心绞痛。（</w:t>
      </w:r>
      <w:r w:rsidRPr="003C684F">
        <w:rPr>
          <w:rFonts w:ascii="仿宋" w:hAnsi="仿宋" w:eastAsia="仿宋" w:cs="仿宋"/>
          <w:sz w:val="32"/>
          <w:szCs w:val="32"/>
        </w:rPr>
        <w:t>4</w:t>
      </w:r>
      <w:r w:rsidRPr="003C684F">
        <w:rPr>
          <w:rFonts w:hint="eastAsia" w:ascii="仿宋" w:hAnsi="仿宋" w:eastAsia="仿宋" w:cs="仿宋"/>
          <w:sz w:val="32"/>
          <w:szCs w:val="32"/>
        </w:rPr>
        <w:t>）有临床意义的心瓣膜疾病。（</w:t>
      </w:r>
      <w:r w:rsidRPr="003C684F">
        <w:rPr>
          <w:rFonts w:ascii="仿宋" w:hAnsi="仿宋" w:eastAsia="仿宋" w:cs="仿宋"/>
          <w:sz w:val="32"/>
          <w:szCs w:val="32"/>
        </w:rPr>
        <w:t>5</w:t>
      </w:r>
      <w:r w:rsidRPr="003C684F">
        <w:rPr>
          <w:rFonts w:hint="eastAsia" w:ascii="仿宋" w:hAnsi="仿宋" w:eastAsia="仿宋" w:cs="仿宋"/>
          <w:sz w:val="32"/>
          <w:szCs w:val="32"/>
        </w:rPr>
        <w:t>）心电图提示透壁性心肌梗死。（</w:t>
      </w:r>
      <w:r w:rsidRPr="003C684F">
        <w:rPr>
          <w:rFonts w:ascii="仿宋" w:hAnsi="仿宋" w:eastAsia="仿宋" w:cs="仿宋"/>
          <w:sz w:val="32"/>
          <w:szCs w:val="32"/>
        </w:rPr>
        <w:t>6</w:t>
      </w:r>
      <w:r w:rsidRPr="003C684F">
        <w:rPr>
          <w:rFonts w:hint="eastAsia" w:ascii="仿宋" w:hAnsi="仿宋" w:eastAsia="仿宋" w:cs="仿宋"/>
          <w:sz w:val="32"/>
          <w:szCs w:val="32"/>
        </w:rPr>
        <w:t>）控制不佳的高血压。</w:t>
      </w:r>
    </w:p>
    <w:p w:rsidRPr="003C684F" w:rsidR="009730C1" w:rsidRDefault="00A315B9" w14:paraId="4222BED7" w14:textId="2881767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使用伊尼妥单抗发生呼吸困难</w:t>
      </w:r>
      <w:r w:rsidRPr="003C684F" w:rsidR="00DB4978">
        <w:rPr>
          <w:rFonts w:hint="eastAsia" w:ascii="仿宋" w:hAnsi="仿宋" w:eastAsia="仿宋" w:cs="仿宋"/>
          <w:sz w:val="32"/>
          <w:szCs w:val="32"/>
        </w:rPr>
        <w:t>或</w:t>
      </w:r>
      <w:r w:rsidRPr="003C684F">
        <w:rPr>
          <w:rFonts w:hint="eastAsia" w:ascii="仿宋" w:hAnsi="仿宋" w:eastAsia="仿宋" w:cs="仿宋"/>
          <w:sz w:val="32"/>
          <w:szCs w:val="32"/>
        </w:rPr>
        <w:t>临床显著的低血压时应中断输注，同时给予相应药物治疗，包括肾上腺素、糖皮质激素、苯海拉明、支气管扩张剂和氧气等。发生严重和危及生命的输注相关反应的患者应永久停用。</w:t>
      </w:r>
    </w:p>
    <w:p w:rsidRPr="003C684F" w:rsidR="009730C1" w:rsidRDefault="00A315B9" w14:paraId="4A001D30"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7.</w:t>
      </w:r>
      <w:bookmarkStart w:name="_Hlk44948457" w:id="6"/>
      <w:r w:rsidRPr="003C684F">
        <w:rPr>
          <w:rFonts w:hint="eastAsia" w:ascii="仿宋" w:hAnsi="仿宋" w:eastAsia="仿宋" w:cs="仿宋"/>
          <w:sz w:val="32"/>
          <w:szCs w:val="32"/>
        </w:rPr>
        <w:t>伊尼妥单抗注册临床研究数据显示，伊尼妥单抗联合长春瑞滨治疗既往接受过</w:t>
      </w:r>
      <w:r w:rsidRPr="003C684F">
        <w:rPr>
          <w:rFonts w:ascii="仿宋" w:hAnsi="仿宋" w:eastAsia="仿宋" w:cs="仿宋"/>
          <w:sz w:val="32"/>
          <w:szCs w:val="32"/>
        </w:rPr>
        <w:t>1</w:t>
      </w:r>
      <w:r w:rsidRPr="003C684F">
        <w:rPr>
          <w:rFonts w:hint="eastAsia" w:ascii="仿宋" w:hAnsi="仿宋" w:eastAsia="仿宋" w:cs="仿宋"/>
          <w:sz w:val="32"/>
          <w:szCs w:val="32"/>
        </w:rPr>
        <w:t>个或多个化疗方案的</w:t>
      </w:r>
      <w:r w:rsidRPr="003C684F">
        <w:rPr>
          <w:rFonts w:ascii="仿宋" w:hAnsi="仿宋" w:eastAsia="仿宋" w:cs="仿宋"/>
          <w:sz w:val="32"/>
          <w:szCs w:val="32"/>
        </w:rPr>
        <w:t>HER2</w:t>
      </w:r>
      <w:r w:rsidRPr="003C684F">
        <w:rPr>
          <w:rFonts w:hint="eastAsia" w:ascii="仿宋" w:hAnsi="仿宋" w:eastAsia="仿宋" w:cs="仿宋"/>
          <w:sz w:val="32"/>
          <w:szCs w:val="32"/>
        </w:rPr>
        <w:t>阳性转移性乳腺癌患者，对比长春瑞滨可显著延长中位</w:t>
      </w:r>
      <w:r w:rsidRPr="003C684F">
        <w:rPr>
          <w:rFonts w:ascii="仿宋" w:hAnsi="仿宋" w:eastAsia="仿宋" w:cs="仿宋"/>
          <w:sz w:val="32"/>
          <w:szCs w:val="32"/>
        </w:rPr>
        <w:t>无进展生存期</w:t>
      </w:r>
      <w:r w:rsidRPr="003C684F">
        <w:rPr>
          <w:rFonts w:hint="eastAsia" w:ascii="仿宋" w:hAnsi="仿宋" w:eastAsia="仿宋" w:cs="仿宋"/>
          <w:sz w:val="32"/>
          <w:szCs w:val="32"/>
        </w:rPr>
        <w:t>（</w:t>
      </w:r>
      <w:r w:rsidRPr="003C684F">
        <w:rPr>
          <w:rFonts w:ascii="仿宋" w:hAnsi="仿宋" w:eastAsia="仿宋" w:cs="仿宋"/>
          <w:sz w:val="32"/>
          <w:szCs w:val="32"/>
        </w:rPr>
        <w:t>39.1</w:t>
      </w:r>
      <w:r w:rsidRPr="003C684F">
        <w:rPr>
          <w:rFonts w:hint="eastAsia" w:ascii="仿宋" w:hAnsi="仿宋" w:eastAsia="仿宋" w:cs="仿宋"/>
          <w:sz w:val="32"/>
          <w:szCs w:val="32"/>
        </w:rPr>
        <w:t>周</w:t>
      </w:r>
      <w:r w:rsidRPr="003C684F">
        <w:rPr>
          <w:rFonts w:ascii="仿宋" w:hAnsi="仿宋" w:eastAsia="仿宋" w:cs="仿宋"/>
          <w:i/>
          <w:iCs/>
          <w:sz w:val="32"/>
          <w:szCs w:val="32"/>
        </w:rPr>
        <w:t>vs</w:t>
      </w:r>
      <w:r w:rsidRPr="003C684F">
        <w:rPr>
          <w:rFonts w:ascii="仿宋" w:hAnsi="仿宋" w:eastAsia="仿宋" w:cs="仿宋"/>
          <w:sz w:val="32"/>
          <w:szCs w:val="32"/>
        </w:rPr>
        <w:t>14.0</w:t>
      </w:r>
      <w:r w:rsidRPr="003C684F">
        <w:rPr>
          <w:rFonts w:hint="eastAsia" w:ascii="仿宋" w:hAnsi="仿宋" w:eastAsia="仿宋" w:cs="仿宋"/>
          <w:sz w:val="32"/>
          <w:szCs w:val="32"/>
        </w:rPr>
        <w:t>周，</w:t>
      </w:r>
      <w:r w:rsidRPr="003C684F">
        <w:rPr>
          <w:rFonts w:ascii="仿宋" w:hAnsi="仿宋" w:eastAsia="仿宋" w:cs="仿宋"/>
          <w:sz w:val="32"/>
          <w:szCs w:val="32"/>
        </w:rPr>
        <w:t>HR＝0.24，</w:t>
      </w:r>
      <w:r w:rsidRPr="003C684F">
        <w:rPr>
          <w:rFonts w:ascii="仿宋" w:hAnsi="仿宋" w:eastAsia="仿宋" w:cs="仿宋"/>
          <w:i/>
          <w:iCs/>
          <w:sz w:val="32"/>
          <w:szCs w:val="32"/>
        </w:rPr>
        <w:t>p</w:t>
      </w:r>
      <w:r w:rsidRPr="003C684F">
        <w:rPr>
          <w:rFonts w:ascii="仿宋" w:hAnsi="仿宋" w:eastAsia="仿宋" w:cs="仿宋"/>
          <w:sz w:val="32"/>
          <w:szCs w:val="32"/>
        </w:rPr>
        <w:t>＜0.0001</w:t>
      </w:r>
      <w:r w:rsidRPr="003C684F">
        <w:rPr>
          <w:rFonts w:hint="eastAsia" w:ascii="仿宋" w:hAnsi="仿宋" w:eastAsia="仿宋" w:cs="仿宋"/>
          <w:sz w:val="32"/>
          <w:szCs w:val="32"/>
        </w:rPr>
        <w:t>），使得患者临床获益。</w:t>
      </w:r>
    </w:p>
    <w:bookmarkEnd w:id="6"/>
    <w:p w:rsidRPr="003C684F" w:rsidR="009730C1" w:rsidRDefault="00A315B9" w14:paraId="016CA78A"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五、拉帕替尼 L</w:t>
      </w:r>
      <w:r w:rsidRPr="003C684F">
        <w:rPr>
          <w:rFonts w:ascii="黑体" w:hAnsi="黑体" w:eastAsia="黑体" w:cs="黑体"/>
          <w:sz w:val="32"/>
          <w:szCs w:val="32"/>
        </w:rPr>
        <w:t>apatinib</w:t>
      </w:r>
    </w:p>
    <w:p w:rsidRPr="003C684F" w:rsidR="009730C1" w:rsidRDefault="00A315B9" w14:paraId="4063F83A" w14:textId="77433800">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ascii="仿宋" w:hAnsi="仿宋" w:eastAsia="仿宋" w:cs="仿宋"/>
          <w:sz w:val="32"/>
          <w:szCs w:val="32"/>
        </w:rPr>
        <w:t>25</w:t>
      </w:r>
      <w:r w:rsidRPr="003C684F" w:rsidR="00051CA5">
        <w:rPr>
          <w:rFonts w:hint="eastAsia" w:ascii="仿宋" w:hAnsi="仿宋" w:eastAsia="仿宋" w:cs="仿宋"/>
          <w:sz w:val="32"/>
          <w:szCs w:val="32"/>
        </w:rPr>
        <w:t>0m</w:t>
      </w:r>
      <w:r w:rsidRPr="003C684F">
        <w:rPr>
          <w:rFonts w:ascii="仿宋" w:hAnsi="仿宋" w:eastAsia="仿宋" w:cs="仿宋"/>
          <w:sz w:val="32"/>
          <w:szCs w:val="32"/>
        </w:rPr>
        <w:t>g</w:t>
      </w:r>
    </w:p>
    <w:p w:rsidRPr="003C684F" w:rsidR="009730C1" w:rsidRDefault="00A315B9" w14:paraId="5636B185" w14:textId="347FE562">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拉帕替尼与卡培他滨</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，适用于</w:t>
      </w:r>
      <w:r w:rsidRPr="003C684F">
        <w:rPr>
          <w:rFonts w:ascii="仿宋" w:hAnsi="仿宋" w:eastAsia="仿宋" w:cs="仿宋"/>
          <w:sz w:val="32"/>
          <w:szCs w:val="32"/>
        </w:rPr>
        <w:t>HER2</w:t>
      </w:r>
      <w:r w:rsidRPr="003C684F">
        <w:rPr>
          <w:rFonts w:hint="eastAsia" w:ascii="仿宋" w:hAnsi="仿宋" w:eastAsia="仿宋" w:cs="仿宋"/>
          <w:sz w:val="32"/>
          <w:szCs w:val="32"/>
        </w:rPr>
        <w:t>过表达且既往接受过包括蒽环类、紫杉类和曲妥珠单抗治疗的晚期或转移性乳腺癌。</w:t>
      </w:r>
    </w:p>
    <w:p w:rsidRPr="003C684F" w:rsidR="009730C1" w:rsidRDefault="00A315B9" w14:paraId="0B452891"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7731EFB4"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lastRenderedPageBreak/>
        <w:t>1.</w:t>
      </w:r>
      <w:r w:rsidRPr="003C684F">
        <w:rPr>
          <w:rFonts w:hint="eastAsia" w:ascii="仿宋" w:hAnsi="仿宋" w:eastAsia="仿宋" w:cs="仿宋"/>
          <w:sz w:val="32"/>
          <w:szCs w:val="32"/>
        </w:rPr>
        <w:t>考虑使用本药的患者需进行组织标本（原发灶或转移灶）的</w:t>
      </w:r>
      <w:r w:rsidRPr="003C684F">
        <w:rPr>
          <w:rFonts w:ascii="仿宋" w:hAnsi="仿宋" w:eastAsia="仿宋" w:cs="仿宋"/>
          <w:sz w:val="32"/>
          <w:szCs w:val="32"/>
        </w:rPr>
        <w:t>HER2</w:t>
      </w:r>
      <w:r w:rsidRPr="003C684F">
        <w:rPr>
          <w:rFonts w:hint="eastAsia" w:ascii="仿宋" w:hAnsi="仿宋" w:eastAsia="仿宋" w:cs="仿宋"/>
          <w:sz w:val="32"/>
          <w:szCs w:val="32"/>
        </w:rPr>
        <w:t>检测，无论是原发灶还是转移灶，</w:t>
      </w:r>
      <w:r w:rsidRPr="003C684F">
        <w:rPr>
          <w:rFonts w:hint="eastAsia" w:ascii="仿宋" w:hAnsi="仿宋" w:eastAsia="仿宋"/>
          <w:color w:val="000000"/>
          <w:sz w:val="32"/>
          <w:szCs w:val="32"/>
        </w:rPr>
        <w:t>HER2</w:t>
      </w:r>
      <w:r w:rsidRPr="003C684F" w:rsidR="00733468">
        <w:rPr>
          <w:rFonts w:hint="eastAsia" w:ascii="仿宋" w:hAnsi="仿宋" w:eastAsia="仿宋"/>
          <w:color w:val="000000"/>
          <w:sz w:val="32"/>
          <w:szCs w:val="32"/>
        </w:rPr>
        <w:t>过表达</w:t>
      </w:r>
      <w:r w:rsidRPr="003C684F">
        <w:rPr>
          <w:rFonts w:hint="eastAsia" w:ascii="仿宋" w:hAnsi="仿宋" w:eastAsia="仿宋"/>
          <w:color w:val="000000"/>
          <w:sz w:val="32"/>
          <w:szCs w:val="32"/>
        </w:rPr>
        <w:t>患者方可应用。</w:t>
      </w:r>
    </w:p>
    <w:p w:rsidRPr="003C684F" w:rsidR="009730C1" w:rsidRDefault="00A315B9" w14:paraId="51C5D2F6"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仅适用于复发或转移患者，原则上不推荐一线使用，除非是患者有曲妥珠单抗的禁忌证或参加新药临床试验。</w:t>
      </w:r>
    </w:p>
    <w:p w:rsidRPr="003C684F" w:rsidR="009730C1" w:rsidRDefault="00A315B9" w14:paraId="2D3B09E6" w14:textId="1AE58529">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3.</w:t>
      </w:r>
      <w:r w:rsidRPr="003C684F">
        <w:rPr>
          <w:rFonts w:hint="eastAsia" w:ascii="仿宋" w:hAnsi="仿宋" w:eastAsia="仿宋" w:cs="仿宋"/>
          <w:sz w:val="32"/>
          <w:szCs w:val="32"/>
        </w:rPr>
        <w:t>本品单独使用时</w:t>
      </w:r>
      <w:r w:rsidRPr="003C684F" w:rsidR="00C7583E">
        <w:rPr>
          <w:rFonts w:ascii="仿宋" w:hAnsi="仿宋" w:eastAsia="仿宋" w:cs="仿宋"/>
          <w:sz w:val="32"/>
          <w:szCs w:val="32"/>
        </w:rPr>
        <w:t>1</w:t>
      </w:r>
      <w:r w:rsidRPr="003C684F">
        <w:rPr>
          <w:rFonts w:ascii="仿宋" w:hAnsi="仿宋" w:eastAsia="仿宋" w:cs="仿宋"/>
          <w:sz w:val="32"/>
          <w:szCs w:val="32"/>
        </w:rPr>
        <w:t>25</w:t>
      </w:r>
      <w:r w:rsidRPr="003C684F" w:rsidR="00C7583E">
        <w:rPr>
          <w:rFonts w:hint="eastAsia" w:ascii="仿宋" w:hAnsi="仿宋" w:eastAsia="仿宋" w:cs="仿宋"/>
          <w:sz w:val="32"/>
          <w:szCs w:val="32"/>
        </w:rPr>
        <w:t>0m</w:t>
      </w:r>
      <w:r w:rsidRPr="003C684F">
        <w:rPr>
          <w:rFonts w:ascii="仿宋" w:hAnsi="仿宋" w:eastAsia="仿宋" w:cs="仿宋"/>
          <w:sz w:val="32"/>
          <w:szCs w:val="32"/>
        </w:rPr>
        <w:t>g</w:t>
      </w:r>
      <w:r w:rsidRPr="003C684F">
        <w:rPr>
          <w:rFonts w:hint="eastAsia" w:ascii="仿宋" w:hAnsi="仿宋" w:eastAsia="仿宋" w:cs="黑体"/>
          <w:sz w:val="32"/>
          <w:szCs w:val="32"/>
        </w:rPr>
        <w:t>/次</w:t>
      </w:r>
      <w:r w:rsidRPr="003C684F">
        <w:rPr>
          <w:rFonts w:hint="eastAsia" w:ascii="仿宋" w:hAnsi="仿宋" w:eastAsia="仿宋" w:cs="仿宋"/>
          <w:sz w:val="32"/>
          <w:szCs w:val="32"/>
        </w:rPr>
        <w:t>，每天一次，</w:t>
      </w:r>
      <w:r w:rsidRPr="003C684F" w:rsidR="00C7583E">
        <w:rPr>
          <w:rFonts w:hint="eastAsia" w:ascii="仿宋" w:hAnsi="仿宋" w:eastAsia="仿宋" w:cs="仿宋"/>
          <w:sz w:val="32"/>
          <w:szCs w:val="32"/>
        </w:rPr>
        <w:t>口服，</w:t>
      </w:r>
      <w:r w:rsidRPr="003C684F">
        <w:rPr>
          <w:rFonts w:hint="eastAsia" w:ascii="仿宋" w:hAnsi="仿宋" w:eastAsia="仿宋" w:cs="仿宋"/>
          <w:sz w:val="32"/>
          <w:szCs w:val="32"/>
        </w:rPr>
        <w:t>第</w:t>
      </w:r>
      <w:r w:rsidRPr="003C684F">
        <w:rPr>
          <w:rFonts w:ascii="仿宋" w:hAnsi="仿宋" w:eastAsia="仿宋" w:cs="仿宋"/>
          <w:sz w:val="32"/>
          <w:szCs w:val="32"/>
        </w:rPr>
        <w:t>1</w:t>
      </w:r>
      <w:r w:rsidRPr="003C684F">
        <w:rPr>
          <w:rFonts w:hint="eastAsia" w:ascii="仿宋" w:hAnsi="仿宋" w:eastAsia="仿宋" w:cs="仿宋"/>
          <w:sz w:val="32"/>
          <w:szCs w:val="32"/>
        </w:rPr>
        <w:t>～</w:t>
      </w:r>
      <w:r w:rsidRPr="003C684F">
        <w:rPr>
          <w:rFonts w:ascii="仿宋" w:hAnsi="仿宋" w:eastAsia="仿宋" w:cs="仿宋"/>
          <w:sz w:val="32"/>
          <w:szCs w:val="32"/>
        </w:rPr>
        <w:t>21</w:t>
      </w:r>
      <w:r w:rsidRPr="003C684F">
        <w:rPr>
          <w:rFonts w:hint="eastAsia" w:ascii="仿宋" w:hAnsi="仿宋" w:eastAsia="仿宋" w:cs="仿宋"/>
          <w:sz w:val="32"/>
          <w:szCs w:val="32"/>
        </w:rPr>
        <w:t>天连续服用。与卡培他滨</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时，拉帕替尼的推荐剂量同上，每天一次，每</w:t>
      </w:r>
      <w:r w:rsidRPr="003C684F">
        <w:rPr>
          <w:rFonts w:ascii="仿宋" w:hAnsi="仿宋" w:eastAsia="仿宋" w:cs="仿宋"/>
          <w:sz w:val="32"/>
          <w:szCs w:val="32"/>
        </w:rPr>
        <w:t>21</w:t>
      </w:r>
      <w:r w:rsidRPr="003C684F">
        <w:rPr>
          <w:rFonts w:hint="eastAsia" w:ascii="仿宋" w:hAnsi="仿宋" w:eastAsia="仿宋" w:cs="仿宋"/>
          <w:sz w:val="32"/>
          <w:szCs w:val="32"/>
        </w:rPr>
        <w:t>天</w:t>
      </w:r>
      <w:r w:rsidRPr="003C684F">
        <w:rPr>
          <w:rFonts w:ascii="仿宋" w:hAnsi="仿宋" w:eastAsia="仿宋" w:cs="仿宋"/>
          <w:sz w:val="32"/>
          <w:szCs w:val="32"/>
        </w:rPr>
        <w:t>1</w:t>
      </w:r>
      <w:r w:rsidRPr="003C684F">
        <w:rPr>
          <w:rFonts w:hint="eastAsia" w:ascii="仿宋" w:hAnsi="仿宋" w:eastAsia="仿宋" w:cs="仿宋"/>
          <w:sz w:val="32"/>
          <w:szCs w:val="32"/>
        </w:rPr>
        <w:t>个周期，建议将每天剂量一次性服用，不推荐分次服用。应在餐前至少</w:t>
      </w:r>
      <w:r w:rsidRPr="003C684F">
        <w:rPr>
          <w:rFonts w:ascii="仿宋" w:hAnsi="仿宋" w:eastAsia="仿宋" w:cs="仿宋"/>
          <w:sz w:val="32"/>
          <w:szCs w:val="32"/>
        </w:rPr>
        <w:t>1</w:t>
      </w:r>
      <w:r w:rsidRPr="003C684F">
        <w:rPr>
          <w:rFonts w:hint="eastAsia" w:ascii="仿宋" w:hAnsi="仿宋" w:eastAsia="仿宋" w:cs="仿宋"/>
          <w:sz w:val="32"/>
          <w:szCs w:val="32"/>
        </w:rPr>
        <w:t>小时，或餐后至少</w:t>
      </w:r>
      <w:r w:rsidRPr="003C684F">
        <w:rPr>
          <w:rFonts w:ascii="仿宋" w:hAnsi="仿宋" w:eastAsia="仿宋" w:cs="仿宋"/>
          <w:sz w:val="32"/>
          <w:szCs w:val="32"/>
        </w:rPr>
        <w:t>1</w:t>
      </w:r>
      <w:r w:rsidRPr="003C684F">
        <w:rPr>
          <w:rFonts w:hint="eastAsia" w:ascii="仿宋" w:hAnsi="仿宋" w:eastAsia="仿宋" w:cs="仿宋"/>
          <w:sz w:val="32"/>
          <w:szCs w:val="32"/>
        </w:rPr>
        <w:t>小时服用。卡培他滨推荐剂量为</w:t>
      </w:r>
      <w:r w:rsidRPr="003C684F">
        <w:rPr>
          <w:rFonts w:ascii="仿宋" w:hAnsi="仿宋" w:eastAsia="仿宋" w:cs="仿宋"/>
          <w:sz w:val="32"/>
          <w:szCs w:val="32"/>
        </w:rPr>
        <w:t>2g/</w:t>
      </w:r>
      <w:r w:rsidRPr="003C684F">
        <w:rPr>
          <w:rFonts w:hint="eastAsia" w:ascii="仿宋" w:hAnsi="仿宋" w:eastAsia="仿宋" w:cs="仿宋"/>
          <w:sz w:val="32"/>
          <w:szCs w:val="32"/>
        </w:rPr>
        <w:t>（</w:t>
      </w:r>
      <w:r w:rsidRPr="003C684F">
        <w:rPr>
          <w:rFonts w:ascii="仿宋" w:hAnsi="仿宋" w:eastAsia="仿宋" w:cs="仿宋"/>
          <w:sz w:val="32"/>
          <w:szCs w:val="32"/>
        </w:rPr>
        <w:t>m</w:t>
      </w:r>
      <w:r w:rsidRPr="003C684F">
        <w:rPr>
          <w:rFonts w:ascii="仿宋" w:hAnsi="仿宋" w:eastAsia="仿宋" w:cs="仿宋"/>
          <w:sz w:val="32"/>
          <w:szCs w:val="32"/>
          <w:vertAlign w:val="superscript"/>
        </w:rPr>
        <w:t>2</w:t>
      </w:r>
      <w:r w:rsidR="00E04840">
        <w:rPr>
          <w:rFonts w:ascii="Segoe UI Emoji" w:hAnsi="Segoe UI Emoji" w:eastAsia="仿宋" w:cs="Segoe UI Emoji"/>
          <w:sz w:val="32"/>
          <w:szCs w:val="32"/>
        </w:rPr>
        <w:t>•</w:t>
      </w:r>
      <w:r w:rsidRPr="003C684F">
        <w:rPr>
          <w:rFonts w:ascii="仿宋" w:hAnsi="仿宋" w:eastAsia="仿宋" w:cs="仿宋"/>
          <w:sz w:val="32"/>
          <w:szCs w:val="32"/>
        </w:rPr>
        <w:t>d</w:t>
      </w:r>
      <w:r w:rsidRPr="003C684F">
        <w:rPr>
          <w:rFonts w:hint="eastAsia" w:ascii="仿宋" w:hAnsi="仿宋" w:eastAsia="仿宋" w:cs="仿宋"/>
          <w:sz w:val="32"/>
          <w:szCs w:val="32"/>
        </w:rPr>
        <w:t>），分</w:t>
      </w:r>
      <w:r w:rsidRPr="003C684F">
        <w:rPr>
          <w:rFonts w:ascii="仿宋" w:hAnsi="仿宋" w:eastAsia="仿宋" w:cs="仿宋"/>
          <w:sz w:val="32"/>
          <w:szCs w:val="32"/>
        </w:rPr>
        <w:t>两次</w:t>
      </w:r>
      <w:r w:rsidRPr="003C684F">
        <w:rPr>
          <w:rFonts w:hint="eastAsia" w:ascii="仿宋" w:hAnsi="仿宋" w:eastAsia="仿宋" w:cs="仿宋"/>
          <w:sz w:val="32"/>
          <w:szCs w:val="32"/>
        </w:rPr>
        <w:t>口服。间隔约</w:t>
      </w:r>
      <w:r w:rsidRPr="003C684F">
        <w:rPr>
          <w:rFonts w:ascii="仿宋" w:hAnsi="仿宋" w:eastAsia="仿宋" w:cs="仿宋"/>
          <w:sz w:val="32"/>
          <w:szCs w:val="32"/>
        </w:rPr>
        <w:t>12</w:t>
      </w:r>
      <w:r w:rsidRPr="003C684F">
        <w:rPr>
          <w:rFonts w:hint="eastAsia" w:ascii="仿宋" w:hAnsi="仿宋" w:eastAsia="仿宋" w:cs="仿宋"/>
          <w:sz w:val="32"/>
          <w:szCs w:val="32"/>
        </w:rPr>
        <w:t>小时，连服</w:t>
      </w:r>
      <w:r w:rsidRPr="003C684F">
        <w:rPr>
          <w:rFonts w:ascii="仿宋" w:hAnsi="仿宋" w:eastAsia="仿宋" w:cs="仿宋"/>
          <w:sz w:val="32"/>
          <w:szCs w:val="32"/>
        </w:rPr>
        <w:t>14</w:t>
      </w:r>
      <w:r w:rsidRPr="003C684F">
        <w:rPr>
          <w:rFonts w:hint="eastAsia" w:ascii="仿宋" w:hAnsi="仿宋" w:eastAsia="仿宋" w:cs="仿宋"/>
          <w:sz w:val="32"/>
          <w:szCs w:val="32"/>
        </w:rPr>
        <w:t>天，休息</w:t>
      </w:r>
      <w:r w:rsidRPr="003C684F">
        <w:rPr>
          <w:rFonts w:ascii="仿宋" w:hAnsi="仿宋" w:eastAsia="仿宋" w:cs="仿宋"/>
          <w:sz w:val="32"/>
          <w:szCs w:val="32"/>
        </w:rPr>
        <w:t>7</w:t>
      </w:r>
      <w:r w:rsidRPr="003C684F">
        <w:rPr>
          <w:rFonts w:hint="eastAsia" w:ascii="仿宋" w:hAnsi="仿宋" w:eastAsia="仿宋" w:cs="仿宋"/>
          <w:sz w:val="32"/>
          <w:szCs w:val="32"/>
        </w:rPr>
        <w:t>天，</w:t>
      </w:r>
      <w:r w:rsidRPr="003C684F">
        <w:rPr>
          <w:rFonts w:ascii="仿宋" w:hAnsi="仿宋" w:eastAsia="仿宋" w:cs="仿宋"/>
          <w:sz w:val="32"/>
          <w:szCs w:val="32"/>
        </w:rPr>
        <w:t>21</w:t>
      </w:r>
      <w:r w:rsidRPr="003C684F">
        <w:rPr>
          <w:rFonts w:hint="eastAsia" w:ascii="仿宋" w:hAnsi="仿宋" w:eastAsia="仿宋" w:cs="仿宋"/>
          <w:sz w:val="32"/>
          <w:szCs w:val="32"/>
        </w:rPr>
        <w:t>天为一个周期。卡培他滨应和食物同时服用，或餐后</w:t>
      </w:r>
      <w:r w:rsidRPr="003C684F">
        <w:rPr>
          <w:rFonts w:ascii="仿宋" w:hAnsi="仿宋" w:eastAsia="仿宋" w:cs="仿宋"/>
          <w:sz w:val="32"/>
          <w:szCs w:val="32"/>
        </w:rPr>
        <w:t>30</w:t>
      </w:r>
      <w:r w:rsidRPr="003C684F">
        <w:rPr>
          <w:rFonts w:hint="eastAsia" w:ascii="仿宋" w:hAnsi="仿宋" w:eastAsia="仿宋" w:cs="仿宋"/>
          <w:sz w:val="32"/>
          <w:szCs w:val="32"/>
        </w:rPr>
        <w:t>分钟内服用。</w:t>
      </w:r>
    </w:p>
    <w:p w:rsidRPr="003C684F" w:rsidR="009730C1" w:rsidRDefault="00A315B9" w14:paraId="4CF790EC" w14:textId="0ACAC8E6">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4.</w:t>
      </w:r>
      <w:r w:rsidRPr="003C684F">
        <w:rPr>
          <w:rFonts w:hint="eastAsia" w:ascii="仿宋" w:hAnsi="仿宋" w:eastAsia="仿宋" w:cs="仿宋"/>
          <w:sz w:val="32"/>
          <w:szCs w:val="32"/>
        </w:rPr>
        <w:t>主要不良反应为腹泻和皮疹，腹泻可对症止泻，用药期间避免直接日晒，外出注意防晒。使用本品可发生心脏毒性，主要表现为</w:t>
      </w:r>
      <w:r w:rsidRPr="003C684F">
        <w:rPr>
          <w:rFonts w:ascii="仿宋" w:hAnsi="仿宋" w:eastAsia="仿宋" w:cs="仿宋"/>
          <w:sz w:val="32"/>
          <w:szCs w:val="32"/>
        </w:rPr>
        <w:t>LVEF</w:t>
      </w:r>
      <w:r w:rsidRPr="003C684F">
        <w:rPr>
          <w:rFonts w:hint="eastAsia" w:ascii="仿宋" w:hAnsi="仿宋" w:eastAsia="仿宋" w:cs="仿宋"/>
          <w:sz w:val="32"/>
          <w:szCs w:val="32"/>
        </w:rPr>
        <w:t>降低，建议治疗前评估</w:t>
      </w:r>
      <w:r w:rsidRPr="003C684F">
        <w:rPr>
          <w:rFonts w:ascii="仿宋" w:hAnsi="仿宋" w:eastAsia="仿宋" w:cs="仿宋"/>
          <w:sz w:val="32"/>
          <w:szCs w:val="32"/>
        </w:rPr>
        <w:t>LVEF</w:t>
      </w:r>
      <w:r w:rsidRPr="003C684F">
        <w:rPr>
          <w:rFonts w:hint="eastAsia" w:ascii="仿宋" w:hAnsi="仿宋" w:eastAsia="仿宋" w:cs="仿宋"/>
          <w:sz w:val="32"/>
          <w:szCs w:val="32"/>
        </w:rPr>
        <w:t>，治疗中定期检测</w:t>
      </w:r>
      <w:r w:rsidRPr="003C684F">
        <w:rPr>
          <w:rFonts w:ascii="仿宋" w:hAnsi="仿宋" w:eastAsia="仿宋" w:cs="仿宋"/>
          <w:sz w:val="32"/>
          <w:szCs w:val="32"/>
        </w:rPr>
        <w:t>LVEF</w:t>
      </w:r>
      <w:r w:rsidRPr="003C684F">
        <w:rPr>
          <w:rFonts w:hint="eastAsia" w:ascii="仿宋" w:hAnsi="仿宋" w:eastAsia="仿宋" w:cs="仿宋"/>
          <w:sz w:val="32"/>
          <w:szCs w:val="32"/>
        </w:rPr>
        <w:t>，若</w:t>
      </w:r>
      <w:r w:rsidRPr="003C684F">
        <w:rPr>
          <w:rFonts w:ascii="仿宋" w:hAnsi="仿宋" w:eastAsia="仿宋" w:cs="仿宋"/>
          <w:sz w:val="32"/>
          <w:szCs w:val="32"/>
        </w:rPr>
        <w:t>LVEF</w:t>
      </w:r>
      <w:r w:rsidRPr="003C684F">
        <w:rPr>
          <w:rFonts w:hint="eastAsia" w:ascii="仿宋" w:hAnsi="仿宋" w:eastAsia="仿宋" w:cs="仿宋"/>
          <w:sz w:val="32"/>
          <w:szCs w:val="32"/>
        </w:rPr>
        <w:t>下降至正常值下限，或出现</w:t>
      </w:r>
      <w:r w:rsidRPr="003C684F">
        <w:rPr>
          <w:rFonts w:ascii="仿宋" w:hAnsi="仿宋" w:eastAsia="仿宋" w:cs="仿宋"/>
          <w:sz w:val="32"/>
          <w:szCs w:val="32"/>
        </w:rPr>
        <w:t>2</w:t>
      </w:r>
      <w:r w:rsidRPr="003C684F">
        <w:rPr>
          <w:rFonts w:hint="eastAsia" w:ascii="仿宋" w:hAnsi="仿宋" w:eastAsia="仿宋" w:cs="仿宋"/>
          <w:sz w:val="32"/>
          <w:szCs w:val="32"/>
        </w:rPr>
        <w:t>级或</w:t>
      </w:r>
      <w:r w:rsidRPr="003C684F">
        <w:rPr>
          <w:rFonts w:ascii="仿宋" w:hAnsi="仿宋" w:eastAsia="仿宋" w:cs="仿宋"/>
          <w:sz w:val="32"/>
          <w:szCs w:val="32"/>
        </w:rPr>
        <w:t>2</w:t>
      </w:r>
      <w:r w:rsidRPr="003C684F">
        <w:rPr>
          <w:rFonts w:hint="eastAsia" w:ascii="仿宋" w:hAnsi="仿宋" w:eastAsia="仿宋" w:cs="仿宋"/>
          <w:sz w:val="32"/>
          <w:szCs w:val="32"/>
        </w:rPr>
        <w:t>级以上与</w:t>
      </w:r>
      <w:r w:rsidRPr="003C684F">
        <w:rPr>
          <w:rFonts w:ascii="仿宋" w:hAnsi="仿宋" w:eastAsia="仿宋" w:cs="仿宋"/>
          <w:sz w:val="32"/>
          <w:szCs w:val="32"/>
        </w:rPr>
        <w:t>LVEF</w:t>
      </w:r>
      <w:r w:rsidRPr="003C684F">
        <w:rPr>
          <w:rFonts w:hint="eastAsia" w:ascii="仿宋" w:hAnsi="仿宋" w:eastAsia="仿宋" w:cs="仿宋"/>
          <w:sz w:val="32"/>
          <w:szCs w:val="32"/>
        </w:rPr>
        <w:t>下降相关的症状，应停药。若恢复至正常，且患者无症状，可以在停用至少</w:t>
      </w:r>
      <w:r w:rsidRPr="003C684F">
        <w:rPr>
          <w:rFonts w:ascii="仿宋" w:hAnsi="仿宋" w:eastAsia="仿宋" w:cs="仿宋"/>
          <w:sz w:val="32"/>
          <w:szCs w:val="32"/>
        </w:rPr>
        <w:t>2</w:t>
      </w:r>
      <w:r w:rsidRPr="003C684F">
        <w:rPr>
          <w:rFonts w:hint="eastAsia" w:ascii="仿宋" w:hAnsi="仿宋" w:eastAsia="仿宋" w:cs="仿宋"/>
          <w:sz w:val="32"/>
          <w:szCs w:val="32"/>
        </w:rPr>
        <w:t>周后将本品减量使用（每天</w:t>
      </w:r>
      <w:r w:rsidRPr="003C684F">
        <w:rPr>
          <w:rFonts w:ascii="仿宋" w:hAnsi="仿宋" w:eastAsia="仿宋" w:cs="仿宋"/>
          <w:sz w:val="32"/>
          <w:szCs w:val="32"/>
        </w:rPr>
        <w:t>1g</w:t>
      </w:r>
      <w:r w:rsidRPr="003C684F">
        <w:rPr>
          <w:rFonts w:hint="eastAsia" w:ascii="仿宋" w:hAnsi="仿宋" w:eastAsia="仿宋" w:cs="仿宋"/>
          <w:sz w:val="32"/>
          <w:szCs w:val="32"/>
        </w:rPr>
        <w:t>与卡培他滨</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）。部分病人还可出现肝功能损伤。</w:t>
      </w:r>
    </w:p>
    <w:p w:rsidRPr="003C684F" w:rsidR="009730C1" w:rsidRDefault="00A315B9" w14:paraId="507F9BCE"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5.</w:t>
      </w:r>
      <w:r w:rsidRPr="003C684F">
        <w:rPr>
          <w:rFonts w:hint="eastAsia" w:ascii="仿宋" w:hAnsi="仿宋" w:eastAsia="仿宋" w:cs="仿宋"/>
          <w:sz w:val="32"/>
          <w:szCs w:val="32"/>
        </w:rPr>
        <w:t>如果患者漏服了某一天的剂量，第2天的剂量不要加倍，在下一次服药时间按计划继续服用即可。治疗应当持续</w:t>
      </w:r>
      <w:r w:rsidRPr="003C684F">
        <w:rPr>
          <w:rFonts w:hint="eastAsia" w:ascii="仿宋" w:hAnsi="仿宋" w:eastAsia="仿宋" w:cs="仿宋"/>
          <w:sz w:val="32"/>
          <w:szCs w:val="32"/>
        </w:rPr>
        <w:lastRenderedPageBreak/>
        <w:t>至疾病进展或出现不能耐受的毒性反应。</w:t>
      </w:r>
    </w:p>
    <w:p w:rsidRPr="003C684F" w:rsidR="009730C1" w:rsidRDefault="00A315B9" w14:paraId="4A890128" w14:textId="6117B1EC">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本品主要经</w:t>
      </w:r>
      <w:r w:rsidRPr="003C684F">
        <w:rPr>
          <w:rFonts w:ascii="仿宋" w:hAnsi="仿宋" w:eastAsia="仿宋" w:cs="仿宋"/>
          <w:sz w:val="32"/>
          <w:szCs w:val="32"/>
        </w:rPr>
        <w:t>CYP3A4</w:t>
      </w:r>
      <w:r w:rsidRPr="003C684F">
        <w:rPr>
          <w:rFonts w:hint="eastAsia" w:ascii="仿宋" w:hAnsi="仿宋" w:eastAsia="仿宋" w:cs="仿宋"/>
          <w:sz w:val="32"/>
          <w:szCs w:val="32"/>
        </w:rPr>
        <w:t>代谢。服药期间禁食葡萄柚、葡萄柚汁，与</w:t>
      </w:r>
      <w:r w:rsidRPr="003C684F">
        <w:rPr>
          <w:rFonts w:ascii="仿宋" w:hAnsi="仿宋" w:eastAsia="仿宋" w:cs="仿宋"/>
          <w:sz w:val="32"/>
          <w:szCs w:val="32"/>
        </w:rPr>
        <w:t>CYP3A4</w:t>
      </w:r>
      <w:r w:rsidRPr="003C684F">
        <w:rPr>
          <w:rFonts w:hint="eastAsia" w:ascii="仿宋" w:hAnsi="仿宋" w:eastAsia="仿宋" w:cs="仿宋"/>
          <w:sz w:val="32"/>
          <w:szCs w:val="32"/>
        </w:rPr>
        <w:t>抑制剂或诱导剂</w:t>
      </w:r>
      <w:r w:rsidRPr="003C684F" w:rsidR="004B1BA5">
        <w:rPr>
          <w:rFonts w:hint="eastAsia" w:ascii="仿宋" w:hAnsi="仿宋" w:eastAsia="仿宋" w:cs="仿宋"/>
          <w:sz w:val="32"/>
          <w:szCs w:val="32"/>
        </w:rPr>
        <w:t>联合使用</w:t>
      </w:r>
      <w:r w:rsidRPr="003C684F">
        <w:rPr>
          <w:rFonts w:hint="eastAsia" w:ascii="仿宋" w:hAnsi="仿宋" w:eastAsia="仿宋" w:cs="仿宋"/>
          <w:sz w:val="32"/>
          <w:szCs w:val="32"/>
        </w:rPr>
        <w:t>时需谨慎，谨慎与质子泵抑制剂</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w:t>
      </w:r>
    </w:p>
    <w:p w:rsidRPr="003C684F" w:rsidR="009730C1" w:rsidRDefault="00A315B9" w14:paraId="04FE34C6"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s="仿宋"/>
          <w:sz w:val="32"/>
          <w:szCs w:val="32"/>
        </w:rPr>
        <w:t>7</w:t>
      </w:r>
      <w:r w:rsidRPr="003C684F">
        <w:rPr>
          <w:rFonts w:ascii="仿宋" w:hAnsi="仿宋" w:eastAsia="仿宋" w:cs="仿宋"/>
          <w:sz w:val="32"/>
          <w:szCs w:val="32"/>
        </w:rPr>
        <w:t>.</w:t>
      </w:r>
      <w:r w:rsidRPr="003C684F">
        <w:rPr>
          <w:rFonts w:hint="eastAsia" w:ascii="仿宋" w:hAnsi="仿宋" w:eastAsia="仿宋" w:cs="仿宋"/>
          <w:sz w:val="32"/>
          <w:szCs w:val="32"/>
        </w:rPr>
        <w:t>也有临床研究证明，拉帕替尼联合其他化疗药物或内分泌治疗药物可使病人临床获益。</w:t>
      </w:r>
    </w:p>
    <w:p w:rsidRPr="003C684F" w:rsidR="009730C1" w:rsidRDefault="00A315B9" w14:paraId="273B5038"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六、吡咯替尼 P</w:t>
      </w:r>
      <w:r w:rsidRPr="003C684F">
        <w:rPr>
          <w:rFonts w:ascii="黑体" w:hAnsi="黑体" w:eastAsia="黑体"/>
          <w:color w:val="000000"/>
          <w:sz w:val="32"/>
          <w:szCs w:val="32"/>
        </w:rPr>
        <w:t>yrotinib</w:t>
      </w:r>
    </w:p>
    <w:p w:rsidRPr="003C684F" w:rsidR="009730C1" w:rsidRDefault="00A315B9" w14:paraId="2981485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片剂：80mg、160mg</w:t>
      </w:r>
    </w:p>
    <w:p w:rsidRPr="003C684F" w:rsidR="009730C1" w:rsidRDefault="00A315B9" w14:paraId="5FC0FCD5"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09B05F4F"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1.复发或转移性乳腺癌：吡咯替尼联合卡培他滨，适用于治疗HER2阳性、既往未接受或接受过曲妥珠单抗的复发或转移性乳腺癌患者。使用吡咯替尼前患者应接受过蒽环类或紫杉类化疗。</w:t>
      </w:r>
    </w:p>
    <w:p w:rsidRPr="003C684F" w:rsidR="009730C1" w:rsidRDefault="00A315B9" w14:paraId="4E450AB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olor w:val="000000"/>
          <w:sz w:val="32"/>
          <w:szCs w:val="32"/>
        </w:rPr>
        <w:t>2.乳腺癌新辅助治疗</w:t>
      </w:r>
      <w:r w:rsidRPr="003C684F" w:rsidR="00C739DA">
        <w:rPr>
          <w:rFonts w:hint="eastAsia" w:ascii="仿宋" w:hAnsi="仿宋" w:eastAsia="仿宋"/>
          <w:color w:val="000000"/>
          <w:sz w:val="32"/>
          <w:szCs w:val="32"/>
        </w:rPr>
        <w:t>（附加条件批准）</w:t>
      </w:r>
      <w:r w:rsidRPr="003C684F">
        <w:rPr>
          <w:rFonts w:hint="eastAsia" w:ascii="仿宋" w:hAnsi="仿宋" w:eastAsia="仿宋"/>
          <w:color w:val="000000"/>
          <w:sz w:val="32"/>
          <w:szCs w:val="32"/>
        </w:rPr>
        <w:t>：与曲妥珠单抗和多西他赛联合，用于HER2阳性早期或局部晚期乳腺癌患者的新辅助治疗。</w:t>
      </w:r>
    </w:p>
    <w:p w:rsidRPr="003C684F" w:rsidR="009730C1" w:rsidRDefault="00A315B9" w14:paraId="49B86D49" w14:textId="77777777">
      <w:pPr>
        <w:spacing w:line="360" w:lineRule="auto"/>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34577D0"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1.在使用吡咯替尼治疗前，应使用经充分验证的检测方法进行HER2状态的检测。吡咯替尼仅可用于HER2阳性的乳腺癌患者。</w:t>
      </w:r>
    </w:p>
    <w:p w:rsidRPr="003C684F" w:rsidR="009730C1" w:rsidRDefault="00A315B9" w14:paraId="5B124EC9"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2.晚期治疗期间只要观察到临床获益，应继续吡咯替尼治疗，直至患者不能耐受或疾病进展。</w:t>
      </w:r>
    </w:p>
    <w:p w:rsidRPr="003C684F" w:rsidR="009730C1" w:rsidRDefault="00C739DA" w14:paraId="68656842" w14:textId="37D910D2">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3</w:t>
      </w:r>
      <w:r w:rsidRPr="003C684F" w:rsidR="00A315B9">
        <w:rPr>
          <w:rFonts w:hint="eastAsia" w:ascii="仿宋" w:hAnsi="仿宋" w:eastAsia="仿宋"/>
          <w:color w:val="000000"/>
          <w:sz w:val="32"/>
          <w:szCs w:val="32"/>
        </w:rPr>
        <w:t>.吡咯替尼推荐剂量为400mg</w:t>
      </w:r>
      <w:r w:rsidRPr="003C684F" w:rsidR="00C7583E">
        <w:rPr>
          <w:rFonts w:hint="eastAsia" w:ascii="仿宋" w:hAnsi="仿宋" w:eastAsia="仿宋"/>
          <w:color w:val="000000"/>
          <w:sz w:val="32"/>
          <w:szCs w:val="32"/>
        </w:rPr>
        <w:t>/次</w:t>
      </w:r>
      <w:r w:rsidRPr="003C684F" w:rsidR="00A315B9">
        <w:rPr>
          <w:rFonts w:hint="eastAsia" w:ascii="仿宋" w:hAnsi="仿宋" w:eastAsia="仿宋"/>
          <w:color w:val="000000"/>
          <w:sz w:val="32"/>
          <w:szCs w:val="32"/>
        </w:rPr>
        <w:t>，每天一次，餐后30分钟内口服，每天同一时间服药。连续服用，每21天为一个周期。如果患者漏服某一天的吡咯替尼，</w:t>
      </w:r>
      <w:r w:rsidRPr="003C684F" w:rsidR="00BD154E">
        <w:rPr>
          <w:rFonts w:hint="eastAsia" w:ascii="仿宋" w:hAnsi="仿宋" w:eastAsia="仿宋"/>
          <w:color w:val="000000"/>
          <w:sz w:val="32"/>
          <w:szCs w:val="32"/>
        </w:rPr>
        <w:t>无需</w:t>
      </w:r>
      <w:r w:rsidRPr="003C684F" w:rsidR="00A315B9">
        <w:rPr>
          <w:rFonts w:hint="eastAsia" w:ascii="仿宋" w:hAnsi="仿宋" w:eastAsia="仿宋"/>
          <w:color w:val="000000"/>
          <w:sz w:val="32"/>
          <w:szCs w:val="32"/>
        </w:rPr>
        <w:t>补服，下一次按计划服药即可。</w:t>
      </w:r>
    </w:p>
    <w:p w:rsidRPr="003C684F" w:rsidR="009730C1" w:rsidRDefault="00C739DA" w14:paraId="155D93C1" w14:textId="2A17D405">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w:t>
      </w:r>
      <w:r w:rsidRPr="003C684F" w:rsidR="00A315B9">
        <w:rPr>
          <w:rFonts w:hint="eastAsia" w:ascii="仿宋" w:hAnsi="仿宋" w:eastAsia="仿宋"/>
          <w:color w:val="000000"/>
          <w:sz w:val="32"/>
          <w:szCs w:val="32"/>
        </w:rPr>
        <w:t>.治疗过程中如患者出现不良反应，可通过暂停给药、降低剂量</w:t>
      </w:r>
      <w:r w:rsidRPr="003C684F" w:rsidR="00DB4978">
        <w:rPr>
          <w:rFonts w:hint="eastAsia" w:ascii="仿宋" w:hAnsi="仿宋" w:eastAsia="仿宋"/>
          <w:color w:val="000000"/>
          <w:sz w:val="32"/>
          <w:szCs w:val="32"/>
        </w:rPr>
        <w:t>或</w:t>
      </w:r>
      <w:r w:rsidRPr="003C684F" w:rsidR="00A315B9">
        <w:rPr>
          <w:rFonts w:hint="eastAsia" w:ascii="仿宋" w:hAnsi="仿宋" w:eastAsia="仿宋"/>
          <w:color w:val="000000"/>
          <w:sz w:val="32"/>
          <w:szCs w:val="32"/>
        </w:rPr>
        <w:t>停止给药进行管理。对于腹泻、皮肤不良反应可首先进行对症治疗并密切观察。一些持续存在的2级不良反应也可能需要多次暂停用药和/或</w:t>
      </w:r>
      <w:r w:rsidRPr="003C684F" w:rsidR="00DF7B96">
        <w:rPr>
          <w:rFonts w:hint="eastAsia" w:ascii="仿宋" w:hAnsi="仿宋" w:eastAsia="仿宋"/>
          <w:color w:val="000000"/>
          <w:sz w:val="32"/>
          <w:szCs w:val="32"/>
        </w:rPr>
        <w:t>降低剂量</w:t>
      </w:r>
      <w:r w:rsidRPr="003C684F" w:rsidR="00A315B9">
        <w:rPr>
          <w:rFonts w:hint="eastAsia" w:ascii="仿宋" w:hAnsi="仿宋" w:eastAsia="仿宋"/>
          <w:color w:val="000000"/>
          <w:sz w:val="32"/>
          <w:szCs w:val="32"/>
        </w:rPr>
        <w:t>。如暂停给药后受试者仍有临床不可控制（即临床治疗或观察≤14天后仍存在，出现≥两次）的不良事件，则在暂停后恢复用药时应减少一个水平的剂量，吡咯替尼允许下调最低剂量为240mg。</w:t>
      </w:r>
    </w:p>
    <w:p w:rsidRPr="003C684F" w:rsidR="009730C1" w:rsidRDefault="00C739DA" w14:paraId="41FA1C8B" w14:textId="2304D71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w:t>
      </w:r>
      <w:r w:rsidRPr="003C684F" w:rsidR="00A315B9">
        <w:rPr>
          <w:rFonts w:hint="eastAsia" w:ascii="仿宋" w:hAnsi="仿宋" w:eastAsia="仿宋"/>
          <w:color w:val="000000"/>
          <w:sz w:val="32"/>
          <w:szCs w:val="32"/>
        </w:rPr>
        <w:t>.如</w:t>
      </w:r>
      <w:r w:rsidRPr="003C684F" w:rsidR="00C3674D">
        <w:rPr>
          <w:rFonts w:hint="eastAsia" w:ascii="仿宋" w:hAnsi="仿宋" w:eastAsia="仿宋"/>
          <w:color w:val="000000"/>
          <w:sz w:val="32"/>
          <w:szCs w:val="32"/>
        </w:rPr>
        <w:t>联合</w:t>
      </w:r>
      <w:r w:rsidRPr="003C684F" w:rsidR="00A315B9">
        <w:rPr>
          <w:rFonts w:hint="eastAsia" w:ascii="仿宋" w:hAnsi="仿宋" w:eastAsia="仿宋"/>
          <w:color w:val="000000"/>
          <w:sz w:val="32"/>
          <w:szCs w:val="32"/>
        </w:rPr>
        <w:t>使用CYP3A4</w:t>
      </w:r>
      <w:r w:rsidRPr="003C684F" w:rsidR="00CF73A8">
        <w:rPr>
          <w:rFonts w:hint="eastAsia" w:ascii="仿宋" w:hAnsi="仿宋" w:eastAsia="仿宋"/>
          <w:color w:val="000000"/>
          <w:sz w:val="32"/>
          <w:szCs w:val="32"/>
        </w:rPr>
        <w:t>强效诱导剂或抑制剂</w:t>
      </w:r>
      <w:r w:rsidRPr="003C684F" w:rsidR="00A315B9">
        <w:rPr>
          <w:rFonts w:hint="eastAsia" w:ascii="仿宋" w:hAnsi="仿宋" w:eastAsia="仿宋"/>
          <w:color w:val="000000"/>
          <w:sz w:val="32"/>
          <w:szCs w:val="32"/>
        </w:rPr>
        <w:t>，应密切监测，结合临床观察考虑是否进行剂量调整。</w:t>
      </w:r>
    </w:p>
    <w:p w:rsidRPr="003C684F" w:rsidR="009730C1" w:rsidRDefault="00C739DA" w14:paraId="3325DAA3"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w:t>
      </w:r>
      <w:r w:rsidRPr="003C684F" w:rsidR="00A315B9">
        <w:rPr>
          <w:rFonts w:hint="eastAsia" w:ascii="仿宋" w:hAnsi="仿宋" w:eastAsia="仿宋"/>
          <w:color w:val="000000"/>
          <w:sz w:val="32"/>
          <w:szCs w:val="32"/>
        </w:rPr>
        <w:t>.吡咯替尼主要经肝脏代谢，中重度肝功能损伤的患者不推荐使用。肾功能损伤对吡咯替尼暴露影响非常有限，肾功能损伤患者仍应在医师指导下谨慎使用吡咯替尼。</w:t>
      </w:r>
    </w:p>
    <w:p w:rsidRPr="003C684F" w:rsidR="009730C1" w:rsidRDefault="00C739DA" w14:paraId="4E416665"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w:t>
      </w:r>
      <w:r w:rsidRPr="003C684F" w:rsidR="00A315B9">
        <w:rPr>
          <w:rFonts w:ascii="仿宋" w:hAnsi="仿宋" w:eastAsia="仿宋"/>
          <w:color w:val="000000"/>
          <w:sz w:val="32"/>
          <w:szCs w:val="32"/>
        </w:rPr>
        <w:t>.</w:t>
      </w:r>
      <w:r w:rsidRPr="003C684F" w:rsidR="00A315B9">
        <w:rPr>
          <w:rFonts w:hint="eastAsia" w:ascii="仿宋" w:hAnsi="仿宋" w:eastAsia="仿宋"/>
          <w:color w:val="000000"/>
          <w:sz w:val="32"/>
          <w:szCs w:val="32"/>
        </w:rPr>
        <w:t>腹泻是临床试验中观察到的最常见的不良反应。治疗期间患者应关注排便性状和频率的变化，发现大便不成形后，尽早开始抗腹泻治疗，可选用洛哌丁胺或蒙脱石散。如出现持续的</w:t>
      </w:r>
      <w:r w:rsidRPr="003C684F" w:rsidR="00A315B9">
        <w:rPr>
          <w:rFonts w:ascii="仿宋" w:hAnsi="仿宋" w:eastAsia="仿宋"/>
          <w:color w:val="000000"/>
          <w:sz w:val="32"/>
          <w:szCs w:val="32"/>
        </w:rPr>
        <w:t>3</w:t>
      </w:r>
      <w:r w:rsidRPr="003C684F" w:rsidR="00A315B9">
        <w:rPr>
          <w:rFonts w:hint="eastAsia" w:ascii="仿宋" w:hAnsi="仿宋" w:eastAsia="仿宋"/>
          <w:color w:val="000000"/>
          <w:sz w:val="32"/>
          <w:szCs w:val="32"/>
        </w:rPr>
        <w:t>级腹泻、或</w:t>
      </w:r>
      <w:r w:rsidRPr="003C684F" w:rsidR="00A315B9">
        <w:rPr>
          <w:rFonts w:ascii="仿宋" w:hAnsi="仿宋" w:eastAsia="仿宋"/>
          <w:color w:val="000000"/>
          <w:sz w:val="32"/>
          <w:szCs w:val="32"/>
        </w:rPr>
        <w:t>1～2</w:t>
      </w:r>
      <w:r w:rsidRPr="003C684F" w:rsidR="00A315B9">
        <w:rPr>
          <w:rFonts w:hint="eastAsia" w:ascii="仿宋" w:hAnsi="仿宋" w:eastAsia="仿宋"/>
          <w:color w:val="000000"/>
          <w:sz w:val="32"/>
          <w:szCs w:val="32"/>
        </w:rPr>
        <w:t>级腹泻伴并发症（≥</w:t>
      </w:r>
      <w:r w:rsidRPr="003C684F" w:rsidR="00A315B9">
        <w:rPr>
          <w:rFonts w:ascii="仿宋" w:hAnsi="仿宋" w:eastAsia="仿宋"/>
          <w:color w:val="000000"/>
          <w:sz w:val="32"/>
          <w:szCs w:val="32"/>
        </w:rPr>
        <w:t>2</w:t>
      </w:r>
      <w:r w:rsidRPr="003C684F" w:rsidR="00A315B9">
        <w:rPr>
          <w:rFonts w:hint="eastAsia" w:ascii="仿宋" w:hAnsi="仿宋" w:eastAsia="仿宋"/>
          <w:color w:val="000000"/>
          <w:sz w:val="32"/>
          <w:szCs w:val="32"/>
        </w:rPr>
        <w:t>级的恶心、呕吐、发热、便血或脱水等）时，患者应立即联系医师并接受治疗上的指导，尽早开始对症治疗。发生腹泻后可根据剂</w:t>
      </w:r>
      <w:r w:rsidRPr="003C684F" w:rsidR="00A315B9">
        <w:rPr>
          <w:rFonts w:hint="eastAsia" w:ascii="仿宋" w:hAnsi="仿宋" w:eastAsia="仿宋"/>
          <w:color w:val="000000"/>
          <w:sz w:val="32"/>
          <w:szCs w:val="32"/>
        </w:rPr>
        <w:lastRenderedPageBreak/>
        <w:t>量调整指导原则进行处理。对于治疗期间频繁发生腹泻的患者，应警惕发生严重腹泻的可能。</w:t>
      </w:r>
    </w:p>
    <w:p w:rsidRPr="003C684F" w:rsidR="009730C1" w:rsidRDefault="00C739DA" w14:paraId="3E021FF6" w14:textId="5C291CC3">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A315B9">
        <w:rPr>
          <w:rFonts w:hint="eastAsia" w:ascii="仿宋" w:hAnsi="仿宋" w:eastAsia="仿宋"/>
          <w:color w:val="000000"/>
          <w:sz w:val="32"/>
          <w:szCs w:val="32"/>
        </w:rPr>
        <w:t>.尚</w:t>
      </w:r>
      <w:r w:rsidRPr="003C684F" w:rsidR="00EF2B22">
        <w:rPr>
          <w:rFonts w:hint="eastAsia" w:ascii="仿宋" w:hAnsi="仿宋" w:eastAsia="仿宋"/>
          <w:color w:val="000000"/>
          <w:sz w:val="32"/>
          <w:szCs w:val="32"/>
        </w:rPr>
        <w:t>未确定</w:t>
      </w:r>
      <w:r w:rsidRPr="003C684F" w:rsidR="00A315B9">
        <w:rPr>
          <w:rFonts w:hint="eastAsia" w:ascii="仿宋" w:hAnsi="仿宋" w:eastAsia="仿宋"/>
          <w:color w:val="000000"/>
          <w:sz w:val="32"/>
          <w:szCs w:val="32"/>
        </w:rPr>
        <w:t>吡咯替尼在18岁以下儿童和青少年患者的安全性和有效性。</w:t>
      </w:r>
    </w:p>
    <w:p w:rsidRPr="003C684F" w:rsidR="009730C1" w:rsidRDefault="00C739DA" w14:paraId="7290F017"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sidR="00A315B9">
        <w:rPr>
          <w:rFonts w:ascii="仿宋" w:hAnsi="仿宋" w:eastAsia="仿宋"/>
          <w:color w:val="000000"/>
          <w:sz w:val="32"/>
          <w:szCs w:val="32"/>
        </w:rPr>
        <w:t>.</w:t>
      </w:r>
      <w:r w:rsidRPr="003C684F" w:rsidR="00A315B9">
        <w:rPr>
          <w:rFonts w:hint="eastAsia" w:ascii="仿宋" w:hAnsi="仿宋" w:eastAsia="仿宋"/>
          <w:color w:val="000000"/>
          <w:sz w:val="32"/>
          <w:szCs w:val="32"/>
        </w:rPr>
        <w:t>Ⅲ期临床试验（PHOEBE）数据显示，吡咯替尼联合卡培他滨治疗既往接受过曲妥珠单抗治疗失败，同时接受过蒽环类或紫杉类化疗的HER2阳性转移性乳腺癌患者，对比拉帕替尼联合卡培他滨可显著延长中位无进展生存期（1</w:t>
      </w:r>
      <w:r w:rsidRPr="003C684F" w:rsidR="00A315B9">
        <w:rPr>
          <w:rFonts w:ascii="仿宋" w:hAnsi="仿宋" w:eastAsia="仿宋"/>
          <w:color w:val="000000"/>
          <w:sz w:val="32"/>
          <w:szCs w:val="32"/>
        </w:rPr>
        <w:t>2</w:t>
      </w:r>
      <w:r w:rsidRPr="003C684F" w:rsidR="00A315B9">
        <w:rPr>
          <w:rFonts w:hint="eastAsia" w:ascii="仿宋" w:hAnsi="仿宋" w:eastAsia="仿宋"/>
          <w:color w:val="000000"/>
          <w:sz w:val="32"/>
          <w:szCs w:val="32"/>
        </w:rPr>
        <w:t>.</w:t>
      </w:r>
      <w:r w:rsidRPr="003C684F" w:rsidR="00A315B9">
        <w:rPr>
          <w:rFonts w:ascii="仿宋" w:hAnsi="仿宋" w:eastAsia="仿宋"/>
          <w:color w:val="000000"/>
          <w:sz w:val="32"/>
          <w:szCs w:val="32"/>
        </w:rPr>
        <w:t>5</w:t>
      </w:r>
      <w:r w:rsidRPr="003C684F" w:rsidR="00A315B9">
        <w:rPr>
          <w:rFonts w:hint="eastAsia" w:ascii="仿宋" w:hAnsi="仿宋" w:eastAsia="仿宋"/>
          <w:color w:val="000000"/>
          <w:sz w:val="32"/>
          <w:szCs w:val="32"/>
        </w:rPr>
        <w:t>个月</w:t>
      </w:r>
      <w:r w:rsidRPr="003C684F" w:rsidR="00A315B9">
        <w:rPr>
          <w:rFonts w:ascii="仿宋" w:hAnsi="仿宋" w:eastAsia="仿宋"/>
          <w:i/>
          <w:iCs/>
          <w:color w:val="000000"/>
          <w:sz w:val="32"/>
          <w:szCs w:val="32"/>
        </w:rPr>
        <w:t>vs</w:t>
      </w:r>
      <w:r w:rsidRPr="003C684F" w:rsidR="00A315B9">
        <w:rPr>
          <w:rFonts w:ascii="仿宋" w:hAnsi="仿宋" w:eastAsia="仿宋"/>
          <w:color w:val="000000"/>
          <w:sz w:val="32"/>
          <w:szCs w:val="32"/>
        </w:rPr>
        <w:t>6.8</w:t>
      </w:r>
      <w:r w:rsidRPr="003C684F" w:rsidR="00A315B9">
        <w:rPr>
          <w:rFonts w:hint="eastAsia" w:ascii="仿宋" w:hAnsi="仿宋" w:eastAsia="仿宋"/>
          <w:color w:val="000000"/>
          <w:sz w:val="32"/>
          <w:szCs w:val="32"/>
        </w:rPr>
        <w:t>个月，HR</w:t>
      </w:r>
      <w:r w:rsidRPr="003C684F" w:rsidR="00A315B9">
        <w:rPr>
          <w:rFonts w:ascii="仿宋" w:hAnsi="仿宋" w:eastAsia="仿宋"/>
          <w:color w:val="000000"/>
          <w:sz w:val="32"/>
          <w:szCs w:val="32"/>
        </w:rPr>
        <w:t>＝0.39，</w:t>
      </w:r>
      <w:r w:rsidRPr="003C684F" w:rsidR="00A315B9">
        <w:rPr>
          <w:rFonts w:hint="eastAsia" w:ascii="仿宋" w:hAnsi="仿宋" w:eastAsia="仿宋"/>
          <w:i/>
          <w:iCs/>
          <w:color w:val="000000"/>
          <w:sz w:val="32"/>
          <w:szCs w:val="32"/>
        </w:rPr>
        <w:t>p</w:t>
      </w:r>
      <w:r w:rsidRPr="003C684F" w:rsidR="00A315B9">
        <w:rPr>
          <w:rFonts w:hint="eastAsia" w:ascii="仿宋" w:hAnsi="仿宋" w:eastAsia="仿宋"/>
          <w:color w:val="000000"/>
          <w:sz w:val="32"/>
          <w:szCs w:val="32"/>
        </w:rPr>
        <w:t>＜</w:t>
      </w:r>
      <w:r w:rsidRPr="003C684F" w:rsidR="00A315B9">
        <w:rPr>
          <w:rFonts w:ascii="仿宋" w:hAnsi="仿宋" w:eastAsia="仿宋"/>
          <w:color w:val="000000"/>
          <w:sz w:val="32"/>
          <w:szCs w:val="32"/>
        </w:rPr>
        <w:t>0.0001</w:t>
      </w:r>
      <w:r w:rsidRPr="003C684F" w:rsidR="00A315B9">
        <w:rPr>
          <w:rFonts w:hint="eastAsia" w:ascii="仿宋" w:hAnsi="仿宋" w:eastAsia="仿宋"/>
          <w:color w:val="000000"/>
          <w:sz w:val="32"/>
          <w:szCs w:val="32"/>
        </w:rPr>
        <w:t>）。</w:t>
      </w:r>
    </w:p>
    <w:p w:rsidRPr="003C684F" w:rsidR="009730C1" w:rsidRDefault="00C739DA" w14:paraId="3D578663"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10</w:t>
      </w:r>
      <w:r w:rsidRPr="003C684F" w:rsidR="00A315B9">
        <w:rPr>
          <w:rFonts w:hint="eastAsia" w:ascii="仿宋" w:hAnsi="仿宋" w:eastAsia="仿宋"/>
          <w:color w:val="000000"/>
          <w:sz w:val="32"/>
          <w:szCs w:val="32"/>
        </w:rPr>
        <w:t>.吡咯替尼Ⅲ期临床试验（PHEDRA）数据显示，吡咯替尼联合曲妥珠单抗和多西他赛，较安慰剂联合曲妥珠单抗和多西他赛，显著提高早期患者的病理完全缓解率（41%</w:t>
      </w:r>
      <w:r w:rsidRPr="003C684F" w:rsidR="00A315B9">
        <w:rPr>
          <w:rFonts w:ascii="仿宋" w:hAnsi="仿宋" w:eastAsia="仿宋"/>
          <w:i/>
          <w:iCs/>
          <w:color w:val="000000"/>
          <w:sz w:val="32"/>
          <w:szCs w:val="32"/>
        </w:rPr>
        <w:t>vs</w:t>
      </w:r>
      <w:r w:rsidRPr="003C684F" w:rsidR="00A315B9">
        <w:rPr>
          <w:rFonts w:hint="eastAsia" w:ascii="仿宋" w:hAnsi="仿宋" w:eastAsia="仿宋"/>
          <w:iCs/>
          <w:color w:val="000000"/>
          <w:sz w:val="32"/>
          <w:szCs w:val="32"/>
        </w:rPr>
        <w:t>22%，</w:t>
      </w:r>
      <w:r w:rsidRPr="003C684F" w:rsidR="00A315B9">
        <w:rPr>
          <w:rFonts w:hint="eastAsia" w:ascii="仿宋" w:hAnsi="仿宋" w:eastAsia="仿宋"/>
          <w:i/>
          <w:iCs/>
          <w:color w:val="000000"/>
          <w:sz w:val="32"/>
          <w:szCs w:val="32"/>
        </w:rPr>
        <w:t>p</w:t>
      </w:r>
      <w:r w:rsidRPr="003C684F" w:rsidR="00A315B9">
        <w:rPr>
          <w:rFonts w:hint="eastAsia" w:ascii="仿宋" w:hAnsi="仿宋" w:eastAsia="仿宋"/>
          <w:color w:val="000000"/>
          <w:sz w:val="32"/>
          <w:szCs w:val="32"/>
        </w:rPr>
        <w:t>＜</w:t>
      </w:r>
      <w:r w:rsidRPr="003C684F" w:rsidR="00A315B9">
        <w:rPr>
          <w:rFonts w:ascii="仿宋" w:hAnsi="仿宋" w:eastAsia="仿宋"/>
          <w:color w:val="000000"/>
          <w:sz w:val="32"/>
          <w:szCs w:val="32"/>
        </w:rPr>
        <w:t>0.0001</w:t>
      </w:r>
      <w:r w:rsidRPr="003C684F" w:rsidR="00A315B9">
        <w:rPr>
          <w:rFonts w:hint="eastAsia" w:ascii="仿宋" w:hAnsi="仿宋" w:eastAsia="仿宋"/>
          <w:color w:val="000000"/>
          <w:sz w:val="32"/>
          <w:szCs w:val="32"/>
        </w:rPr>
        <w:t>）。</w:t>
      </w:r>
    </w:p>
    <w:p w:rsidRPr="003C684F" w:rsidR="009730C1" w:rsidP="0037660B" w:rsidRDefault="00A315B9" w14:paraId="61CB4A52"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t>七、奈拉替尼 Neratinib</w:t>
      </w:r>
    </w:p>
    <w:p w:rsidRPr="003C684F" w:rsidR="009730C1" w:rsidRDefault="00A315B9" w14:paraId="4EEF1B2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仿宋"/>
          <w:sz w:val="32"/>
          <w:szCs w:val="32"/>
        </w:rPr>
        <w:t>片剂：40</w:t>
      </w:r>
      <w:r w:rsidRPr="003C684F">
        <w:rPr>
          <w:rFonts w:ascii="仿宋" w:hAnsi="仿宋" w:eastAsia="仿宋" w:cs="仿宋"/>
          <w:sz w:val="32"/>
          <w:szCs w:val="32"/>
        </w:rPr>
        <w:t>mg</w:t>
      </w:r>
    </w:p>
    <w:p w:rsidRPr="003C684F" w:rsidR="009730C1" w:rsidRDefault="00A315B9" w14:paraId="45F0BE0B"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黑体"/>
          <w:b/>
          <w:sz w:val="32"/>
          <w:szCs w:val="32"/>
        </w:rPr>
        <w:t>适应证：</w:t>
      </w:r>
      <w:r w:rsidRPr="003C684F">
        <w:rPr>
          <w:rFonts w:ascii="仿宋" w:hAnsi="仿宋" w:eastAsia="仿宋" w:cs="Times New Roman"/>
          <w:sz w:val="32"/>
          <w:szCs w:val="32"/>
        </w:rPr>
        <w:t>适用于HER2</w:t>
      </w:r>
      <w:r w:rsidRPr="003C684F">
        <w:rPr>
          <w:rFonts w:hint="eastAsia" w:ascii="仿宋" w:hAnsi="仿宋" w:eastAsia="仿宋" w:cs="Times New Roman"/>
          <w:sz w:val="32"/>
          <w:szCs w:val="32"/>
        </w:rPr>
        <w:t>阳性</w:t>
      </w:r>
      <w:r w:rsidRPr="003C684F">
        <w:rPr>
          <w:rFonts w:ascii="仿宋" w:hAnsi="仿宋" w:eastAsia="仿宋" w:cs="Times New Roman"/>
          <w:sz w:val="32"/>
          <w:szCs w:val="32"/>
        </w:rPr>
        <w:t>的早期乳腺癌成年患者</w:t>
      </w:r>
      <w:r w:rsidRPr="003C684F">
        <w:rPr>
          <w:rFonts w:hint="eastAsia" w:ascii="仿宋" w:hAnsi="仿宋" w:eastAsia="仿宋" w:cs="Times New Roman"/>
          <w:sz w:val="32"/>
          <w:szCs w:val="32"/>
        </w:rPr>
        <w:t>，</w:t>
      </w:r>
      <w:r w:rsidRPr="003C684F">
        <w:rPr>
          <w:rFonts w:ascii="仿宋" w:hAnsi="仿宋" w:eastAsia="仿宋" w:cs="Times New Roman"/>
          <w:sz w:val="32"/>
          <w:szCs w:val="32"/>
        </w:rPr>
        <w:t>在接受含曲妥珠单抗辅助治疗之后的</w:t>
      </w:r>
      <w:r w:rsidRPr="003C684F">
        <w:rPr>
          <w:rFonts w:hint="eastAsia" w:ascii="仿宋" w:hAnsi="仿宋" w:eastAsia="仿宋" w:cs="Times New Roman"/>
          <w:sz w:val="32"/>
          <w:szCs w:val="32"/>
        </w:rPr>
        <w:t>强化</w:t>
      </w:r>
      <w:r w:rsidRPr="003C684F">
        <w:rPr>
          <w:rFonts w:ascii="仿宋" w:hAnsi="仿宋" w:eastAsia="仿宋" w:cs="Times New Roman"/>
          <w:sz w:val="32"/>
          <w:szCs w:val="32"/>
        </w:rPr>
        <w:t>辅助治疗。</w:t>
      </w:r>
    </w:p>
    <w:p w:rsidRPr="003C684F" w:rsidR="009730C1" w:rsidRDefault="00A315B9" w14:paraId="3FB78BE8" w14:textId="77777777">
      <w:pPr>
        <w:spacing w:line="360" w:lineRule="auto"/>
        <w:ind w:firstLine="643" w:firstLineChars="200"/>
        <w:rPr>
          <w:rFonts w:ascii="仿宋" w:hAnsi="仿宋" w:eastAsia="仿宋" w:cs="仿宋"/>
          <w:b/>
          <w:sz w:val="32"/>
          <w:szCs w:val="32"/>
        </w:rPr>
      </w:pPr>
      <w:r w:rsidRPr="003C684F">
        <w:rPr>
          <w:rFonts w:hint="eastAsia" w:ascii="仿宋" w:hAnsi="仿宋" w:eastAsia="仿宋" w:cs="黑体"/>
          <w:b/>
          <w:sz w:val="32"/>
          <w:szCs w:val="32"/>
        </w:rPr>
        <w:t>合理用药要点：</w:t>
      </w:r>
    </w:p>
    <w:p w:rsidRPr="003C684F" w:rsidR="009730C1" w:rsidRDefault="00A315B9" w14:paraId="7F7F09EF"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1.</w:t>
      </w:r>
      <w:r w:rsidRPr="003C684F">
        <w:rPr>
          <w:rFonts w:hint="eastAsia" w:ascii="仿宋" w:hAnsi="仿宋" w:eastAsia="仿宋" w:cs="Times New Roman"/>
          <w:sz w:val="32"/>
          <w:szCs w:val="32"/>
        </w:rPr>
        <w:t>考虑使用本药的患者需进行HER2检测，HER2阳性患者方可应用奈拉替尼进行治疗。</w:t>
      </w:r>
    </w:p>
    <w:p w:rsidRPr="003C684F" w:rsidR="009730C1" w:rsidRDefault="00A315B9" w14:paraId="47AD210A" w14:textId="48BCB3C6">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2.奈拉替尼</w:t>
      </w:r>
      <w:r w:rsidRPr="003C684F">
        <w:rPr>
          <w:rFonts w:ascii="仿宋" w:hAnsi="仿宋" w:eastAsia="仿宋" w:cs="Times New Roman"/>
          <w:sz w:val="32"/>
          <w:szCs w:val="32"/>
        </w:rPr>
        <w:t>的推荐剂量为240mg</w:t>
      </w:r>
      <w:r w:rsidRPr="003C684F" w:rsidR="006577A4">
        <w:rPr>
          <w:rFonts w:hint="eastAsia" w:ascii="仿宋" w:hAnsi="仿宋" w:eastAsia="仿宋" w:cs="Times New Roman"/>
          <w:sz w:val="32"/>
          <w:szCs w:val="32"/>
        </w:rPr>
        <w:t>/次</w:t>
      </w:r>
      <w:r w:rsidRPr="003C684F">
        <w:rPr>
          <w:rFonts w:ascii="仿宋" w:hAnsi="仿宋" w:eastAsia="仿宋" w:cs="Times New Roman"/>
          <w:sz w:val="32"/>
          <w:szCs w:val="32"/>
        </w:rPr>
        <w:t>，每天一次，随餐</w:t>
      </w:r>
      <w:r w:rsidRPr="003C684F" w:rsidR="006577A4">
        <w:rPr>
          <w:rFonts w:hint="eastAsia" w:ascii="仿宋" w:hAnsi="仿宋" w:eastAsia="仿宋" w:cs="Times New Roman"/>
          <w:sz w:val="32"/>
          <w:szCs w:val="32"/>
        </w:rPr>
        <w:t>口服</w:t>
      </w:r>
      <w:r w:rsidRPr="003C684F">
        <w:rPr>
          <w:rFonts w:ascii="仿宋" w:hAnsi="仿宋" w:eastAsia="仿宋" w:cs="Times New Roman"/>
          <w:sz w:val="32"/>
          <w:szCs w:val="32"/>
        </w:rPr>
        <w:t>，连续用药一年。</w:t>
      </w:r>
      <w:r w:rsidRPr="003C684F">
        <w:rPr>
          <w:rFonts w:hint="eastAsia" w:ascii="仿宋" w:hAnsi="仿宋" w:eastAsia="仿宋" w:cs="Times New Roman"/>
          <w:sz w:val="32"/>
          <w:szCs w:val="32"/>
        </w:rPr>
        <w:t>指导患者在每天大致同一时间服用奈拉</w:t>
      </w:r>
      <w:r w:rsidRPr="003C684F">
        <w:rPr>
          <w:rFonts w:hint="eastAsia" w:ascii="仿宋" w:hAnsi="仿宋" w:eastAsia="仿宋" w:cs="Times New Roman"/>
          <w:sz w:val="32"/>
          <w:szCs w:val="32"/>
        </w:rPr>
        <w:lastRenderedPageBreak/>
        <w:t>替尼，</w:t>
      </w:r>
      <w:r w:rsidRPr="003C684F">
        <w:rPr>
          <w:rFonts w:ascii="仿宋" w:hAnsi="仿宋" w:eastAsia="仿宋" w:cs="Times New Roman"/>
          <w:sz w:val="32"/>
          <w:szCs w:val="32"/>
        </w:rPr>
        <w:t>应整片吞服</w:t>
      </w:r>
      <w:r w:rsidRPr="003C684F">
        <w:rPr>
          <w:rFonts w:hint="eastAsia" w:ascii="仿宋" w:hAnsi="仿宋" w:eastAsia="仿宋" w:cs="Times New Roman"/>
          <w:sz w:val="32"/>
          <w:szCs w:val="32"/>
        </w:rPr>
        <w:t>奈拉替尼</w:t>
      </w:r>
      <w:r w:rsidRPr="003C684F" w:rsidR="00584CC8">
        <w:rPr>
          <w:rFonts w:hint="eastAsia" w:ascii="仿宋" w:hAnsi="仿宋" w:eastAsia="仿宋" w:cs="Times New Roman"/>
          <w:sz w:val="32"/>
          <w:szCs w:val="32"/>
        </w:rPr>
        <w:t>，不应咀嚼、压碎、溶解或掰断药片。</w:t>
      </w:r>
      <w:r w:rsidRPr="003C684F">
        <w:rPr>
          <w:rFonts w:hint="eastAsia" w:ascii="仿宋" w:hAnsi="仿宋" w:eastAsia="仿宋" w:cs="Times New Roman"/>
          <w:sz w:val="32"/>
          <w:szCs w:val="32"/>
        </w:rPr>
        <w:t>如果患者漏服，不得补服漏服的剂量，应指导患者按每天剂量于次日重新服用奈拉替尼</w:t>
      </w:r>
      <w:r w:rsidRPr="003C684F">
        <w:rPr>
          <w:rFonts w:ascii="仿宋" w:hAnsi="仿宋" w:eastAsia="仿宋" w:cs="Times New Roman"/>
          <w:sz w:val="32"/>
          <w:szCs w:val="32"/>
        </w:rPr>
        <w:t>。</w:t>
      </w:r>
    </w:p>
    <w:p w:rsidRPr="003C684F" w:rsidR="009730C1" w:rsidRDefault="00A315B9" w14:paraId="57D9695A"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Times New Roman"/>
          <w:sz w:val="32"/>
          <w:szCs w:val="32"/>
        </w:rPr>
        <w:t>3.主要不良反应为腹泻。预防性使用止泻药、饮食改变以及适当调整奈拉替尼剂量可降低腹泻发生率和腹泻的严重程度。指导患者于第1剂奈拉替尼给药时即开始预防性服用止泻药洛哌丁胺，持续用药2个周期（56天）。洛哌丁胺的预防性用药方案如下表：</w:t>
      </w:r>
    </w:p>
    <w:p w:rsidRPr="003C684F" w:rsidR="009730C1" w:rsidRDefault="00A315B9" w14:paraId="4AAB910A" w14:textId="2E8409CB">
      <w:pPr>
        <w:spacing w:line="360" w:lineRule="auto"/>
        <w:ind w:firstLine="422" w:firstLineChars="200"/>
        <w:jc w:val="center"/>
        <w:rPr>
          <w:rFonts w:ascii="仿宋" w:hAnsi="仿宋" w:eastAsia="仿宋" w:cs="Times New Roman"/>
          <w:b/>
        </w:rPr>
      </w:pPr>
      <w:r w:rsidRPr="003C684F">
        <w:rPr>
          <w:rFonts w:hint="eastAsia" w:ascii="仿宋" w:hAnsi="仿宋" w:eastAsia="仿宋" w:cs="Times New Roman"/>
          <w:b/>
        </w:rPr>
        <w:t>表1</w:t>
      </w:r>
      <w:r w:rsidRPr="003C684F" w:rsidR="001B6FD3">
        <w:rPr>
          <w:rFonts w:hint="eastAsia" w:ascii="仿宋" w:hAnsi="仿宋" w:eastAsia="仿宋" w:cs="Times New Roman"/>
          <w:b/>
        </w:rPr>
        <w:t>4</w:t>
      </w:r>
      <w:r w:rsidRPr="003C684F">
        <w:rPr>
          <w:rFonts w:hint="eastAsia" w:ascii="仿宋" w:hAnsi="仿宋" w:eastAsia="仿宋" w:cs="Times New Roman"/>
          <w:b/>
        </w:rPr>
        <w:t xml:space="preserve">　洛哌丁胺预防性用药方案</w:t>
      </w:r>
    </w:p>
    <w:tbl>
      <w:tblPr>
        <w:tblStyle w:val="ac"/>
        <w:tblW w:w="0" w:type="auto"/>
        <w:tblInd w:w="108" w:type="dxa"/>
        <w:tblLook w:val="04A0" w:firstRow="1" w:lastRow="0" w:firstColumn="1" w:lastColumn="0" w:noHBand="0" w:noVBand="1"/>
      </w:tblPr>
      <w:tblGrid>
        <w:gridCol w:w="4040"/>
        <w:gridCol w:w="4324"/>
      </w:tblGrid>
      <w:tr w:rsidRPr="003C684F" w:rsidR="009730C1" w14:paraId="34829779" w14:textId="77777777">
        <w:tc>
          <w:tcPr>
            <w:tcW w:w="4040" w:type="dxa"/>
          </w:tcPr>
          <w:p w:rsidRPr="003C684F" w:rsidR="009730C1" w:rsidRDefault="00A315B9" w14:paraId="32E80353" w14:textId="77777777">
            <w:pPr>
              <w:spacing w:line="360" w:lineRule="auto"/>
              <w:rPr>
                <w:rFonts w:ascii="仿宋" w:hAnsi="仿宋" w:eastAsia="仿宋" w:cs="Times New Roman"/>
                <w:b/>
                <w:kern w:val="0"/>
                <w:sz w:val="20"/>
              </w:rPr>
            </w:pPr>
            <w:r w:rsidRPr="003C684F">
              <w:rPr>
                <w:rFonts w:hint="eastAsia" w:ascii="仿宋" w:hAnsi="仿宋" w:eastAsia="仿宋" w:cs="Times New Roman"/>
                <w:b/>
                <w:kern w:val="0"/>
                <w:sz w:val="20"/>
              </w:rPr>
              <w:t>奈拉替尼用药时间</w:t>
            </w:r>
          </w:p>
        </w:tc>
        <w:tc>
          <w:tcPr>
            <w:tcW w:w="4324" w:type="dxa"/>
          </w:tcPr>
          <w:p w:rsidRPr="003C684F" w:rsidR="009730C1" w:rsidRDefault="00A315B9" w14:paraId="09D46710" w14:textId="77777777">
            <w:pPr>
              <w:spacing w:line="360" w:lineRule="auto"/>
              <w:rPr>
                <w:rFonts w:ascii="仿宋" w:hAnsi="仿宋" w:eastAsia="仿宋" w:cs="Times New Roman"/>
                <w:b/>
                <w:kern w:val="0"/>
                <w:sz w:val="20"/>
              </w:rPr>
            </w:pPr>
            <w:r w:rsidRPr="003C684F">
              <w:rPr>
                <w:rFonts w:hint="eastAsia" w:ascii="仿宋" w:hAnsi="仿宋" w:eastAsia="仿宋" w:cs="Times New Roman"/>
                <w:b/>
                <w:kern w:val="0"/>
                <w:sz w:val="20"/>
              </w:rPr>
              <w:t>洛哌丁胺剂量和服药频率</w:t>
            </w:r>
          </w:p>
        </w:tc>
      </w:tr>
      <w:tr w:rsidRPr="003C684F" w:rsidR="009730C1" w14:paraId="2161D4F5" w14:textId="77777777">
        <w:tc>
          <w:tcPr>
            <w:tcW w:w="4040" w:type="dxa"/>
          </w:tcPr>
          <w:p w:rsidRPr="003C684F" w:rsidR="009730C1" w:rsidRDefault="00A315B9" w14:paraId="10F9BB73" w14:textId="77777777">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第1～2周（第1～14天）</w:t>
            </w:r>
          </w:p>
        </w:tc>
        <w:tc>
          <w:tcPr>
            <w:tcW w:w="4324" w:type="dxa"/>
          </w:tcPr>
          <w:p w:rsidRPr="003C684F" w:rsidR="009730C1" w:rsidRDefault="00A315B9" w14:paraId="5798F0FC" w14:textId="363AB796">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4mg</w:t>
            </w:r>
            <w:r w:rsidRPr="003C684F" w:rsidR="00565E5E">
              <w:rPr>
                <w:rFonts w:hint="eastAsia" w:ascii="仿宋" w:hAnsi="仿宋" w:eastAsia="仿宋" w:cs="Times New Roman"/>
                <w:kern w:val="0"/>
                <w:sz w:val="20"/>
              </w:rPr>
              <w:t>/次</w:t>
            </w:r>
            <w:r w:rsidRPr="003C684F">
              <w:rPr>
                <w:rFonts w:hint="eastAsia" w:ascii="仿宋" w:hAnsi="仿宋" w:eastAsia="仿宋" w:cs="Times New Roman"/>
                <w:kern w:val="0"/>
                <w:sz w:val="20"/>
              </w:rPr>
              <w:t>，每天三次</w:t>
            </w:r>
          </w:p>
        </w:tc>
      </w:tr>
      <w:tr w:rsidRPr="003C684F" w:rsidR="009730C1" w14:paraId="1F403B04" w14:textId="77777777">
        <w:tc>
          <w:tcPr>
            <w:tcW w:w="4040" w:type="dxa"/>
          </w:tcPr>
          <w:p w:rsidRPr="003C684F" w:rsidR="009730C1" w:rsidRDefault="00A315B9" w14:paraId="41337393" w14:textId="77777777">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第3～4周（第15～28天）</w:t>
            </w:r>
          </w:p>
        </w:tc>
        <w:tc>
          <w:tcPr>
            <w:tcW w:w="4324" w:type="dxa"/>
          </w:tcPr>
          <w:p w:rsidRPr="003C684F" w:rsidR="009730C1" w:rsidRDefault="00A315B9" w14:paraId="6DE5AD8F" w14:textId="286E4627">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4mg</w:t>
            </w:r>
            <w:r w:rsidRPr="003C684F" w:rsidR="00565E5E">
              <w:rPr>
                <w:rFonts w:hint="eastAsia" w:ascii="仿宋" w:hAnsi="仿宋" w:eastAsia="仿宋" w:cs="Times New Roman"/>
                <w:kern w:val="0"/>
                <w:sz w:val="20"/>
              </w:rPr>
              <w:t>/次</w:t>
            </w:r>
            <w:r w:rsidRPr="003C684F">
              <w:rPr>
                <w:rFonts w:hint="eastAsia" w:ascii="仿宋" w:hAnsi="仿宋" w:eastAsia="仿宋" w:cs="Times New Roman"/>
                <w:kern w:val="0"/>
                <w:sz w:val="20"/>
              </w:rPr>
              <w:t>，每天两次</w:t>
            </w:r>
          </w:p>
        </w:tc>
      </w:tr>
      <w:tr w:rsidRPr="003C684F" w:rsidR="009730C1" w14:paraId="7B25C067" w14:textId="77777777">
        <w:tc>
          <w:tcPr>
            <w:tcW w:w="4040" w:type="dxa"/>
          </w:tcPr>
          <w:p w:rsidRPr="003C684F" w:rsidR="009730C1" w:rsidRDefault="00A315B9" w14:paraId="7E24C9DD" w14:textId="77777777">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第5～8周（第29～56天）</w:t>
            </w:r>
          </w:p>
        </w:tc>
        <w:tc>
          <w:tcPr>
            <w:tcW w:w="4324" w:type="dxa"/>
          </w:tcPr>
          <w:p w:rsidRPr="003C684F" w:rsidR="009730C1" w:rsidRDefault="00A315B9" w14:paraId="64611314" w14:textId="160306E1">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4mg</w:t>
            </w:r>
            <w:r w:rsidRPr="003C684F" w:rsidR="00565E5E">
              <w:rPr>
                <w:rFonts w:hint="eastAsia" w:ascii="仿宋" w:hAnsi="仿宋" w:eastAsia="仿宋" w:cs="Times New Roman"/>
                <w:kern w:val="0"/>
                <w:sz w:val="20"/>
              </w:rPr>
              <w:t>/次</w:t>
            </w:r>
            <w:r w:rsidRPr="003C684F">
              <w:rPr>
                <w:rFonts w:hint="eastAsia" w:ascii="仿宋" w:hAnsi="仿宋" w:eastAsia="仿宋" w:cs="Times New Roman"/>
                <w:kern w:val="0"/>
                <w:sz w:val="20"/>
              </w:rPr>
              <w:t>，每天两次</w:t>
            </w:r>
          </w:p>
        </w:tc>
      </w:tr>
      <w:tr w:rsidRPr="003C684F" w:rsidR="009730C1" w14:paraId="637714C1" w14:textId="77777777">
        <w:tc>
          <w:tcPr>
            <w:tcW w:w="4040" w:type="dxa"/>
          </w:tcPr>
          <w:p w:rsidRPr="003C684F" w:rsidR="009730C1" w:rsidRDefault="00A315B9" w14:paraId="72531CF6" w14:textId="77777777">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第9～52周（第57～365天）</w:t>
            </w:r>
          </w:p>
        </w:tc>
        <w:tc>
          <w:tcPr>
            <w:tcW w:w="4324" w:type="dxa"/>
          </w:tcPr>
          <w:p w:rsidRPr="003C684F" w:rsidR="009730C1" w:rsidRDefault="00A315B9" w14:paraId="798AF8C8" w14:textId="60255C2C">
            <w:pPr>
              <w:spacing w:line="360" w:lineRule="auto"/>
              <w:jc w:val="left"/>
              <w:rPr>
                <w:rFonts w:ascii="仿宋" w:hAnsi="仿宋" w:eastAsia="仿宋" w:cs="Times New Roman"/>
                <w:kern w:val="0"/>
                <w:sz w:val="20"/>
              </w:rPr>
            </w:pPr>
            <w:r w:rsidRPr="003C684F">
              <w:rPr>
                <w:rFonts w:hint="eastAsia" w:ascii="仿宋" w:hAnsi="仿宋" w:eastAsia="仿宋" w:cs="Times New Roman"/>
                <w:kern w:val="0"/>
                <w:sz w:val="20"/>
              </w:rPr>
              <w:t>4mg</w:t>
            </w:r>
            <w:r w:rsidRPr="003C684F" w:rsidR="00565E5E">
              <w:rPr>
                <w:rFonts w:hint="eastAsia" w:ascii="仿宋" w:hAnsi="仿宋" w:eastAsia="仿宋" w:cs="Times New Roman"/>
                <w:kern w:val="0"/>
                <w:sz w:val="20"/>
              </w:rPr>
              <w:t>/次</w:t>
            </w:r>
            <w:r w:rsidRPr="003C684F">
              <w:rPr>
                <w:rFonts w:hint="eastAsia" w:ascii="仿宋" w:hAnsi="仿宋" w:eastAsia="仿宋" w:cs="Times New Roman"/>
                <w:kern w:val="0"/>
                <w:sz w:val="20"/>
              </w:rPr>
              <w:t>按需使用，不得超过16mg/d</w:t>
            </w:r>
          </w:p>
        </w:tc>
      </w:tr>
    </w:tbl>
    <w:p w:rsidRPr="003C684F" w:rsidR="009730C1" w:rsidRDefault="00A315B9" w14:paraId="6A6412F1" w14:textId="75F2DB3A">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根据临床需要，可以通过暂</w:t>
      </w:r>
      <w:r w:rsidRPr="003C684F" w:rsidR="00C56430">
        <w:rPr>
          <w:rFonts w:hint="eastAsia" w:ascii="仿宋" w:hAnsi="仿宋" w:eastAsia="仿宋" w:cs="仿宋"/>
          <w:sz w:val="32"/>
          <w:szCs w:val="32"/>
        </w:rPr>
        <w:t>停用药</w:t>
      </w:r>
      <w:r w:rsidRPr="003C684F">
        <w:rPr>
          <w:rFonts w:hint="eastAsia" w:ascii="仿宋" w:hAnsi="仿宋" w:eastAsia="仿宋" w:cs="仿宋"/>
          <w:sz w:val="32"/>
          <w:szCs w:val="32"/>
        </w:rPr>
        <w:t>或</w:t>
      </w:r>
      <w:r w:rsidRPr="003C684F" w:rsidR="00C56430">
        <w:rPr>
          <w:rFonts w:hint="eastAsia" w:ascii="仿宋" w:hAnsi="仿宋" w:eastAsia="仿宋" w:cs="仿宋"/>
          <w:sz w:val="32"/>
          <w:szCs w:val="32"/>
        </w:rPr>
        <w:t>降低</w:t>
      </w:r>
      <w:r w:rsidRPr="003C684F">
        <w:rPr>
          <w:rFonts w:hint="eastAsia" w:ascii="仿宋" w:hAnsi="仿宋" w:eastAsia="仿宋" w:cs="仿宋"/>
          <w:sz w:val="32"/>
          <w:szCs w:val="32"/>
        </w:rPr>
        <w:t>其用药剂量来控制腹泻，最低奈拉替尼服用剂量为120mg/d。</w:t>
      </w:r>
    </w:p>
    <w:p w:rsidRPr="003C684F" w:rsidR="009730C1" w:rsidRDefault="00A315B9" w14:paraId="1C3797CC"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Pr>
          <w:rFonts w:ascii="仿宋" w:hAnsi="仿宋" w:eastAsia="仿宋" w:cs="Times New Roman"/>
          <w:sz w:val="32"/>
          <w:szCs w:val="32"/>
        </w:rPr>
        <w:t>重度肝功能损伤患者中</w:t>
      </w:r>
      <w:r w:rsidRPr="003C684F">
        <w:rPr>
          <w:rFonts w:hint="eastAsia" w:ascii="仿宋" w:hAnsi="仿宋" w:eastAsia="仿宋" w:cs="Times New Roman"/>
          <w:sz w:val="32"/>
          <w:szCs w:val="32"/>
        </w:rPr>
        <w:t>奈拉替尼</w:t>
      </w:r>
      <w:r w:rsidRPr="003C684F">
        <w:rPr>
          <w:rFonts w:ascii="仿宋" w:hAnsi="仿宋" w:eastAsia="仿宋" w:cs="Times New Roman"/>
          <w:sz w:val="32"/>
          <w:szCs w:val="32"/>
        </w:rPr>
        <w:t>起始剂量降低至80mg。对于轻中度肝功能损伤患者，</w:t>
      </w:r>
      <w:r w:rsidRPr="003C684F">
        <w:rPr>
          <w:rFonts w:hint="eastAsia" w:ascii="仿宋" w:hAnsi="仿宋" w:eastAsia="仿宋" w:cs="Times New Roman"/>
          <w:sz w:val="32"/>
          <w:szCs w:val="32"/>
        </w:rPr>
        <w:t>不</w:t>
      </w:r>
      <w:r w:rsidRPr="003C684F">
        <w:rPr>
          <w:rFonts w:ascii="仿宋" w:hAnsi="仿宋" w:eastAsia="仿宋" w:cs="Times New Roman"/>
          <w:sz w:val="32"/>
          <w:szCs w:val="32"/>
        </w:rPr>
        <w:t>推荐剂量调整</w:t>
      </w:r>
      <w:r w:rsidRPr="003C684F">
        <w:rPr>
          <w:rFonts w:hint="eastAsia" w:ascii="仿宋" w:hAnsi="仿宋" w:eastAsia="仿宋" w:cs="Times New Roman"/>
          <w:sz w:val="32"/>
          <w:szCs w:val="32"/>
        </w:rPr>
        <w:t>。</w:t>
      </w:r>
    </w:p>
    <w:p w:rsidRPr="003C684F" w:rsidR="009730C1" w:rsidRDefault="00A315B9" w14:paraId="1BC72456" w14:textId="376AADD5">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5.药物相互作用：</w:t>
      </w:r>
      <w:r w:rsidRPr="00E04840">
        <w:rPr>
          <w:rFonts w:hint="eastAsia" w:ascii="仿宋" w:hAnsi="仿宋" w:eastAsia="仿宋" w:cs="仿宋"/>
          <w:sz w:val="32"/>
          <w:szCs w:val="32"/>
        </w:rPr>
        <w:t>（1）质子泵抑制剂（</w:t>
      </w:r>
      <w:r w:rsidRPr="00E04840">
        <w:rPr>
          <w:rFonts w:ascii="仿宋" w:hAnsi="仿宋" w:eastAsia="仿宋" w:cs="仿宋"/>
          <w:sz w:val="32"/>
          <w:szCs w:val="32"/>
        </w:rPr>
        <w:t>PPI</w:t>
      </w:r>
      <w:r w:rsidRPr="00E04840">
        <w:rPr>
          <w:rFonts w:hint="eastAsia" w:ascii="仿宋" w:hAnsi="仿宋" w:eastAsia="仿宋" w:cs="仿宋"/>
          <w:sz w:val="32"/>
          <w:szCs w:val="32"/>
        </w:rPr>
        <w:t>）：避免与奈拉替尼</w:t>
      </w:r>
      <w:r w:rsidRPr="00E04840" w:rsidR="00F92328">
        <w:rPr>
          <w:rFonts w:hint="eastAsia" w:ascii="仿宋" w:hAnsi="仿宋" w:eastAsia="仿宋" w:cs="仿宋"/>
          <w:sz w:val="32"/>
          <w:szCs w:val="32"/>
        </w:rPr>
        <w:t>联合使用</w:t>
      </w:r>
      <w:r w:rsidRPr="00E04840">
        <w:rPr>
          <w:rFonts w:hint="eastAsia" w:ascii="仿宋" w:hAnsi="仿宋" w:eastAsia="仿宋" w:cs="仿宋"/>
          <w:sz w:val="32"/>
          <w:szCs w:val="32"/>
        </w:rPr>
        <w:t>。（2）</w:t>
      </w:r>
      <w:r w:rsidRPr="00E04840">
        <w:rPr>
          <w:rFonts w:ascii="仿宋" w:hAnsi="仿宋" w:eastAsia="仿宋" w:cs="仿宋"/>
          <w:iCs/>
          <w:sz w:val="32"/>
          <w:szCs w:val="32"/>
        </w:rPr>
        <w:t>H</w:t>
      </w:r>
      <w:r w:rsidRPr="00E04840">
        <w:rPr>
          <w:rFonts w:ascii="仿宋" w:hAnsi="仿宋" w:eastAsia="仿宋" w:cs="仿宋"/>
          <w:iCs/>
          <w:sz w:val="32"/>
          <w:szCs w:val="32"/>
          <w:vertAlign w:val="subscript"/>
        </w:rPr>
        <w:t>2</w:t>
      </w:r>
      <w:r w:rsidRPr="00E04840">
        <w:rPr>
          <w:rFonts w:ascii="仿宋" w:hAnsi="仿宋" w:eastAsia="仿宋" w:cs="仿宋"/>
          <w:iCs/>
          <w:sz w:val="32"/>
          <w:szCs w:val="32"/>
        </w:rPr>
        <w:t>受体拮抗剂：</w:t>
      </w:r>
      <w:r w:rsidRPr="00E04840">
        <w:rPr>
          <w:rFonts w:hint="eastAsia" w:ascii="仿宋" w:hAnsi="仿宋" w:eastAsia="仿宋" w:cs="仿宋"/>
          <w:sz w:val="32"/>
          <w:szCs w:val="32"/>
        </w:rPr>
        <w:t>在下一剂</w:t>
      </w:r>
      <w:r w:rsidRPr="00E04840">
        <w:rPr>
          <w:rFonts w:ascii="仿宋" w:hAnsi="仿宋" w:eastAsia="仿宋" w:cs="仿宋"/>
          <w:sz w:val="32"/>
          <w:szCs w:val="32"/>
        </w:rPr>
        <w:t>H</w:t>
      </w:r>
      <w:r w:rsidRPr="00E04840">
        <w:rPr>
          <w:rFonts w:ascii="仿宋" w:hAnsi="仿宋" w:eastAsia="仿宋" w:cs="仿宋"/>
          <w:sz w:val="32"/>
          <w:szCs w:val="32"/>
          <w:vertAlign w:val="subscript"/>
        </w:rPr>
        <w:t>2</w:t>
      </w:r>
      <w:r w:rsidRPr="00E04840">
        <w:rPr>
          <w:rFonts w:hint="eastAsia" w:ascii="仿宋" w:hAnsi="仿宋" w:eastAsia="仿宋" w:cs="仿宋"/>
          <w:sz w:val="32"/>
          <w:szCs w:val="32"/>
        </w:rPr>
        <w:t>受体拮抗剂给药前至少</w:t>
      </w:r>
      <w:r w:rsidRPr="00E04840">
        <w:rPr>
          <w:rFonts w:ascii="仿宋" w:hAnsi="仿宋" w:eastAsia="仿宋" w:cs="仿宋"/>
          <w:sz w:val="32"/>
          <w:szCs w:val="32"/>
        </w:rPr>
        <w:t>2</w:t>
      </w:r>
      <w:r w:rsidRPr="00E04840">
        <w:rPr>
          <w:rFonts w:hint="eastAsia" w:ascii="仿宋" w:hAnsi="仿宋" w:eastAsia="仿宋" w:cs="仿宋"/>
          <w:sz w:val="32"/>
          <w:szCs w:val="32"/>
        </w:rPr>
        <w:t>小时或在</w:t>
      </w:r>
      <w:r w:rsidRPr="00E04840">
        <w:rPr>
          <w:rFonts w:ascii="仿宋" w:hAnsi="仿宋" w:eastAsia="仿宋" w:cs="仿宋"/>
          <w:sz w:val="32"/>
          <w:szCs w:val="32"/>
        </w:rPr>
        <w:t>H</w:t>
      </w:r>
      <w:r w:rsidRPr="00E04840">
        <w:rPr>
          <w:rFonts w:ascii="仿宋" w:hAnsi="仿宋" w:eastAsia="仿宋" w:cs="仿宋"/>
          <w:sz w:val="32"/>
          <w:szCs w:val="32"/>
          <w:vertAlign w:val="subscript"/>
        </w:rPr>
        <w:t>2</w:t>
      </w:r>
      <w:r w:rsidRPr="00E04840">
        <w:rPr>
          <w:rFonts w:hint="eastAsia" w:ascii="仿宋" w:hAnsi="仿宋" w:eastAsia="仿宋" w:cs="仿宋"/>
          <w:sz w:val="32"/>
          <w:szCs w:val="32"/>
        </w:rPr>
        <w:t>受体拮抗剂给药后</w:t>
      </w:r>
      <w:r w:rsidRPr="00E04840">
        <w:rPr>
          <w:rFonts w:ascii="仿宋" w:hAnsi="仿宋" w:eastAsia="仿宋" w:cs="仿宋"/>
          <w:sz w:val="32"/>
          <w:szCs w:val="32"/>
        </w:rPr>
        <w:t>10</w:t>
      </w:r>
      <w:r w:rsidRPr="00E04840">
        <w:rPr>
          <w:rFonts w:hint="eastAsia" w:ascii="仿宋" w:hAnsi="仿宋" w:eastAsia="仿宋" w:cs="仿宋"/>
          <w:sz w:val="32"/>
          <w:szCs w:val="32"/>
        </w:rPr>
        <w:t>小时服用奈拉替尼。（3）</w:t>
      </w:r>
      <w:r w:rsidRPr="00E04840">
        <w:rPr>
          <w:rFonts w:ascii="仿宋" w:hAnsi="仿宋" w:eastAsia="仿宋" w:cs="仿宋"/>
          <w:iCs/>
          <w:sz w:val="32"/>
          <w:szCs w:val="32"/>
        </w:rPr>
        <w:t>抗酸药</w:t>
      </w:r>
      <w:r w:rsidRPr="00E04840">
        <w:rPr>
          <w:rFonts w:ascii="仿宋" w:hAnsi="仿宋" w:eastAsia="仿宋" w:cs="仿宋"/>
          <w:sz w:val="32"/>
          <w:szCs w:val="32"/>
        </w:rPr>
        <w:t>：在抗</w:t>
      </w:r>
      <w:r w:rsidRPr="003C684F">
        <w:rPr>
          <w:rFonts w:ascii="仿宋" w:hAnsi="仿宋" w:eastAsia="仿宋" w:cs="仿宋"/>
          <w:sz w:val="32"/>
          <w:szCs w:val="32"/>
        </w:rPr>
        <w:t>酸药给药3小时</w:t>
      </w:r>
      <w:r w:rsidRPr="003C684F">
        <w:rPr>
          <w:rFonts w:hint="eastAsia" w:ascii="仿宋" w:hAnsi="仿宋" w:eastAsia="仿宋" w:cs="仿宋"/>
          <w:sz w:val="32"/>
          <w:szCs w:val="32"/>
        </w:rPr>
        <w:t>后方可</w:t>
      </w:r>
      <w:r w:rsidRPr="003C684F">
        <w:rPr>
          <w:rFonts w:ascii="仿宋" w:hAnsi="仿宋" w:eastAsia="仿宋" w:cs="仿宋"/>
          <w:sz w:val="32"/>
          <w:szCs w:val="32"/>
        </w:rPr>
        <w:t>给予</w:t>
      </w:r>
      <w:r w:rsidRPr="003C684F">
        <w:rPr>
          <w:rFonts w:hint="eastAsia" w:ascii="仿宋" w:hAnsi="仿宋" w:eastAsia="仿宋" w:cs="仿宋"/>
          <w:sz w:val="32"/>
          <w:szCs w:val="32"/>
        </w:rPr>
        <w:t>奈拉替尼。（4）避免奈拉替尼与CYP3A4</w:t>
      </w:r>
      <w:r w:rsidRPr="003C684F" w:rsidR="0029486A">
        <w:rPr>
          <w:rFonts w:hint="eastAsia" w:ascii="仿宋" w:hAnsi="仿宋" w:eastAsia="仿宋" w:cs="仿宋"/>
          <w:sz w:val="32"/>
          <w:szCs w:val="32"/>
        </w:rPr>
        <w:t>强效或中效</w:t>
      </w:r>
      <w:r w:rsidRPr="003C684F">
        <w:rPr>
          <w:rFonts w:hint="eastAsia" w:ascii="仿宋" w:hAnsi="仿宋" w:eastAsia="仿宋" w:cs="仿宋"/>
          <w:sz w:val="32"/>
          <w:szCs w:val="32"/>
        </w:rPr>
        <w:t>诱</w:t>
      </w:r>
      <w:r w:rsidRPr="003C684F">
        <w:rPr>
          <w:rFonts w:hint="eastAsia" w:ascii="仿宋" w:hAnsi="仿宋" w:eastAsia="仿宋" w:cs="仿宋"/>
          <w:sz w:val="32"/>
          <w:szCs w:val="32"/>
        </w:rPr>
        <w:lastRenderedPageBreak/>
        <w:t>导剂伴随用药。</w:t>
      </w:r>
    </w:p>
    <w:p w:rsidRPr="003C684F" w:rsidR="009730C1" w:rsidRDefault="00A315B9" w14:paraId="41C9A5B3"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6.有临床研究表明，奈拉替尼联合卡培他滨对治疗晚期或转移性乳腺癌可使病人临床获益。</w:t>
      </w:r>
    </w:p>
    <w:p w:rsidRPr="003C684F" w:rsidR="009730C1" w:rsidP="0037660B" w:rsidRDefault="00A315B9" w14:paraId="6FE68F2E"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八、哌柏西利 P</w:t>
      </w:r>
      <w:r w:rsidRPr="003C684F">
        <w:rPr>
          <w:rFonts w:ascii="黑体" w:hAnsi="黑体" w:eastAsia="黑体"/>
          <w:color w:val="000000"/>
          <w:sz w:val="32"/>
          <w:szCs w:val="32"/>
        </w:rPr>
        <w:t>albociclib</w:t>
      </w:r>
    </w:p>
    <w:p w:rsidRPr="003C684F" w:rsidR="009730C1" w:rsidRDefault="00A315B9" w14:paraId="7B0FB8AA"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胶囊：75mg、100mg、125mg</w:t>
      </w:r>
    </w:p>
    <w:p w:rsidRPr="003C684F" w:rsidR="009730C1" w:rsidRDefault="00A315B9" w14:paraId="252C53C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本品适用于HR阳性、HER2阴性的局部晚期或转移性乳腺癌。</w:t>
      </w:r>
    </w:p>
    <w:p w:rsidRPr="003C684F" w:rsidR="009730C1" w:rsidRDefault="00A315B9" w14:paraId="3096190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与芳香化酶抑制剂联合使用，作为绝经后女性患者的初始内分泌治疗。鉴于芳香化酶抑制剂的作用机制，绝经前/围绝经期女性接受哌柏西利与芳香化酶抑制剂联合治疗时，必须进行卵巢切除或使用促黄体生成激素释放激素激动剂抑制卵巢功能。</w:t>
      </w:r>
    </w:p>
    <w:p w:rsidRPr="003C684F" w:rsidR="009730C1" w:rsidRDefault="00A315B9" w14:paraId="094A5246" w14:textId="73E672A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（2）与氟维司群联合使用治疗内分泌治疗后进展的转移性乳腺癌女性患者。哌柏西利联合氟维司群用于绝经前/围绝经期女性，需要与促黄体生成激素释放激素激动剂</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w:t>
      </w:r>
    </w:p>
    <w:p w:rsidRPr="003C684F" w:rsidR="009730C1" w:rsidRDefault="00A315B9" w14:paraId="0342F42A" w14:textId="46E09FB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（3）男性乳腺癌：与芳香酶抑制剂或氟维司群组</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于HR阳性、HER2阴性晚期男性乳腺癌。</w:t>
      </w:r>
    </w:p>
    <w:p w:rsidRPr="003C684F" w:rsidR="009730C1" w:rsidRDefault="00A315B9" w14:paraId="3A9DB398"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EFF9AD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1.在接受哌柏西利治疗前，应在有资质的病理实验室进行检测证实HR阳性、HER2阴性患者方可使用。HR阳性的定义为雌激素受体免疫组化染色显示超过1%的肿瘤细胞核染</w:t>
      </w:r>
      <w:r w:rsidRPr="003C684F">
        <w:rPr>
          <w:rFonts w:hint="eastAsia" w:ascii="仿宋" w:hAnsi="仿宋" w:eastAsia="仿宋"/>
          <w:color w:val="000000"/>
          <w:sz w:val="32"/>
          <w:szCs w:val="32"/>
        </w:rPr>
        <w:lastRenderedPageBreak/>
        <w:t>色阳性。HER2阴性的定义为IHC0-1+或FISH阴性。</w:t>
      </w:r>
    </w:p>
    <w:p w:rsidRPr="003C684F" w:rsidR="009730C1" w:rsidRDefault="00A315B9" w14:paraId="3EE546E3" w14:textId="64DB028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2.本品起始剂量是125mg/</w:t>
      </w:r>
      <w:r w:rsidRPr="003C684F" w:rsidR="00E85579">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E85579">
        <w:rPr>
          <w:rFonts w:hint="eastAsia" w:ascii="仿宋" w:hAnsi="仿宋" w:eastAsia="仿宋"/>
          <w:color w:val="000000"/>
          <w:sz w:val="32"/>
          <w:szCs w:val="32"/>
        </w:rPr>
        <w:t>每天一次，口服，</w:t>
      </w:r>
      <w:r w:rsidRPr="003C684F">
        <w:rPr>
          <w:rFonts w:hint="eastAsia" w:ascii="仿宋" w:hAnsi="仿宋" w:eastAsia="仿宋"/>
          <w:color w:val="000000"/>
          <w:sz w:val="32"/>
          <w:szCs w:val="32"/>
        </w:rPr>
        <w:t>4周为一个用药周期：服药3周后需停药1周。应与食物同服，不得与葡萄柚或葡萄柚汁同服，最好随餐服药以确保哌柏西利暴露量一致。</w:t>
      </w:r>
    </w:p>
    <w:p w:rsidRPr="003C684F" w:rsidR="009730C1" w:rsidRDefault="00A315B9" w14:paraId="7CDD3F30"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3.常见副作用为骨髓抑制，因此建议在使用本品前行血常规检查，在中性粒细胞绝对计数≥1×</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olor w:val="000000"/>
          <w:sz w:val="32"/>
          <w:szCs w:val="32"/>
        </w:rPr>
        <w:t>且血小板计数≥50×</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olor w:val="000000"/>
          <w:sz w:val="32"/>
          <w:szCs w:val="32"/>
        </w:rPr>
        <w:t>时开始接受治疗。在第15天检测血常规，中性粒细胞绝对计数0.5×10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/L至≤1×10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/L时，可以继续服药至21天。如果第15天中性粒细胞绝对计数≤0.5×10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/L时，需暂停服用哌柏西利，直至恢复至≥1×10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/L，再以降低一个剂量级开始下一疗程治疗。如果下个疗程前一天检测血常规，中性粒细胞恢复至≥1×10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/L，可以原剂量开始下一疗程，但如果延迟恢复，则需要降低一个剂量级开始下一疗程。</w:t>
      </w:r>
    </w:p>
    <w:p w:rsidRPr="003C684F" w:rsidR="009730C1" w:rsidRDefault="00A315B9" w14:paraId="4ECE14A4" w14:textId="701CE9D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4.避免伴随使用CYP3A强效抑制剂，考虑强效抑制剂替换为</w:t>
      </w:r>
      <w:r w:rsidRPr="0035739C" w:rsidR="0035739C">
        <w:rPr>
          <w:rFonts w:ascii="仿宋" w:hAnsi="仿宋" w:eastAsia="仿宋"/>
          <w:color w:val="000000"/>
          <w:sz w:val="32"/>
          <w:szCs w:val="32"/>
        </w:rPr>
        <w:t>CYP3A</w:t>
      </w:r>
      <w:r w:rsidR="0035739C">
        <w:rPr>
          <w:rFonts w:hint="eastAsia" w:ascii="仿宋" w:hAnsi="仿宋" w:eastAsia="仿宋"/>
          <w:color w:val="000000"/>
          <w:sz w:val="32"/>
          <w:szCs w:val="32"/>
        </w:rPr>
        <w:t>弱效抑制剂或</w:t>
      </w:r>
      <w:r w:rsidRPr="003C684F">
        <w:rPr>
          <w:rFonts w:hint="eastAsia" w:ascii="仿宋" w:hAnsi="仿宋" w:eastAsia="仿宋"/>
          <w:color w:val="000000"/>
          <w:sz w:val="32"/>
          <w:szCs w:val="32"/>
        </w:rPr>
        <w:t>没有抑制作用的其他伴随用药。如果患者必须伴随用药CYP3A强效抑制剂，则将哌柏西利剂量减少至75mg，每天一次。如果停用强效抑制剂，则将哌柏西利的剂量增加至开始使用CYP3A强效抑制剂之前的剂量（在抑制剂的3～5个半衰期后）。</w:t>
      </w:r>
    </w:p>
    <w:p w:rsidRPr="003C684F" w:rsidR="009730C1" w:rsidP="0037660B" w:rsidRDefault="00A315B9" w14:paraId="52FAA953"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 xml:space="preserve">九、阿贝西利 </w:t>
      </w:r>
      <w:r w:rsidRPr="003C684F">
        <w:rPr>
          <w:rFonts w:ascii="黑体" w:hAnsi="黑体" w:eastAsia="黑体"/>
          <w:color w:val="000000"/>
          <w:sz w:val="32"/>
          <w:szCs w:val="32"/>
        </w:rPr>
        <w:t>A</w:t>
      </w:r>
      <w:r w:rsidRPr="003C684F">
        <w:rPr>
          <w:rFonts w:hint="eastAsia" w:ascii="黑体" w:hAnsi="黑体" w:eastAsia="黑体"/>
          <w:color w:val="000000"/>
          <w:sz w:val="32"/>
          <w:szCs w:val="32"/>
        </w:rPr>
        <w:t>bemaciclib</w:t>
      </w:r>
    </w:p>
    <w:p w:rsidRPr="003C684F" w:rsidR="009730C1" w:rsidRDefault="00A315B9" w14:paraId="753EB582"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w:t>
      </w:r>
      <w:r w:rsidRPr="003C684F">
        <w:rPr>
          <w:rFonts w:ascii="仿宋" w:hAnsi="仿宋" w:eastAsia="仿宋"/>
          <w:color w:val="000000"/>
          <w:sz w:val="32"/>
          <w:szCs w:val="32"/>
        </w:rPr>
        <w:t>50</w:t>
      </w:r>
      <w:r w:rsidRPr="003C684F">
        <w:rPr>
          <w:rFonts w:hint="eastAsia" w:ascii="仿宋" w:hAnsi="仿宋" w:eastAsia="仿宋"/>
          <w:color w:val="000000"/>
          <w:sz w:val="32"/>
          <w:szCs w:val="32"/>
        </w:rPr>
        <w:t>mg、100mg、1</w:t>
      </w:r>
      <w:r w:rsidRPr="003C684F">
        <w:rPr>
          <w:rFonts w:ascii="仿宋" w:hAnsi="仿宋" w:eastAsia="仿宋"/>
          <w:color w:val="000000"/>
          <w:sz w:val="32"/>
          <w:szCs w:val="32"/>
        </w:rPr>
        <w:t>50</w:t>
      </w:r>
      <w:r w:rsidRPr="003C684F">
        <w:rPr>
          <w:rFonts w:hint="eastAsia" w:ascii="仿宋" w:hAnsi="仿宋" w:eastAsia="仿宋"/>
          <w:color w:val="000000"/>
          <w:sz w:val="32"/>
          <w:szCs w:val="32"/>
        </w:rPr>
        <w:t>mg</w:t>
      </w:r>
    </w:p>
    <w:p w:rsidRPr="003C684F" w:rsidR="009730C1" w:rsidRDefault="00A315B9" w14:paraId="01C62CB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适应证：</w:t>
      </w:r>
    </w:p>
    <w:p w:rsidRPr="003C684F" w:rsidR="009730C1" w:rsidRDefault="00A315B9" w14:paraId="2AAD74D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1.与芳香化酶抑制剂联合使用作为绝经后HR阳性、HER2阴性的局部晚期或转移性乳腺癌患者的初始内分泌治疗。</w:t>
      </w:r>
    </w:p>
    <w:p w:rsidRPr="003C684F" w:rsidR="009730C1" w:rsidRDefault="00A315B9" w14:paraId="5B693813" w14:textId="04D39EC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2.与氟维司群</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于既往曾接受内分泌治疗后出现疾病进展的HR阳性、HER2阴性的局部晚期或转移性乳腺癌患者。</w:t>
      </w:r>
    </w:p>
    <w:p w:rsidRPr="003C684F" w:rsidR="009730C1" w:rsidRDefault="00A315B9" w14:paraId="6E99100F" w14:textId="424C353D">
      <w:pPr>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联合内分泌治疗（他莫昔芬或芳香化酶抑制剂）适用于HR阳性、HER2阴性、淋巴结阳性，高复发风险且Ki-67≥20%早期乳腺癌成人患者的辅助治疗。</w:t>
      </w:r>
    </w:p>
    <w:p w:rsidRPr="003C684F" w:rsidR="009730C1" w:rsidRDefault="00A315B9" w14:paraId="010A0384" w14:textId="77777777">
      <w:pPr>
        <w:ind w:firstLine="643" w:firstLineChars="200"/>
        <w:jc w:val="left"/>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7835A05D" w14:textId="77777777">
      <w:pPr>
        <w:ind w:firstLine="640" w:firstLineChars="200"/>
        <w:jc w:val="left"/>
        <w:rPr>
          <w:rFonts w:ascii="仿宋" w:hAnsi="仿宋" w:eastAsia="仿宋"/>
          <w:color w:val="000000"/>
          <w:sz w:val="32"/>
          <w:szCs w:val="32"/>
        </w:rPr>
      </w:pPr>
      <w:r w:rsidRPr="003C684F">
        <w:rPr>
          <w:rFonts w:hint="eastAsia" w:ascii="仿宋" w:hAnsi="仿宋" w:eastAsia="仿宋"/>
          <w:color w:val="000000"/>
          <w:sz w:val="32"/>
          <w:szCs w:val="32"/>
        </w:rPr>
        <w:t>1.在接受阿贝西利治疗前，应在有资质的病理实验室进行检测证实HR阳性、HER2阴性患者方可使用。</w:t>
      </w:r>
    </w:p>
    <w:p w:rsidRPr="003C684F" w:rsidR="009730C1" w:rsidRDefault="00A315B9" w14:paraId="3C55FF94" w14:textId="77777777">
      <w:pPr>
        <w:widowControl/>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阿贝西利与内分泌治疗联合使用时的推荐剂量为150mg/次，每天两次。如果患者呕吐或漏服某一次阿贝西利，不应补服，下一次服药时间按计划服药即可。阿贝西利可在空腹或进食情况下给药。阿贝西利不应随葡萄柚或葡萄柚汁同服。</w:t>
      </w:r>
    </w:p>
    <w:p w:rsidRPr="003C684F" w:rsidR="009730C1" w:rsidRDefault="00A315B9" w14:paraId="4A3AB671" w14:textId="77777777">
      <w:pPr>
        <w:widowControl/>
        <w:spacing w:line="360" w:lineRule="auto"/>
        <w:ind w:firstLine="640" w:firstLineChars="200"/>
        <w:jc w:val="left"/>
        <w:rPr>
          <w:rFonts w:ascii="仿宋" w:hAnsi="仿宋" w:eastAsia="仿宋"/>
          <w:color w:val="000000"/>
          <w:sz w:val="32"/>
          <w:szCs w:val="32"/>
        </w:rPr>
      </w:pPr>
      <w:r w:rsidRPr="003C684F">
        <w:rPr>
          <w:rFonts w:hint="eastAsia" w:ascii="仿宋" w:hAnsi="仿宋" w:eastAsia="仿宋"/>
          <w:color w:val="000000"/>
          <w:sz w:val="32"/>
          <w:szCs w:val="32"/>
        </w:rPr>
        <w:t>3.轻度（Child</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Pugh A级）或中度（Child</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Pugh B级）肝功能损伤患者无须调整剂量；重度（Child</w:t>
      </w:r>
      <w:r w:rsidRPr="003C684F">
        <w:rPr>
          <w:rFonts w:hint="eastAsia" w:ascii="仿宋" w:hAnsi="仿宋" w:eastAsia="仿宋" w:cs="仿宋"/>
          <w:sz w:val="32"/>
          <w:szCs w:val="32"/>
        </w:rPr>
        <w:t>-</w:t>
      </w:r>
      <w:r w:rsidRPr="003C684F">
        <w:rPr>
          <w:rFonts w:hint="eastAsia" w:ascii="仿宋" w:hAnsi="仿宋" w:eastAsia="仿宋"/>
          <w:color w:val="000000"/>
          <w:sz w:val="32"/>
          <w:szCs w:val="32"/>
        </w:rPr>
        <w:t>Pugh C级）肝功能损伤患者建议降低给药频率至每天一次。</w:t>
      </w:r>
    </w:p>
    <w:p w:rsidRPr="003C684F" w:rsidR="009730C1" w:rsidRDefault="00A315B9" w14:paraId="4975F98C" w14:textId="77777777">
      <w:pPr>
        <w:widowControl/>
        <w:spacing w:line="360" w:lineRule="auto"/>
        <w:ind w:firstLine="640" w:firstLineChars="200"/>
        <w:rPr>
          <w:rFonts w:ascii="宋体" w:hAnsi="宋体" w:cs="Times New Roman"/>
          <w:kern w:val="0"/>
          <w:sz w:val="24"/>
          <w:szCs w:val="24"/>
          <w:u w:val="single"/>
        </w:rPr>
      </w:pPr>
      <w:r w:rsidRPr="003C684F">
        <w:rPr>
          <w:rFonts w:hint="eastAsia" w:ascii="仿宋" w:hAnsi="仿宋" w:eastAsia="仿宋"/>
          <w:color w:val="000000"/>
          <w:sz w:val="32"/>
          <w:szCs w:val="32"/>
        </w:rPr>
        <w:t>4</w:t>
      </w:r>
      <w:r w:rsidRPr="003C684F">
        <w:rPr>
          <w:rFonts w:ascii="仿宋" w:hAnsi="仿宋" w:eastAsia="仿宋"/>
          <w:color w:val="000000"/>
          <w:sz w:val="32"/>
          <w:szCs w:val="32"/>
        </w:rPr>
        <w:t>.应</w:t>
      </w:r>
      <w:r w:rsidRPr="003C684F">
        <w:rPr>
          <w:rFonts w:hint="eastAsia" w:ascii="仿宋" w:hAnsi="仿宋" w:eastAsia="仿宋"/>
          <w:color w:val="000000"/>
          <w:sz w:val="32"/>
          <w:szCs w:val="32"/>
        </w:rPr>
        <w:t>在以下时间</w:t>
      </w:r>
      <w:r w:rsidRPr="003C684F">
        <w:rPr>
          <w:rFonts w:ascii="仿宋" w:hAnsi="仿宋" w:eastAsia="仿宋"/>
          <w:color w:val="000000"/>
          <w:sz w:val="32"/>
          <w:szCs w:val="32"/>
        </w:rPr>
        <w:t>监测全血细胞计数</w:t>
      </w:r>
      <w:r w:rsidRPr="003C684F">
        <w:rPr>
          <w:rFonts w:hint="eastAsia" w:ascii="仿宋" w:hAnsi="仿宋" w:eastAsia="仿宋"/>
          <w:color w:val="000000"/>
          <w:sz w:val="32"/>
          <w:szCs w:val="32"/>
        </w:rPr>
        <w:t>，包括：</w:t>
      </w:r>
      <w:r w:rsidRPr="003C684F">
        <w:rPr>
          <w:rFonts w:ascii="仿宋" w:hAnsi="仿宋" w:eastAsia="仿宋"/>
          <w:color w:val="000000"/>
          <w:sz w:val="32"/>
          <w:szCs w:val="32"/>
        </w:rPr>
        <w:t>开始</w:t>
      </w:r>
      <w:r w:rsidRPr="003C684F">
        <w:rPr>
          <w:rFonts w:hint="eastAsia" w:ascii="仿宋" w:hAnsi="仿宋" w:eastAsia="仿宋"/>
          <w:color w:val="000000"/>
          <w:sz w:val="32"/>
          <w:szCs w:val="32"/>
        </w:rPr>
        <w:t>阿贝西利</w:t>
      </w:r>
      <w:r w:rsidRPr="003C684F">
        <w:rPr>
          <w:rFonts w:ascii="仿宋" w:hAnsi="仿宋" w:eastAsia="仿宋"/>
          <w:color w:val="000000"/>
          <w:sz w:val="32"/>
          <w:szCs w:val="32"/>
        </w:rPr>
        <w:t>治疗之前、治疗</w:t>
      </w:r>
      <w:r w:rsidRPr="003C684F">
        <w:rPr>
          <w:rFonts w:hint="eastAsia" w:ascii="仿宋" w:hAnsi="仿宋" w:eastAsia="仿宋"/>
          <w:color w:val="000000"/>
          <w:sz w:val="32"/>
          <w:szCs w:val="32"/>
        </w:rPr>
        <w:t>最初</w:t>
      </w:r>
      <w:r w:rsidRPr="003C684F">
        <w:rPr>
          <w:rFonts w:ascii="仿宋" w:hAnsi="仿宋" w:eastAsia="仿宋"/>
          <w:color w:val="000000"/>
          <w:sz w:val="32"/>
          <w:szCs w:val="32"/>
        </w:rPr>
        <w:t>2个月内每2周一次、接下来2个月</w:t>
      </w:r>
      <w:r w:rsidRPr="003C684F">
        <w:rPr>
          <w:rFonts w:ascii="仿宋" w:hAnsi="仿宋" w:eastAsia="仿宋"/>
          <w:color w:val="000000"/>
          <w:sz w:val="32"/>
          <w:szCs w:val="32"/>
        </w:rPr>
        <w:lastRenderedPageBreak/>
        <w:t>内每月一次以及出现临床指征时。在开始治疗前，</w:t>
      </w:r>
      <w:r w:rsidRPr="003C684F">
        <w:rPr>
          <w:rFonts w:hint="eastAsia" w:ascii="仿宋" w:hAnsi="仿宋" w:eastAsia="仿宋"/>
          <w:color w:val="000000"/>
          <w:sz w:val="32"/>
          <w:szCs w:val="32"/>
        </w:rPr>
        <w:t>建议</w:t>
      </w:r>
      <w:r w:rsidRPr="003C684F">
        <w:rPr>
          <w:rFonts w:ascii="仿宋" w:hAnsi="仿宋" w:eastAsia="仿宋"/>
          <w:color w:val="000000"/>
          <w:sz w:val="32"/>
          <w:szCs w:val="32"/>
        </w:rPr>
        <w:t>中性粒细胞绝对计数</w:t>
      </w:r>
      <w:r w:rsidRPr="003C684F">
        <w:rPr>
          <w:rFonts w:hint="eastAsia" w:ascii="仿宋" w:hAnsi="仿宋" w:eastAsia="仿宋"/>
          <w:color w:val="000000"/>
          <w:sz w:val="32"/>
          <w:szCs w:val="32"/>
        </w:rPr>
        <w:t>应</w:t>
      </w:r>
      <w:r w:rsidRPr="003C684F">
        <w:rPr>
          <w:rFonts w:ascii="仿宋" w:hAnsi="仿宋" w:eastAsia="仿宋"/>
          <w:color w:val="000000"/>
          <w:sz w:val="32"/>
          <w:szCs w:val="32"/>
        </w:rPr>
        <w:t>≥</w:t>
      </w:r>
      <w:r w:rsidRPr="003C684F">
        <w:rPr>
          <w:rFonts w:hint="eastAsia" w:ascii="仿宋" w:hAnsi="仿宋" w:eastAsia="仿宋"/>
          <w:color w:val="000000"/>
          <w:sz w:val="32"/>
          <w:szCs w:val="32"/>
        </w:rPr>
        <w:t>1.5×</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/L、血小板计数</w:t>
      </w:r>
      <w:r w:rsidRPr="003C684F">
        <w:rPr>
          <w:rFonts w:hint="eastAsia" w:ascii="仿宋" w:hAnsi="仿宋" w:eastAsia="仿宋"/>
          <w:color w:val="000000"/>
          <w:sz w:val="32"/>
          <w:szCs w:val="32"/>
        </w:rPr>
        <w:t>应</w:t>
      </w:r>
      <w:r w:rsidRPr="003C684F">
        <w:rPr>
          <w:rFonts w:ascii="仿宋" w:hAnsi="仿宋" w:eastAsia="仿宋"/>
          <w:color w:val="000000"/>
          <w:sz w:val="32"/>
          <w:szCs w:val="32"/>
        </w:rPr>
        <w:t>≥</w:t>
      </w:r>
      <w:r w:rsidRPr="003C684F">
        <w:rPr>
          <w:rFonts w:hint="eastAsia" w:ascii="仿宋" w:hAnsi="仿宋" w:eastAsia="仿宋"/>
          <w:color w:val="000000"/>
          <w:sz w:val="32"/>
          <w:szCs w:val="32"/>
        </w:rPr>
        <w:t>100×</w:t>
      </w:r>
      <w:r w:rsidRPr="003C684F">
        <w:rPr>
          <w:rFonts w:ascii="仿宋" w:hAnsi="仿宋" w:eastAsia="仿宋"/>
          <w:color w:val="000000"/>
          <w:sz w:val="32"/>
          <w:szCs w:val="32"/>
        </w:rPr>
        <w:t>10</w:t>
      </w:r>
      <w:r w:rsidRPr="003C684F">
        <w:rPr>
          <w:rFonts w:ascii="仿宋" w:hAnsi="仿宋" w:eastAsia="仿宋"/>
          <w:color w:val="000000"/>
          <w:sz w:val="32"/>
          <w:szCs w:val="32"/>
          <w:vertAlign w:val="superscript"/>
        </w:rPr>
        <w:t>9</w:t>
      </w:r>
      <w:r w:rsidRPr="003C684F">
        <w:rPr>
          <w:rFonts w:ascii="仿宋" w:hAnsi="仿宋" w:eastAsia="仿宋"/>
          <w:color w:val="000000"/>
          <w:sz w:val="32"/>
          <w:szCs w:val="32"/>
        </w:rPr>
        <w:t>/L</w:t>
      </w:r>
      <w:r w:rsidRPr="003C684F">
        <w:rPr>
          <w:rFonts w:hint="eastAsia" w:ascii="仿宋" w:hAnsi="仿宋" w:eastAsia="仿宋"/>
          <w:color w:val="000000"/>
          <w:sz w:val="32"/>
          <w:szCs w:val="32"/>
        </w:rPr>
        <w:t>且</w:t>
      </w:r>
      <w:r w:rsidRPr="003C684F">
        <w:rPr>
          <w:rFonts w:ascii="仿宋" w:hAnsi="仿宋" w:eastAsia="仿宋"/>
          <w:color w:val="000000"/>
          <w:sz w:val="32"/>
          <w:szCs w:val="32"/>
        </w:rPr>
        <w:t>血红蛋白</w:t>
      </w:r>
      <w:r w:rsidRPr="003C684F">
        <w:rPr>
          <w:rFonts w:hint="eastAsia" w:ascii="仿宋" w:hAnsi="仿宋" w:eastAsia="仿宋"/>
          <w:color w:val="000000"/>
          <w:sz w:val="32"/>
          <w:szCs w:val="32"/>
        </w:rPr>
        <w:t>应</w:t>
      </w:r>
      <w:r w:rsidRPr="003C684F">
        <w:rPr>
          <w:rFonts w:ascii="仿宋" w:hAnsi="仿宋" w:eastAsia="仿宋"/>
          <w:color w:val="000000"/>
          <w:sz w:val="32"/>
          <w:szCs w:val="32"/>
        </w:rPr>
        <w:t>≥8</w:t>
      </w:r>
      <w:r w:rsidRPr="003C684F">
        <w:rPr>
          <w:rFonts w:hint="eastAsia" w:ascii="仿宋" w:hAnsi="仿宋" w:eastAsia="仿宋"/>
          <w:color w:val="000000"/>
          <w:sz w:val="32"/>
          <w:szCs w:val="32"/>
        </w:rPr>
        <w:t>0</w:t>
      </w:r>
      <w:r w:rsidRPr="003C684F">
        <w:rPr>
          <w:rFonts w:ascii="仿宋" w:hAnsi="仿宋" w:eastAsia="仿宋"/>
          <w:color w:val="000000"/>
          <w:sz w:val="32"/>
          <w:szCs w:val="32"/>
        </w:rPr>
        <w:t>g/</w:t>
      </w:r>
      <w:r w:rsidRPr="003C684F">
        <w:rPr>
          <w:rFonts w:hint="eastAsia" w:ascii="仿宋" w:hAnsi="仿宋" w:eastAsia="仿宋"/>
          <w:color w:val="000000"/>
          <w:sz w:val="32"/>
          <w:szCs w:val="32"/>
        </w:rPr>
        <w:t>L</w:t>
      </w:r>
      <w:r w:rsidRPr="003C684F">
        <w:rPr>
          <w:rFonts w:ascii="仿宋" w:hAnsi="仿宋" w:eastAsia="仿宋"/>
          <w:color w:val="000000"/>
          <w:sz w:val="32"/>
          <w:szCs w:val="32"/>
        </w:rPr>
        <w:t>。</w:t>
      </w:r>
      <w:r w:rsidRPr="003C684F">
        <w:rPr>
          <w:rFonts w:hint="eastAsia" w:ascii="仿宋" w:hAnsi="仿宋" w:eastAsia="仿宋"/>
          <w:color w:val="000000"/>
          <w:sz w:val="32"/>
          <w:szCs w:val="32"/>
        </w:rPr>
        <w:t>中性粒细胞减少症经常被报告，治疗开始至3级或4级中性粒细胞减少症发生的中位时间为29～33天，至缓解的中位时间为11～15天。对于发生3级或4级中性粒细胞减少症的患者，建议暂停给药，直至毒性降低至2级或以下。重新给药时考虑是否需要降低剂量。</w:t>
      </w:r>
    </w:p>
    <w:p w:rsidRPr="003C684F" w:rsidR="009730C1" w:rsidRDefault="00A315B9" w14:paraId="4DF34A4C" w14:textId="18316EEB">
      <w:pPr>
        <w:ind w:firstLine="640" w:firstLineChars="200"/>
        <w:jc w:val="left"/>
        <w:rPr>
          <w:rFonts w:ascii="仿宋" w:hAnsi="仿宋" w:eastAsia="仿宋"/>
          <w:color w:val="000000"/>
          <w:sz w:val="32"/>
          <w:szCs w:val="32"/>
        </w:rPr>
      </w:pPr>
      <w:r w:rsidRPr="003C684F">
        <w:rPr>
          <w:rFonts w:hint="eastAsia" w:ascii="仿宋" w:hAnsi="仿宋" w:eastAsia="仿宋"/>
          <w:color w:val="000000"/>
          <w:sz w:val="32"/>
          <w:szCs w:val="32"/>
        </w:rPr>
        <w:t>5.常见不良事件为腹泻，发生率在治疗的第1个月内最高，随后降低。在各项研究中，治疗开始至首次腹泻事件发生的中位时间为6～8天，腹泻持续中位时间为9～12天（2级）和6～8天（3级）。通过支持治疗（例如洛哌丁胺）和/或调整剂量，腹泻可缓解至基线或较低级别。如果发生腹泻，应当尽早采取支持性措施。这些措施包括以下：在首次出现稀便症状时，患者应当开始抗腹泻治疗。鼓励患者饮用液体（例如，每天</w:t>
      </w:r>
      <w:r w:rsidRPr="003C684F">
        <w:rPr>
          <w:rFonts w:ascii="仿宋" w:hAnsi="仿宋" w:eastAsia="仿宋"/>
          <w:color w:val="000000"/>
          <w:sz w:val="32"/>
          <w:szCs w:val="32"/>
        </w:rPr>
        <w:t>8</w:t>
      </w:r>
      <w:r w:rsidRPr="003C684F">
        <w:rPr>
          <w:rFonts w:hint="eastAsia" w:ascii="仿宋" w:hAnsi="仿宋" w:eastAsia="仿宋"/>
          <w:color w:val="000000"/>
          <w:sz w:val="32"/>
          <w:szCs w:val="32"/>
        </w:rPr>
        <w:t>～</w:t>
      </w:r>
      <w:r w:rsidRPr="003C684F">
        <w:rPr>
          <w:rFonts w:ascii="仿宋" w:hAnsi="仿宋" w:eastAsia="仿宋"/>
          <w:color w:val="000000"/>
          <w:sz w:val="32"/>
          <w:szCs w:val="32"/>
        </w:rPr>
        <w:t>10</w:t>
      </w:r>
      <w:r w:rsidRPr="003C684F">
        <w:rPr>
          <w:rFonts w:hint="eastAsia" w:ascii="仿宋" w:hAnsi="仿宋" w:eastAsia="仿宋"/>
          <w:color w:val="000000"/>
          <w:sz w:val="32"/>
          <w:szCs w:val="32"/>
        </w:rPr>
        <w:t>杯白开水）。如果接受抗腹泻治疗后，腹泻未能在</w:t>
      </w:r>
      <w:r w:rsidRPr="003C684F">
        <w:rPr>
          <w:rFonts w:ascii="仿宋" w:hAnsi="仿宋" w:eastAsia="仿宋"/>
          <w:color w:val="000000"/>
          <w:sz w:val="32"/>
          <w:szCs w:val="32"/>
        </w:rPr>
        <w:t>24</w:t>
      </w:r>
      <w:r w:rsidRPr="003C684F">
        <w:rPr>
          <w:rFonts w:hint="eastAsia" w:ascii="仿宋" w:hAnsi="仿宋" w:eastAsia="仿宋"/>
          <w:color w:val="000000"/>
          <w:sz w:val="32"/>
          <w:szCs w:val="32"/>
        </w:rPr>
        <w:t>小时内缓解至至少</w:t>
      </w:r>
      <w:r w:rsidRPr="003C684F">
        <w:rPr>
          <w:rFonts w:ascii="仿宋" w:hAnsi="仿宋" w:eastAsia="仿宋"/>
          <w:color w:val="000000"/>
          <w:sz w:val="32"/>
          <w:szCs w:val="32"/>
        </w:rPr>
        <w:t>1</w:t>
      </w:r>
      <w:r w:rsidRPr="003C684F">
        <w:rPr>
          <w:rFonts w:hint="eastAsia" w:ascii="仿宋" w:hAnsi="仿宋" w:eastAsia="仿宋"/>
          <w:color w:val="000000"/>
          <w:sz w:val="32"/>
          <w:szCs w:val="32"/>
        </w:rPr>
        <w:t>级，则应当暂停</w:t>
      </w:r>
      <w:r w:rsidRPr="003C684F" w:rsidR="009D63EE">
        <w:rPr>
          <w:rFonts w:hint="eastAsia" w:ascii="仿宋" w:hAnsi="仿宋" w:eastAsia="仿宋"/>
          <w:color w:val="000000"/>
          <w:sz w:val="32"/>
          <w:szCs w:val="32"/>
        </w:rPr>
        <w:t>给药</w:t>
      </w:r>
      <w:r w:rsidRPr="003C684F">
        <w:rPr>
          <w:rFonts w:hint="eastAsia" w:ascii="仿宋" w:hAnsi="仿宋" w:eastAsia="仿宋"/>
          <w:color w:val="000000"/>
          <w:sz w:val="32"/>
          <w:szCs w:val="32"/>
        </w:rPr>
        <w:t>，直至腹泻缓解至至少</w:t>
      </w:r>
      <w:r w:rsidRPr="003C684F">
        <w:rPr>
          <w:rFonts w:ascii="仿宋" w:hAnsi="仿宋" w:eastAsia="仿宋"/>
          <w:color w:val="000000"/>
          <w:sz w:val="32"/>
          <w:szCs w:val="32"/>
        </w:rPr>
        <w:t>1</w:t>
      </w:r>
      <w:r w:rsidRPr="003C684F">
        <w:rPr>
          <w:rFonts w:hint="eastAsia" w:ascii="仿宋" w:hAnsi="仿宋" w:eastAsia="仿宋"/>
          <w:color w:val="000000"/>
          <w:sz w:val="32"/>
          <w:szCs w:val="32"/>
        </w:rPr>
        <w:t>级。</w:t>
      </w:r>
    </w:p>
    <w:p w:rsidRPr="003C684F" w:rsidR="009730C1" w:rsidRDefault="00A315B9" w14:paraId="097628AB" w14:textId="3E4A87F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6.应避免</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w:t>
      </w:r>
      <w:r w:rsidRPr="003C684F" w:rsidR="0027238F">
        <w:rPr>
          <w:rFonts w:hint="eastAsia" w:ascii="仿宋" w:hAnsi="仿宋" w:eastAsia="仿宋"/>
          <w:color w:val="000000"/>
          <w:sz w:val="32"/>
          <w:szCs w:val="32"/>
        </w:rPr>
        <w:t>强效</w:t>
      </w:r>
      <w:r w:rsidRPr="003C684F">
        <w:rPr>
          <w:rFonts w:hint="eastAsia" w:ascii="仿宋" w:hAnsi="仿宋" w:eastAsia="仿宋"/>
          <w:color w:val="000000"/>
          <w:sz w:val="32"/>
          <w:szCs w:val="32"/>
        </w:rPr>
        <w:t>抑制剂。如果不能避免使用CYP3A4</w:t>
      </w:r>
      <w:r w:rsidRPr="003C684F" w:rsidR="0027238F">
        <w:rPr>
          <w:rFonts w:hint="eastAsia" w:ascii="仿宋" w:hAnsi="仿宋" w:eastAsia="仿宋"/>
          <w:color w:val="000000"/>
          <w:sz w:val="32"/>
          <w:szCs w:val="32"/>
        </w:rPr>
        <w:t>强效</w:t>
      </w:r>
      <w:r w:rsidRPr="003C684F">
        <w:rPr>
          <w:rFonts w:hint="eastAsia" w:ascii="仿宋" w:hAnsi="仿宋" w:eastAsia="仿宋"/>
          <w:color w:val="000000"/>
          <w:sz w:val="32"/>
          <w:szCs w:val="32"/>
        </w:rPr>
        <w:t>抑制剂，阿贝西利的剂量应降低至100mg/次，每天两次。如果终止CYP3A4抑制剂治疗，阿贝西利剂量应升高至开始CYP3A4抑制剂治疗前所使用的剂量（在该CYP3A4抑制剂的3～5个半衰期之后）。</w:t>
      </w:r>
    </w:p>
    <w:p w:rsidRPr="003C684F" w:rsidR="009730C1" w:rsidP="0037660B" w:rsidRDefault="00A315B9" w14:paraId="1502E08C" w14:textId="77777777">
      <w:pPr>
        <w:spacing w:line="360" w:lineRule="auto"/>
        <w:ind w:firstLine="640" w:firstLineChars="200"/>
        <w:outlineLvl w:val="0"/>
        <w:rPr>
          <w:rFonts w:ascii="黑体" w:hAnsi="黑体" w:eastAsia="黑体" w:cs="黑体"/>
          <w:sz w:val="32"/>
          <w:szCs w:val="32"/>
        </w:rPr>
      </w:pPr>
      <w:r w:rsidRPr="003C684F">
        <w:rPr>
          <w:rFonts w:hint="eastAsia" w:ascii="黑体" w:hAnsi="黑体" w:eastAsia="黑体" w:cs="黑体"/>
          <w:sz w:val="32"/>
          <w:szCs w:val="32"/>
        </w:rPr>
        <w:lastRenderedPageBreak/>
        <w:t>十、西达本胺 Chidamide</w:t>
      </w:r>
    </w:p>
    <w:p w:rsidRPr="003C684F" w:rsidR="009730C1" w:rsidRDefault="00A315B9" w14:paraId="2A6D05B8"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制剂与规格：</w:t>
      </w:r>
      <w:r w:rsidRPr="003C684F">
        <w:rPr>
          <w:rFonts w:hint="eastAsia" w:ascii="仿宋" w:hAnsi="仿宋" w:eastAsia="仿宋" w:cs="仿宋"/>
          <w:sz w:val="32"/>
          <w:szCs w:val="32"/>
        </w:rPr>
        <w:t>片剂：5mg</w:t>
      </w:r>
    </w:p>
    <w:p w:rsidRPr="003C684F" w:rsidR="009730C1" w:rsidRDefault="00A315B9" w14:paraId="338139CA"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黑体"/>
          <w:b/>
          <w:sz w:val="32"/>
          <w:szCs w:val="32"/>
        </w:rPr>
        <w:t>适应证：</w:t>
      </w:r>
      <w:r w:rsidRPr="003C684F">
        <w:rPr>
          <w:rFonts w:hint="eastAsia" w:ascii="仿宋" w:hAnsi="仿宋" w:eastAsia="仿宋" w:cs="仿宋"/>
          <w:sz w:val="32"/>
          <w:szCs w:val="32"/>
        </w:rPr>
        <w:t>联合芳香化酶抑制剂用于HR阳性、HER2阴性、绝经后、经内分泌治疗复发或进展的局部晚期或转移性乳腺癌患者。</w:t>
      </w:r>
    </w:p>
    <w:p w:rsidRPr="003C684F" w:rsidR="009730C1" w:rsidRDefault="00A315B9" w14:paraId="7F92BAF8" w14:textId="77777777">
      <w:pPr>
        <w:spacing w:line="360" w:lineRule="auto"/>
        <w:ind w:firstLine="643" w:firstLineChars="200"/>
        <w:rPr>
          <w:rFonts w:ascii="仿宋" w:hAnsi="仿宋" w:eastAsia="仿宋" w:cs="黑体"/>
          <w:b/>
          <w:sz w:val="32"/>
          <w:szCs w:val="32"/>
        </w:rPr>
      </w:pPr>
      <w:r w:rsidRPr="003C684F">
        <w:rPr>
          <w:rFonts w:hint="eastAsia" w:ascii="仿宋" w:hAnsi="仿宋" w:eastAsia="仿宋" w:cs="黑体"/>
          <w:b/>
          <w:sz w:val="32"/>
          <w:szCs w:val="32"/>
        </w:rPr>
        <w:t>合理用药要点：</w:t>
      </w:r>
    </w:p>
    <w:p w:rsidRPr="003C684F" w:rsidR="009730C1" w:rsidRDefault="00A315B9" w14:paraId="3B1BABF6"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1.在接受西达本胺治疗前，经病理学证实HR阳性、HER2阴性患者方可使用。</w:t>
      </w:r>
    </w:p>
    <w:p w:rsidRPr="003C684F" w:rsidR="009730C1" w:rsidRDefault="00A315B9" w14:paraId="2FA0DD8D" w14:textId="7DF9ADA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2.本品起始剂量是30mg</w:t>
      </w:r>
      <w:r w:rsidRPr="003C684F" w:rsidR="00862809">
        <w:rPr>
          <w:rFonts w:hint="eastAsia" w:ascii="仿宋" w:hAnsi="仿宋" w:eastAsia="仿宋" w:cs="仿宋"/>
          <w:sz w:val="32"/>
          <w:szCs w:val="32"/>
        </w:rPr>
        <w:t>/次</w:t>
      </w:r>
      <w:r w:rsidRPr="003C684F">
        <w:rPr>
          <w:rFonts w:hint="eastAsia" w:ascii="仿宋" w:hAnsi="仿宋" w:eastAsia="仿宋" w:cs="仿宋"/>
          <w:sz w:val="32"/>
          <w:szCs w:val="32"/>
        </w:rPr>
        <w:t>，每周两次，</w:t>
      </w:r>
      <w:r w:rsidRPr="003C684F" w:rsidR="00862809">
        <w:rPr>
          <w:rFonts w:hint="eastAsia" w:ascii="仿宋" w:hAnsi="仿宋" w:eastAsia="仿宋" w:cs="仿宋"/>
          <w:sz w:val="32"/>
          <w:szCs w:val="32"/>
        </w:rPr>
        <w:t>口服，</w:t>
      </w:r>
      <w:r w:rsidRPr="003C684F">
        <w:rPr>
          <w:rFonts w:hint="eastAsia" w:ascii="仿宋" w:hAnsi="仿宋" w:eastAsia="仿宋" w:cs="仿宋"/>
          <w:sz w:val="32"/>
          <w:szCs w:val="32"/>
        </w:rPr>
        <w:t>两次服药间隔不应少于3天（如周一和周四、周二和周五、周三和周六等）。每4周为一个用药周期。若病情未进展或未出现不能耐受的不良反应，建议持续服药。餐后30分钟服用。</w:t>
      </w:r>
    </w:p>
    <w:p w:rsidRPr="003C684F" w:rsidR="009730C1" w:rsidRDefault="00A315B9" w14:paraId="49603440"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3.常见的不良反应主要是血液学不良反应，因此建议在使用本品前行血常规检查，指标满足以下条件方可开始用药：中性粒细胞绝对值≥1.5×10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/L，血小板≥75×10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血红蛋白≥90g/L。用药期间需定期检测血常规（通常为每周一次）。当血液学不良反应严重程度达到3级或4级时，应暂停本品用药。待指标恢复至服药前水平时，经过连续两次检查确认，可继续本品治疗。恢复用药时的剂量如下：如之前的不良反应为3级，恢复用药时可采用原剂量或剂量降低至20mg/次；如之前的不良反应为4级，恢复用药时剂量应降低至20mg/次。</w:t>
      </w:r>
    </w:p>
    <w:p w:rsidRPr="003C684F" w:rsidR="009730C1" w:rsidRDefault="00A315B9" w14:paraId="0AC166C7" w14:textId="5F77412C">
      <w:pPr>
        <w:spacing w:line="360" w:lineRule="auto"/>
        <w:ind w:firstLine="640" w:firstLineChars="200"/>
        <w:rPr>
          <w:rFonts w:ascii="仿宋" w:hAnsi="仿宋" w:eastAsia="仿宋"/>
          <w:color w:val="000000"/>
          <w:sz w:val="32"/>
          <w:szCs w:val="32"/>
        </w:rPr>
      </w:pPr>
      <w:r w:rsidRPr="003C684F">
        <w:rPr>
          <w:rFonts w:hint="eastAsia" w:ascii="仿宋" w:hAnsi="仿宋" w:eastAsia="仿宋" w:cs="仿宋"/>
          <w:sz w:val="32"/>
          <w:szCs w:val="32"/>
        </w:rPr>
        <w:lastRenderedPageBreak/>
        <w:t>4.在临床相关浓度下，西达本胺对CYP450酶主要亚型无明显抑制或诱导作用。</w:t>
      </w:r>
    </w:p>
    <w:p w:rsidRPr="003C684F" w:rsidR="009730C1" w:rsidP="0037660B" w:rsidRDefault="00A315B9" w14:paraId="38908682" w14:textId="77777777">
      <w:pPr>
        <w:spacing w:line="360" w:lineRule="auto"/>
        <w:ind w:firstLine="640" w:firstLineChars="200"/>
        <w:outlineLvl w:val="0"/>
        <w:rPr>
          <w:rFonts w:ascii="黑体" w:hAnsi="黑体" w:eastAsia="黑体"/>
          <w:color w:val="000000"/>
          <w:sz w:val="32"/>
          <w:szCs w:val="32"/>
        </w:rPr>
      </w:pPr>
      <w:r w:rsidRPr="003C684F">
        <w:rPr>
          <w:rFonts w:hint="eastAsia" w:ascii="黑体" w:hAnsi="黑体" w:eastAsia="黑体"/>
          <w:bCs/>
          <w:color w:val="000000"/>
          <w:sz w:val="32"/>
          <w:szCs w:val="32"/>
        </w:rPr>
        <w:t>十一、</w:t>
      </w:r>
      <w:r w:rsidRPr="003C684F">
        <w:rPr>
          <w:rFonts w:hint="eastAsia" w:ascii="黑体" w:hAnsi="黑体" w:eastAsia="黑体"/>
          <w:color w:val="000000"/>
          <w:sz w:val="32"/>
          <w:szCs w:val="32"/>
        </w:rPr>
        <w:t>达尔西利 Dalpiciclib</w:t>
      </w:r>
    </w:p>
    <w:p w:rsidRPr="003C684F" w:rsidR="009730C1" w:rsidRDefault="00A315B9" w14:paraId="1B84F522"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片剂：50mg、125mg、150mg</w:t>
      </w:r>
    </w:p>
    <w:p w:rsidRPr="003C684F" w:rsidR="009730C1" w:rsidRDefault="00A315B9" w14:paraId="56BCCCE7"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联合氟维司群，适用于既往接受内分泌治疗后出现疾病进展的HR阳性、HER</w:t>
      </w:r>
      <w:r w:rsidRPr="003C684F">
        <w:rPr>
          <w:rFonts w:ascii="仿宋" w:hAnsi="仿宋" w:eastAsia="仿宋"/>
          <w:color w:val="000000"/>
          <w:sz w:val="32"/>
          <w:szCs w:val="32"/>
        </w:rPr>
        <w:t>2</w:t>
      </w:r>
      <w:r w:rsidRPr="003C684F">
        <w:rPr>
          <w:rFonts w:hint="eastAsia" w:ascii="仿宋" w:hAnsi="仿宋" w:eastAsia="仿宋"/>
          <w:color w:val="000000"/>
          <w:sz w:val="32"/>
          <w:szCs w:val="32"/>
        </w:rPr>
        <w:t>阴性的复发或转移性乳腺癌患者。</w:t>
      </w:r>
    </w:p>
    <w:p w:rsidRPr="003C684F" w:rsidR="009730C1" w:rsidRDefault="00A315B9" w14:paraId="240D928F"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37BC4D38" w14:textId="77777777">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1.在接受达尔西利治疗前，应在有资质的病理实验室进行检测证实HR阳性、HER2阴性患者方可使用。</w:t>
      </w:r>
    </w:p>
    <w:p w:rsidRPr="003C684F" w:rsidR="009730C1" w:rsidRDefault="00A315B9" w14:paraId="4DEB2BF1" w14:textId="1D671398">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2.达尔西利联合内分泌治疗的推荐起始剂量为150mg/</w:t>
      </w:r>
      <w:r w:rsidRPr="003C684F" w:rsidR="00EE614D">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。每天大约同一时间服药，服药前、后1小时禁食。连续服用21天之后停药7天，28天为一个治疗周期。如果患者漏服一次，当天</w:t>
      </w:r>
      <w:r w:rsidRPr="003C684F" w:rsidR="00BD154E">
        <w:rPr>
          <w:rFonts w:hint="eastAsia" w:ascii="仿宋" w:hAnsi="仿宋" w:eastAsia="仿宋"/>
          <w:color w:val="000000"/>
          <w:sz w:val="32"/>
          <w:szCs w:val="32"/>
        </w:rPr>
        <w:t>无需</w:t>
      </w:r>
      <w:r w:rsidRPr="003C684F">
        <w:rPr>
          <w:rFonts w:hint="eastAsia" w:ascii="仿宋" w:hAnsi="仿宋" w:eastAsia="仿宋"/>
          <w:color w:val="000000"/>
          <w:sz w:val="32"/>
          <w:szCs w:val="32"/>
        </w:rPr>
        <w:t>补服，下一次按计划服药即可。</w:t>
      </w:r>
    </w:p>
    <w:p w:rsidRPr="003C684F" w:rsidR="009730C1" w:rsidRDefault="00A315B9" w14:paraId="5201AB25" w14:textId="4057321F">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3.</w:t>
      </w:r>
      <w:r w:rsidRPr="003C684F">
        <w:rPr>
          <w:rFonts w:hint="eastAsia" w:ascii="仿宋" w:hAnsi="仿宋" w:eastAsia="仿宋"/>
          <w:color w:val="000000"/>
          <w:sz w:val="32"/>
          <w:szCs w:val="32"/>
        </w:rPr>
        <w:t>对于</w:t>
      </w:r>
      <w:r w:rsidRPr="003C684F" w:rsidR="00AA068D">
        <w:rPr>
          <w:rFonts w:hint="eastAsia" w:ascii="仿宋" w:hAnsi="仿宋" w:eastAsia="仿宋"/>
          <w:color w:val="000000"/>
          <w:sz w:val="32"/>
          <w:szCs w:val="32"/>
        </w:rPr>
        <w:t>白</w:t>
      </w:r>
      <w:r w:rsidRPr="003C684F">
        <w:rPr>
          <w:rFonts w:hint="eastAsia" w:ascii="仿宋" w:hAnsi="仿宋" w:eastAsia="仿宋"/>
          <w:color w:val="000000"/>
          <w:sz w:val="32"/>
          <w:szCs w:val="32"/>
        </w:rPr>
        <w:t>细胞/</w:t>
      </w:r>
      <w:r w:rsidRPr="003C684F" w:rsidR="00AA068D">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等血液学不良反应可首先进行对症治疗并密切观察。对症治疗后仍未缓解的不良反应，可对达尔西利进行暂停用药和/或</w:t>
      </w:r>
      <w:r w:rsidRPr="003C684F" w:rsidR="00DF7B96">
        <w:rPr>
          <w:rFonts w:hint="eastAsia" w:ascii="仿宋" w:hAnsi="仿宋" w:eastAsia="仿宋"/>
          <w:color w:val="000000"/>
          <w:sz w:val="32"/>
          <w:szCs w:val="32"/>
        </w:rPr>
        <w:t>降低剂量</w:t>
      </w:r>
      <w:r w:rsidRPr="003C684F">
        <w:rPr>
          <w:rFonts w:hint="eastAsia" w:ascii="仿宋" w:hAnsi="仿宋" w:eastAsia="仿宋"/>
          <w:color w:val="000000"/>
          <w:sz w:val="32"/>
          <w:szCs w:val="32"/>
        </w:rPr>
        <w:t>。原则：血液学毒性1</w:t>
      </w:r>
      <w:r w:rsidRPr="003C684F" w:rsidR="00407E47">
        <w:rPr>
          <w:rFonts w:hint="eastAsia" w:ascii="仿宋" w:hAnsi="仿宋" w:eastAsia="仿宋"/>
          <w:color w:val="000000"/>
          <w:sz w:val="32"/>
          <w:szCs w:val="32"/>
        </w:rPr>
        <w:t>级</w:t>
      </w:r>
      <w:r w:rsidRPr="003C684F">
        <w:rPr>
          <w:rFonts w:hint="eastAsia" w:ascii="仿宋" w:hAnsi="仿宋" w:eastAsia="仿宋"/>
          <w:color w:val="000000"/>
          <w:sz w:val="32"/>
          <w:szCs w:val="32"/>
        </w:rPr>
        <w:t>或2级无需剂量调整。3级血液学毒性需暂停服用达尔西利，直至恢复至≤2级。当首次出现的3级不良反应在恢复至≤2级时，以相同剂量开始下一治疗周期。当3级不良反应多次发生时，恢复后可考虑下调一个剂量重</w:t>
      </w:r>
      <w:r w:rsidRPr="003C684F">
        <w:rPr>
          <w:rFonts w:hint="eastAsia" w:ascii="仿宋" w:hAnsi="仿宋" w:eastAsia="仿宋"/>
          <w:color w:val="000000"/>
          <w:sz w:val="32"/>
          <w:szCs w:val="32"/>
        </w:rPr>
        <w:lastRenderedPageBreak/>
        <w:t>新开始治疗。4级或3级及以上发热性中性粒细胞减少症需暂停服用达尔西利，直至恢复至≤2级。当首次出现4级不良反应或3级及以上发热性中性粒细胞减少症时，恢复后可考虑相同剂量或下调一个剂量重新开始治疗。非血液学毒性1或2级无需剂量调整。3级及以上非血液学不良反应需暂停服用达尔西利，直至恢复至≤2级。以同样剂量或下调一个剂量重新开始治疗。</w:t>
      </w:r>
    </w:p>
    <w:p w:rsidRPr="003C684F" w:rsidR="009730C1" w:rsidRDefault="00A315B9" w14:paraId="250F882E" w14:textId="2A5FF3E1">
      <w:pPr>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4</w:t>
      </w:r>
      <w:r w:rsidRPr="003C684F">
        <w:rPr>
          <w:rFonts w:hint="eastAsia" w:ascii="仿宋" w:hAnsi="仿宋" w:eastAsia="仿宋"/>
          <w:color w:val="000000"/>
          <w:sz w:val="32"/>
          <w:szCs w:val="32"/>
        </w:rPr>
        <w:t>.达尔西利治疗期间应避免</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使用CYP3A4强效抑制剂。如必须使用，应考虑暂停达尔西利；在停止使用CYP3A4强效抑制剂且至该药物清除3～5个半衰期后，可恢复达尔西利用药至</w:t>
      </w:r>
      <w:r w:rsidRPr="003C684F" w:rsidR="00B53733">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使用CYP3A4强效抑制剂前的给药剂量与频率。</w:t>
      </w:r>
    </w:p>
    <w:p w:rsidRPr="003C684F" w:rsidR="009730C1" w:rsidRDefault="00A315B9" w14:paraId="5FE8091A" w14:textId="4AA7EA30">
      <w:pPr>
        <w:widowControl/>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5</w:t>
      </w:r>
      <w:r w:rsidRPr="003C684F">
        <w:rPr>
          <w:rFonts w:hint="eastAsia" w:ascii="仿宋" w:hAnsi="仿宋" w:eastAsia="仿宋"/>
          <w:color w:val="000000"/>
          <w:sz w:val="32"/>
          <w:szCs w:val="32"/>
        </w:rPr>
        <w:t>.尚未开展达尔西利在儿童、青少年、肝肾功能损伤的药代动力学研究。但有研究提示在肝肾功能轻度异常的患者中，</w:t>
      </w:r>
      <w:r w:rsidRPr="003C684F" w:rsidR="002B60B6">
        <w:rPr>
          <w:rFonts w:hint="eastAsia" w:ascii="仿宋" w:hAnsi="仿宋" w:eastAsia="仿宋"/>
          <w:color w:val="000000"/>
          <w:sz w:val="32"/>
          <w:szCs w:val="32"/>
        </w:rPr>
        <w:t>达尔西利的吸收、代谢和清除不受影响</w:t>
      </w:r>
      <w:r w:rsidRPr="003C684F">
        <w:rPr>
          <w:rFonts w:hint="eastAsia" w:ascii="仿宋" w:hAnsi="仿宋" w:eastAsia="仿宋"/>
          <w:color w:val="000000"/>
          <w:sz w:val="32"/>
          <w:szCs w:val="32"/>
        </w:rPr>
        <w:t>。</w:t>
      </w:r>
    </w:p>
    <w:p w:rsidRPr="003C684F" w:rsidR="009730C1" w:rsidRDefault="00A315B9" w14:paraId="63B213B8" w14:textId="77777777">
      <w:pPr>
        <w:widowControl/>
        <w:spacing w:line="360" w:lineRule="auto"/>
        <w:ind w:firstLine="640" w:firstLineChars="200"/>
        <w:rPr>
          <w:rFonts w:ascii="仿宋" w:hAnsi="仿宋" w:eastAsia="仿宋"/>
          <w:color w:val="000000"/>
          <w:sz w:val="32"/>
          <w:szCs w:val="32"/>
        </w:rPr>
      </w:pPr>
      <w:r w:rsidRPr="003C684F">
        <w:rPr>
          <w:rFonts w:ascii="仿宋" w:hAnsi="仿宋" w:eastAsia="仿宋"/>
          <w:color w:val="000000"/>
          <w:sz w:val="32"/>
          <w:szCs w:val="32"/>
        </w:rPr>
        <w:t>6</w:t>
      </w:r>
      <w:r w:rsidRPr="003C684F">
        <w:rPr>
          <w:rFonts w:hint="eastAsia" w:ascii="仿宋" w:hAnsi="仿宋" w:eastAsia="仿宋"/>
          <w:color w:val="000000"/>
          <w:sz w:val="32"/>
          <w:szCs w:val="32"/>
        </w:rPr>
        <w:t>.Ⅲ期临床试验（DAWNA</w:t>
      </w:r>
      <w:r w:rsidRPr="003C684F">
        <w:rPr>
          <w:rFonts w:ascii="仿宋" w:hAnsi="仿宋" w:eastAsia="仿宋"/>
          <w:color w:val="000000"/>
          <w:sz w:val="32"/>
          <w:szCs w:val="32"/>
        </w:rPr>
        <w:t>-1</w:t>
      </w:r>
      <w:r w:rsidRPr="003C684F">
        <w:rPr>
          <w:rFonts w:hint="eastAsia" w:ascii="仿宋" w:hAnsi="仿宋" w:eastAsia="仿宋"/>
          <w:color w:val="000000"/>
          <w:sz w:val="32"/>
          <w:szCs w:val="32"/>
        </w:rPr>
        <w:t>）数据显示，达尔西利联合氟维司群较安慰剂联合氟维司群，在既往接受过内分泌治疗后进展的HR阳性、HER2阴性患者中，显著提高无进展生存期（15.7个月</w:t>
      </w:r>
      <w:r w:rsidRPr="003C684F">
        <w:rPr>
          <w:rFonts w:hint="eastAsia" w:ascii="仿宋" w:hAnsi="仿宋" w:eastAsia="仿宋"/>
          <w:i/>
          <w:color w:val="000000"/>
          <w:sz w:val="32"/>
          <w:szCs w:val="32"/>
        </w:rPr>
        <w:t>vs</w:t>
      </w:r>
      <w:r w:rsidRPr="003C684F">
        <w:rPr>
          <w:rFonts w:hint="eastAsia" w:ascii="仿宋" w:hAnsi="仿宋" w:eastAsia="仿宋"/>
          <w:color w:val="000000"/>
          <w:sz w:val="32"/>
          <w:szCs w:val="32"/>
        </w:rPr>
        <w:t>7.2个月，</w:t>
      </w:r>
      <w:r w:rsidRPr="003C684F">
        <w:rPr>
          <w:rFonts w:ascii="仿宋" w:hAnsi="仿宋" w:eastAsia="仿宋"/>
          <w:i/>
          <w:color w:val="000000"/>
          <w:sz w:val="32"/>
          <w:szCs w:val="32"/>
        </w:rPr>
        <w:t>p</w:t>
      </w:r>
      <w:r w:rsidRPr="003C684F">
        <w:rPr>
          <w:rFonts w:hint="eastAsia" w:ascii="仿宋" w:hAnsi="仿宋" w:eastAsia="仿宋"/>
          <w:color w:val="000000"/>
          <w:sz w:val="32"/>
          <w:szCs w:val="32"/>
        </w:rPr>
        <w:t>＜0.0001）。</w:t>
      </w:r>
    </w:p>
    <w:p w:rsidRPr="003C684F" w:rsidR="009730C1" w:rsidP="0037660B" w:rsidRDefault="00A315B9" w14:paraId="41AB5B8D" w14:textId="77777777">
      <w:pPr>
        <w:ind w:firstLine="640" w:firstLineChars="200"/>
        <w:outlineLvl w:val="0"/>
        <w:rPr>
          <w:rFonts w:ascii="仿宋" w:hAnsi="仿宋" w:eastAsia="仿宋"/>
          <w:color w:val="000000"/>
          <w:sz w:val="32"/>
          <w:szCs w:val="32"/>
        </w:rPr>
      </w:pPr>
      <w:r w:rsidRPr="003C684F">
        <w:rPr>
          <w:rFonts w:hint="eastAsia" w:ascii="黑体" w:hAnsi="黑体" w:eastAsia="黑体"/>
          <w:color w:val="000000"/>
          <w:sz w:val="32"/>
          <w:szCs w:val="32"/>
        </w:rPr>
        <w:t>十二、依维莫司 Everolimus</w:t>
      </w:r>
    </w:p>
    <w:p w:rsidRPr="003C684F" w:rsidR="009730C1" w:rsidRDefault="00A315B9" w14:paraId="65E404AA"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片剂：2.5mg、5mg、10mg</w:t>
      </w:r>
    </w:p>
    <w:p w:rsidRPr="003C684F" w:rsidR="009730C1" w:rsidRDefault="00A315B9" w14:paraId="7793E2CB" w14:textId="77777777">
      <w:pPr>
        <w:ind w:firstLine="643" w:firstLineChars="200"/>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联合依西美坦用于治疗来曲唑或阿那曲唑治疗</w:t>
      </w:r>
      <w:r w:rsidRPr="003C684F">
        <w:rPr>
          <w:rFonts w:hint="eastAsia" w:ascii="仿宋" w:hAnsi="仿宋" w:eastAsia="仿宋"/>
          <w:color w:val="000000"/>
          <w:sz w:val="32"/>
          <w:szCs w:val="32"/>
        </w:rPr>
        <w:lastRenderedPageBreak/>
        <w:t>失败后的HR阳性、HER2阴性绝经后晚期女性乳腺癌患者。</w:t>
      </w:r>
    </w:p>
    <w:p w:rsidRPr="003C684F" w:rsidR="009730C1" w:rsidRDefault="00A315B9" w14:paraId="7F707B4E"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9375F6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1.在接受依维莫司治疗前，应在有资质的病理实验室进行HR（ER、PR）以及HER2检测，HR阳性、HER2阴性患者方可应用依维莫司治疗。</w:t>
      </w:r>
    </w:p>
    <w:p w:rsidRPr="003C684F" w:rsidR="009730C1" w:rsidRDefault="00A315B9" w14:paraId="7C534323" w14:textId="13AB975D">
      <w:pPr>
        <w:autoSpaceDE w:val="0"/>
        <w:autoSpaceDN w:val="0"/>
        <w:adjustRightInd w:val="0"/>
        <w:spacing w:line="360" w:lineRule="auto"/>
        <w:ind w:left="142"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2.使用依维莫司治疗的患者，需避免同时使用CYP3A4强效抑制剂，谨慎</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CYP3A4和/或</w:t>
      </w:r>
      <w:r w:rsidR="007B5082">
        <w:rPr>
          <w:rFonts w:hint="eastAsia" w:ascii="仿宋" w:hAnsi="仿宋" w:eastAsia="仿宋"/>
          <w:color w:val="000000"/>
          <w:sz w:val="32"/>
          <w:szCs w:val="32"/>
        </w:rPr>
        <w:t>P-糖蛋白</w:t>
      </w:r>
      <w:r w:rsidRPr="003C684F">
        <w:rPr>
          <w:rFonts w:hint="eastAsia" w:ascii="仿宋" w:hAnsi="仿宋" w:eastAsia="仿宋"/>
          <w:color w:val="000000"/>
          <w:sz w:val="32"/>
          <w:szCs w:val="32"/>
        </w:rPr>
        <w:t>中效抑制剂，避免</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w:t>
      </w:r>
      <w:r w:rsidRPr="003C684F" w:rsidR="00CD59D9">
        <w:rPr>
          <w:rFonts w:hint="eastAsia" w:ascii="仿宋" w:hAnsi="仿宋" w:eastAsia="仿宋"/>
          <w:color w:val="000000"/>
          <w:sz w:val="32"/>
          <w:szCs w:val="32"/>
        </w:rPr>
        <w:t>强效</w:t>
      </w:r>
      <w:r w:rsidRPr="003C684F">
        <w:rPr>
          <w:rFonts w:hint="eastAsia" w:ascii="仿宋" w:hAnsi="仿宋" w:eastAsia="仿宋"/>
          <w:color w:val="000000"/>
          <w:sz w:val="32"/>
          <w:szCs w:val="32"/>
        </w:rPr>
        <w:t>诱导剂。治疗中应避免食用已知可能抑制CYP450和</w:t>
      </w:r>
      <w:r w:rsidR="007B5082">
        <w:rPr>
          <w:rFonts w:hint="eastAsia" w:ascii="仿宋" w:hAnsi="仿宋" w:eastAsia="仿宋"/>
          <w:color w:val="000000"/>
          <w:sz w:val="32"/>
          <w:szCs w:val="32"/>
        </w:rPr>
        <w:t>P-糖蛋白</w:t>
      </w:r>
      <w:r w:rsidRPr="003C684F">
        <w:rPr>
          <w:rFonts w:hint="eastAsia" w:ascii="仿宋" w:hAnsi="仿宋" w:eastAsia="仿宋"/>
          <w:color w:val="000000"/>
          <w:sz w:val="32"/>
          <w:szCs w:val="32"/>
        </w:rPr>
        <w:t>活性的</w:t>
      </w:r>
      <w:r w:rsidR="007B5082">
        <w:rPr>
          <w:rFonts w:hint="eastAsia" w:ascii="仿宋" w:hAnsi="仿宋" w:eastAsia="仿宋"/>
          <w:color w:val="000000"/>
          <w:sz w:val="32"/>
          <w:szCs w:val="32"/>
        </w:rPr>
        <w:t>葡萄柚</w:t>
      </w:r>
      <w:r w:rsidRPr="003C684F">
        <w:rPr>
          <w:rFonts w:hint="eastAsia" w:ascii="仿宋" w:hAnsi="仿宋" w:eastAsia="仿宋"/>
          <w:color w:val="000000"/>
          <w:sz w:val="32"/>
          <w:szCs w:val="32"/>
        </w:rPr>
        <w:t>、</w:t>
      </w:r>
      <w:r w:rsidR="007B5082">
        <w:rPr>
          <w:rFonts w:hint="eastAsia" w:ascii="仿宋" w:hAnsi="仿宋" w:eastAsia="仿宋"/>
          <w:color w:val="000000"/>
          <w:sz w:val="32"/>
          <w:szCs w:val="32"/>
        </w:rPr>
        <w:t>葡萄柚</w:t>
      </w:r>
      <w:r w:rsidRPr="003C684F">
        <w:rPr>
          <w:rFonts w:hint="eastAsia" w:ascii="仿宋" w:hAnsi="仿宋" w:eastAsia="仿宋"/>
          <w:color w:val="000000"/>
          <w:sz w:val="32"/>
          <w:szCs w:val="32"/>
        </w:rPr>
        <w:t>汁等食物。</w:t>
      </w:r>
    </w:p>
    <w:p w:rsidRPr="003C684F" w:rsidR="009730C1" w:rsidRDefault="00A315B9" w14:paraId="21437E51" w14:textId="109BDEFC">
      <w:pPr>
        <w:autoSpaceDE w:val="0"/>
        <w:autoSpaceDN w:val="0"/>
        <w:adjustRightInd w:val="0"/>
        <w:spacing w:line="360" w:lineRule="auto"/>
        <w:ind w:left="124" w:leftChars="59"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依维莫司相关的常见不良反应包括口腔炎、非感染性肺炎、代谢异常等。建议患者服药期间定期随诊监测血糖、血脂、肝功能及肺部CT。多数依维莫司相关非感染性肺炎无临床症状，如患者出现呼吸系统表现且需要药物干预，建议中断依维莫司治疗并考虑糖皮质激素治疗至症状缓解。患者缓解后建议以低剂量重新开始治疗。为减少口腔炎发生率，治疗时可考虑给予含地塞米松0.5mg/5ml、不含酒精的口腔溶液作为漱口水进行预防（10ml漱口2分钟，之后吐掉，每天重复4次，连续8周）。处理严重和/或不可耐受的不良反应时，可能需要暂时减少给药剂量和/或中断本品治疗。如需要减少剂量，推荐剂量大约为之前给药剂量的一半。如果剂量减至最低可用片剂规格以下时，应考虑每隔一日</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w:t>
      </w:r>
    </w:p>
    <w:p w:rsidRPr="003C684F" w:rsidR="009730C1" w:rsidRDefault="00A315B9" w14:paraId="3551B2C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4.真实世界临床研究数据提示，HR阳性转移性乳腺癌患者，接受CDK4/6抑制剂治疗进展后，仍有可能从依维莫司联合内分泌治疗的方案中获益。</w:t>
      </w:r>
    </w:p>
    <w:p w:rsidRPr="003C684F" w:rsidR="009730C1" w:rsidRDefault="00A315B9" w14:paraId="1A4475D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5.临床研究证明，依维莫司联合氟维司群、他莫昔芬、来曲唑等内分泌治疗药物也可使患者临床获益。</w:t>
      </w:r>
    </w:p>
    <w:p w:rsidRPr="003C684F" w:rsidR="009730C1" w:rsidRDefault="00A315B9" w14:paraId="4F691151" w14:textId="422E4B81">
      <w:pPr>
        <w:autoSpaceDE w:val="0"/>
        <w:autoSpaceDN w:val="0"/>
        <w:adjustRightInd w:val="0"/>
        <w:spacing w:line="360" w:lineRule="auto"/>
        <w:ind w:left="142"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6.依维莫司的推荐起始剂量为10mg</w:t>
      </w:r>
      <w:r w:rsidRPr="003C684F" w:rsidR="00EE614D">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EE614D">
        <w:rPr>
          <w:rFonts w:hint="eastAsia" w:ascii="仿宋" w:hAnsi="仿宋" w:eastAsia="仿宋"/>
          <w:color w:val="000000"/>
          <w:sz w:val="32"/>
          <w:szCs w:val="32"/>
        </w:rPr>
        <w:t>，</w:t>
      </w:r>
      <w:r w:rsidRPr="003C684F">
        <w:rPr>
          <w:rFonts w:hint="eastAsia" w:ascii="仿宋" w:hAnsi="仿宋" w:eastAsia="仿宋"/>
          <w:color w:val="000000"/>
          <w:sz w:val="32"/>
          <w:szCs w:val="32"/>
        </w:rPr>
        <w:t>口服，</w:t>
      </w:r>
      <w:r w:rsidRPr="003C684F" w:rsidR="00EE614D">
        <w:rPr>
          <w:rFonts w:hint="eastAsia" w:ascii="仿宋" w:hAnsi="仿宋" w:eastAsia="仿宋"/>
          <w:color w:val="000000"/>
          <w:sz w:val="32"/>
          <w:szCs w:val="32"/>
        </w:rPr>
        <w:t>每天在同一时间服用，</w:t>
      </w:r>
      <w:r w:rsidRPr="003C684F" w:rsidR="005760F0">
        <w:rPr>
          <w:rFonts w:hint="eastAsia" w:ascii="仿宋" w:hAnsi="仿宋" w:eastAsia="仿宋"/>
          <w:color w:val="000000"/>
          <w:sz w:val="32"/>
          <w:szCs w:val="32"/>
        </w:rPr>
        <w:t>可与食物同服或不同服</w:t>
      </w:r>
      <w:r w:rsidRPr="003C684F">
        <w:rPr>
          <w:rFonts w:hint="eastAsia" w:ascii="仿宋" w:hAnsi="仿宋" w:eastAsia="仿宋"/>
          <w:color w:val="000000"/>
          <w:sz w:val="32"/>
          <w:szCs w:val="32"/>
        </w:rPr>
        <w:t>。用一杯水整片送服本品片剂，</w:t>
      </w:r>
      <w:r w:rsidRPr="003C684F" w:rsidR="00584CC8">
        <w:rPr>
          <w:rFonts w:hint="eastAsia" w:ascii="仿宋" w:hAnsi="仿宋" w:eastAsia="仿宋"/>
          <w:color w:val="000000"/>
          <w:sz w:val="32"/>
          <w:szCs w:val="32"/>
        </w:rPr>
        <w:t>不应咀嚼、压碎、溶解或掰断药片。</w:t>
      </w:r>
      <w:r w:rsidRPr="003C684F">
        <w:rPr>
          <w:rFonts w:hint="eastAsia" w:ascii="仿宋" w:hAnsi="仿宋" w:eastAsia="仿宋"/>
          <w:color w:val="000000"/>
          <w:sz w:val="32"/>
          <w:szCs w:val="32"/>
        </w:rPr>
        <w:t>在正常服用时间后6小时内均可补服遗漏剂量，超过6小时后应跳过该剂量，次日按正常时间服用依维莫司，不可将剂量翻倍以弥补遗漏剂量。但临床用于那些化疗失败患者，或一般情况较差的患者，起始剂量可以减为5mg/</w:t>
      </w:r>
      <w:r w:rsidRPr="003C684F" w:rsidR="00EE614D">
        <w:rPr>
          <w:rFonts w:hint="eastAsia" w:ascii="仿宋" w:hAnsi="仿宋" w:eastAsia="仿宋"/>
          <w:color w:val="000000"/>
          <w:sz w:val="32"/>
          <w:szCs w:val="32"/>
        </w:rPr>
        <w:t>次</w:t>
      </w:r>
      <w:r w:rsidRPr="003C684F">
        <w:rPr>
          <w:rFonts w:hint="eastAsia" w:ascii="仿宋" w:hAnsi="仿宋" w:eastAsia="仿宋"/>
          <w:color w:val="000000"/>
          <w:sz w:val="32"/>
          <w:szCs w:val="32"/>
        </w:rPr>
        <w:t>，以免出现不可耐受的不良反应。</w:t>
      </w:r>
    </w:p>
    <w:p w:rsidRPr="003C684F" w:rsidR="009730C1" w:rsidRDefault="00A315B9" w14:paraId="0CCA3F53" w14:textId="5DB193F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7.疗程：建议持续治疗直至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45EC0009" w14:textId="4A105A7A">
      <w:pPr>
        <w:spacing w:line="360" w:lineRule="auto"/>
        <w:ind w:firstLine="640" w:firstLineChars="200"/>
        <w:rPr>
          <w:rFonts w:ascii="仿宋" w:hAnsi="仿宋" w:eastAsia="仿宋" w:cs="Times New Roman"/>
          <w:b/>
          <w:bCs/>
          <w:sz w:val="32"/>
          <w:szCs w:val="32"/>
        </w:rPr>
      </w:pPr>
      <w:r w:rsidRPr="003C684F">
        <w:rPr>
          <w:rFonts w:hint="eastAsia" w:ascii="黑体" w:hAnsi="黑体" w:eastAsia="黑体"/>
          <w:color w:val="000000"/>
          <w:sz w:val="32"/>
          <w:szCs w:val="32"/>
        </w:rPr>
        <w:t xml:space="preserve">十三、戈沙妥珠单抗 </w:t>
      </w:r>
      <w:r w:rsidRPr="003C684F">
        <w:rPr>
          <w:rFonts w:ascii="黑体" w:hAnsi="黑体" w:eastAsia="黑体"/>
          <w:color w:val="000000"/>
          <w:sz w:val="32"/>
          <w:szCs w:val="32"/>
        </w:rPr>
        <w:t>Sacituzumab</w:t>
      </w:r>
      <w:r w:rsidRPr="003C684F" w:rsidR="008D0314">
        <w:rPr>
          <w:rFonts w:hint="eastAsia" w:ascii="黑体" w:hAnsi="黑体" w:eastAsia="黑体"/>
          <w:color w:val="000000"/>
          <w:sz w:val="32"/>
          <w:szCs w:val="32"/>
        </w:rPr>
        <w:t xml:space="preserve"> </w:t>
      </w:r>
      <w:r w:rsidRPr="003C684F">
        <w:rPr>
          <w:rFonts w:ascii="黑体" w:hAnsi="黑体" w:eastAsia="黑体"/>
          <w:color w:val="000000"/>
          <w:sz w:val="32"/>
          <w:szCs w:val="32"/>
        </w:rPr>
        <w:t>Govitecan</w:t>
      </w:r>
    </w:p>
    <w:p w:rsidRPr="003C684F" w:rsidR="009730C1" w:rsidRDefault="00A315B9" w14:paraId="09CA2B8B"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注射剂：</w:t>
      </w:r>
      <w:r w:rsidRPr="003C684F">
        <w:rPr>
          <w:rFonts w:ascii="仿宋" w:hAnsi="仿宋" w:eastAsia="仿宋"/>
          <w:color w:val="000000"/>
          <w:sz w:val="32"/>
          <w:szCs w:val="32"/>
        </w:rPr>
        <w:t>180mg</w:t>
      </w:r>
      <w:r w:rsidRPr="003C684F">
        <w:rPr>
          <w:rFonts w:hint="eastAsia" w:ascii="仿宋" w:hAnsi="仿宋" w:eastAsia="仿宋"/>
          <w:color w:val="000000"/>
          <w:sz w:val="32"/>
          <w:szCs w:val="32"/>
        </w:rPr>
        <w:t>/瓶</w:t>
      </w:r>
    </w:p>
    <w:p w:rsidRPr="003C684F" w:rsidR="009730C1" w:rsidRDefault="00A315B9" w14:paraId="2BF537E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本品用于既往至少接受过两种系统治疗（其中至少一种治疗针对转移性疾病），不可切除的局部晚期或转移性三阴性乳腺癌成人患者。</w:t>
      </w:r>
    </w:p>
    <w:p w:rsidRPr="003C684F" w:rsidR="009730C1" w:rsidRDefault="00A315B9" w14:paraId="796E92E6"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20676A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1.IMMU-132-01、IMMU-132-05（ASCENT）、EVER-132-001</w:t>
      </w:r>
      <w:r w:rsidRPr="003C684F">
        <w:rPr>
          <w:rFonts w:hint="eastAsia" w:ascii="仿宋" w:hAnsi="仿宋" w:eastAsia="仿宋"/>
          <w:color w:val="000000"/>
          <w:sz w:val="32"/>
          <w:szCs w:val="32"/>
        </w:rPr>
        <w:lastRenderedPageBreak/>
        <w:t>等多项临床研究证实，针对二线及以上转移性三阴性乳腺癌患者，与单药化疗相比，戈沙妥珠单抗可显著改善患者的ORR、PFS、OS等临床指标。</w:t>
      </w:r>
    </w:p>
    <w:p w:rsidRPr="003C684F" w:rsidR="009730C1" w:rsidRDefault="00A315B9" w14:paraId="6D03545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2.尚无充分的证据提示TROP-2可以作为常规检测指导戈沙妥珠单抗在三阴性乳腺癌的临床用药，目前不推荐临床使用前常规检测TROP-2表达水平。</w:t>
      </w:r>
    </w:p>
    <w:p w:rsidRPr="003C684F" w:rsidR="009730C1" w:rsidRDefault="00A315B9" w14:paraId="33C8503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 xml:space="preserve">3.对于初始受体状态非三阴性乳腺癌的患者，ASCENT研究证实戈沙妥珠单抗治疗的临床获益显著优于单药化疗。 </w:t>
      </w:r>
    </w:p>
    <w:p w:rsidRPr="003C684F" w:rsidR="009730C1" w:rsidRDefault="00A315B9" w14:paraId="26BB606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4.对于内分泌（包括CDK4/6抑制剂）和化疗经治的HR阳性、HER2阴性转移性乳腺癌患者，TROPiCS-02研究结果显示戈沙妥珠单抗临床获益显著优于单药化疗。</w:t>
      </w:r>
    </w:p>
    <w:p w:rsidRPr="003C684F" w:rsidR="009730C1" w:rsidRDefault="00A315B9" w14:paraId="7D6ED969" w14:textId="40F611C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5.每次本品给药前，建议预防性用药，以预防输液反应和化疗诱导的恶心和呕吐。输注前使用退热药、H</w:t>
      </w:r>
      <w:r w:rsidRPr="003C684F">
        <w:rPr>
          <w:rFonts w:ascii="仿宋" w:hAnsi="仿宋" w:eastAsia="仿宋"/>
          <w:color w:val="000000"/>
          <w:sz w:val="32"/>
          <w:szCs w:val="32"/>
          <w:vertAlign w:val="subscript"/>
        </w:rPr>
        <w:t>1</w:t>
      </w:r>
      <w:r w:rsidRPr="003C684F">
        <w:rPr>
          <w:rFonts w:hint="eastAsia" w:ascii="仿宋" w:hAnsi="仿宋" w:eastAsia="仿宋"/>
          <w:color w:val="000000"/>
          <w:sz w:val="32"/>
          <w:szCs w:val="32"/>
        </w:rPr>
        <w:t>和H</w:t>
      </w:r>
      <w:r w:rsidRPr="003C684F">
        <w:rPr>
          <w:rFonts w:ascii="仿宋" w:hAnsi="仿宋" w:eastAsia="仿宋"/>
          <w:color w:val="000000"/>
          <w:sz w:val="32"/>
          <w:szCs w:val="32"/>
          <w:vertAlign w:val="subscript"/>
        </w:rPr>
        <w:t>2</w:t>
      </w:r>
      <w:r w:rsidRPr="003C684F" w:rsidR="00407E47">
        <w:rPr>
          <w:rFonts w:hint="eastAsia" w:ascii="仿宋" w:hAnsi="仿宋" w:eastAsia="仿宋"/>
          <w:color w:val="000000"/>
          <w:sz w:val="32"/>
          <w:szCs w:val="32"/>
        </w:rPr>
        <w:t>受体</w:t>
      </w:r>
      <w:r w:rsidRPr="003C684F">
        <w:rPr>
          <w:rFonts w:hint="eastAsia" w:ascii="仿宋" w:hAnsi="仿宋" w:eastAsia="仿宋"/>
          <w:color w:val="000000"/>
          <w:sz w:val="32"/>
          <w:szCs w:val="32"/>
        </w:rPr>
        <w:t>阻滞剂进行预防用药，既往发生输液反应的患者可使用糖皮质激素。采用两种或三种药物联合方案[例如：地塞米松和5-羟色胺3（5-HT</w:t>
      </w:r>
      <w:r w:rsidRPr="003C684F">
        <w:rPr>
          <w:rFonts w:hint="eastAsia" w:ascii="仿宋" w:hAnsi="仿宋" w:eastAsia="仿宋"/>
          <w:color w:val="000000"/>
          <w:sz w:val="32"/>
          <w:szCs w:val="32"/>
          <w:vertAlign w:val="subscript"/>
        </w:rPr>
        <w:t>3</w:t>
      </w:r>
      <w:r w:rsidRPr="003C684F">
        <w:rPr>
          <w:rFonts w:hint="eastAsia" w:ascii="仿宋" w:hAnsi="仿宋" w:eastAsia="仿宋"/>
          <w:color w:val="000000"/>
          <w:sz w:val="32"/>
          <w:szCs w:val="32"/>
        </w:rPr>
        <w:t>）受体拮抗剂或神经激肽受体1（NK1受体）拮抗剂等]进行预防用药。</w:t>
      </w:r>
    </w:p>
    <w:p w:rsidRPr="003C684F" w:rsidR="009730C1" w:rsidRDefault="00A315B9" w14:paraId="20978A9B" w14:textId="2AE734A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6.本品的推荐使用剂量为每次10mg/kg，第1天和第8天静脉输注，每21天为一个治疗周期，持续治疗直至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注意：本品给药剂量不得超过10mg/kg，本品仅可通过静脉输注给药，不得通过静脉推注给药。首次输注时间应至少持续3小时。在输注过程中和输</w:t>
      </w:r>
      <w:r w:rsidRPr="003C684F">
        <w:rPr>
          <w:rFonts w:hint="eastAsia" w:ascii="仿宋" w:hAnsi="仿宋" w:eastAsia="仿宋"/>
          <w:color w:val="000000"/>
          <w:sz w:val="32"/>
          <w:szCs w:val="32"/>
        </w:rPr>
        <w:lastRenderedPageBreak/>
        <w:t>注结束后至少30分钟观察患者是否出现输液反应。后续输注：如果之前的输注可耐受，则输注时间可减为1～2小时。在输注过程中观察患者是否出现输液反应，并在输注结束后观察至少30分钟。</w:t>
      </w:r>
    </w:p>
    <w:p w:rsidRPr="003C684F" w:rsidR="009730C1" w:rsidRDefault="00A315B9" w14:paraId="70AD20B7"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7.戈沙妥珠单抗最常见的不良反应是</w:t>
      </w:r>
      <w:r w:rsidRPr="003C684F" w:rsidR="00691EDE">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和腹泻。当中性粒细胞绝对计数低于</w:t>
      </w:r>
      <w:r w:rsidRPr="003C684F">
        <w:rPr>
          <w:rFonts w:hint="eastAsia" w:ascii="仿宋" w:hAnsi="仿宋" w:eastAsia="仿宋" w:cs="仿宋"/>
          <w:sz w:val="32"/>
          <w:szCs w:val="32"/>
        </w:rPr>
        <w:t>1.5×10</w:t>
      </w:r>
      <w:r w:rsidRPr="003C684F">
        <w:rPr>
          <w:rFonts w:hint="eastAsia" w:ascii="仿宋" w:hAnsi="仿宋" w:eastAsia="仿宋" w:cs="仿宋"/>
          <w:sz w:val="32"/>
          <w:szCs w:val="32"/>
          <w:vertAlign w:val="superscript"/>
        </w:rPr>
        <w:t>9</w:t>
      </w:r>
      <w:r w:rsidRPr="003C684F">
        <w:rPr>
          <w:rFonts w:hint="eastAsia" w:ascii="仿宋" w:hAnsi="仿宋" w:eastAsia="仿宋" w:cs="仿宋"/>
          <w:sz w:val="32"/>
          <w:szCs w:val="32"/>
        </w:rPr>
        <w:t>/L</w:t>
      </w:r>
      <w:r w:rsidRPr="003C684F">
        <w:rPr>
          <w:rFonts w:hint="eastAsia" w:ascii="仿宋" w:hAnsi="仿宋" w:eastAsia="仿宋"/>
          <w:color w:val="000000"/>
          <w:sz w:val="32"/>
          <w:szCs w:val="32"/>
        </w:rPr>
        <w:t>或发热性中性粒细胞减少症时，应暂停本品治疗。治疗期间定期监测血细胞计数，考虑使用粒细胞集落刺激因子进行二级预防，发热性中性粒细胞减少症患者应立即开始抗感染治疗。观察发生腹泻的患者按需给予补液和电解质治疗，如无禁忌，发生任何程度的早发性腹泻都应给予阿托品。发生迟发性腹泻时，评估感染原因，如无感染，立即给予洛哌丁胺。如果发生重度腹泻，应暂停本品治疗直至恢复至≤1级，同时减少后续治疗剂量。</w:t>
      </w:r>
    </w:p>
    <w:p w:rsidRPr="003C684F" w:rsidR="009730C1" w:rsidRDefault="00A315B9" w14:paraId="3CCD0677" w14:textId="0551418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8.UGT1A1抑制剂：本药与UGT1A1抑制剂的</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可能会增加患者体内全身暴露的量及潜在暴露而引起的不良反应发生率。此外，同时接受UGT1A1诱导剂的患者可大大减少本药的体内暴露量。因此，应避免与UGT1A1抑制剂或诱导剂一起</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w:t>
      </w:r>
    </w:p>
    <w:p w:rsidRPr="003C684F" w:rsidR="009730C1" w:rsidRDefault="009730C1" w14:paraId="207DD1FB" w14:textId="77777777">
      <w:pPr>
        <w:spacing w:line="360" w:lineRule="auto"/>
        <w:ind w:firstLine="883" w:firstLineChars="200"/>
        <w:jc w:val="center"/>
        <w:rPr>
          <w:rFonts w:ascii="宋体" w:hAnsi="宋体" w:cs="宋体"/>
          <w:b/>
          <w:bCs/>
          <w:sz w:val="44"/>
          <w:szCs w:val="44"/>
        </w:rPr>
      </w:pPr>
    </w:p>
    <w:p w:rsidRPr="003C684F" w:rsidR="009730C1" w:rsidRDefault="00A315B9" w14:paraId="15ED605B" w14:textId="77777777">
      <w:pPr>
        <w:spacing w:line="360" w:lineRule="auto"/>
        <w:ind w:firstLine="883" w:firstLineChars="200"/>
        <w:jc w:val="center"/>
        <w:rPr>
          <w:rFonts w:ascii="宋体" w:hAnsi="宋体" w:cs="宋体"/>
          <w:b/>
          <w:bCs/>
          <w:sz w:val="44"/>
          <w:szCs w:val="44"/>
        </w:rPr>
      </w:pPr>
      <w:r w:rsidRPr="003C684F">
        <w:rPr>
          <w:rFonts w:hint="eastAsia" w:ascii="宋体" w:hAnsi="宋体" w:cs="宋体"/>
          <w:b/>
          <w:bCs/>
          <w:sz w:val="44"/>
          <w:szCs w:val="44"/>
        </w:rPr>
        <w:t>皮肤肿瘤用药</w:t>
      </w:r>
    </w:p>
    <w:p w:rsidRPr="003C684F" w:rsidR="009730C1" w:rsidRDefault="009730C1" w14:paraId="4E963230" w14:textId="77777777">
      <w:pPr>
        <w:spacing w:line="360" w:lineRule="auto"/>
        <w:ind w:firstLine="883" w:firstLineChars="200"/>
        <w:jc w:val="center"/>
        <w:rPr>
          <w:rFonts w:ascii="宋体" w:cs="Times New Roman"/>
          <w:b/>
          <w:bCs/>
          <w:sz w:val="44"/>
          <w:szCs w:val="44"/>
        </w:rPr>
      </w:pPr>
    </w:p>
    <w:p w:rsidRPr="003C684F" w:rsidR="009730C1" w:rsidP="0037660B" w:rsidRDefault="003B5C35" w14:paraId="73103EF1"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lastRenderedPageBreak/>
        <w:t>一</w:t>
      </w:r>
      <w:r w:rsidRPr="003C684F" w:rsidR="00A315B9">
        <w:rPr>
          <w:rFonts w:hint="eastAsia" w:ascii="黑体" w:hAnsi="黑体" w:eastAsia="黑体"/>
          <w:color w:val="000000"/>
          <w:sz w:val="32"/>
          <w:szCs w:val="32"/>
        </w:rPr>
        <w:t>、维莫非尼 Vemurafenib</w:t>
      </w:r>
    </w:p>
    <w:p w:rsidRPr="003C684F" w:rsidR="009730C1" w:rsidRDefault="00A315B9" w14:paraId="514B85C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片剂：240mg</w:t>
      </w:r>
    </w:p>
    <w:p w:rsidRPr="003C684F" w:rsidR="009730C1" w:rsidRDefault="00A315B9" w14:paraId="59582897"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经国家药品监督管理局批准的检测方法确定的BRAF V600突变阳性的不可切除或转移性黑色素瘤。</w:t>
      </w:r>
    </w:p>
    <w:p w:rsidRPr="003C684F" w:rsidR="009730C1" w:rsidRDefault="00A315B9" w14:paraId="261A0804"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FB24F27"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1.用药前必须经由国家药品监督管理局批准的检测方法确定肿瘤为BRAF V600突变阳性，才可使用维莫非尼治疗，维莫非尼不能用于BRAF野生型黑色素瘤患者。</w:t>
      </w:r>
    </w:p>
    <w:p w:rsidRPr="003C684F" w:rsidR="009730C1" w:rsidRDefault="00A315B9" w14:paraId="069372DF" w14:textId="0E83DA4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2.维莫非尼的推荐剂量为960mg/次，每天两次</w:t>
      </w:r>
      <w:r w:rsidRPr="003C684F" w:rsidR="003C1E68">
        <w:rPr>
          <w:rFonts w:hint="eastAsia" w:ascii="仿宋" w:hAnsi="仿宋" w:eastAsia="仿宋"/>
          <w:color w:val="000000"/>
          <w:sz w:val="32"/>
          <w:szCs w:val="32"/>
        </w:rPr>
        <w:t>，口服</w:t>
      </w:r>
      <w:r w:rsidRPr="003C684F">
        <w:rPr>
          <w:rFonts w:hint="eastAsia" w:ascii="仿宋" w:hAnsi="仿宋" w:eastAsia="仿宋"/>
          <w:color w:val="000000"/>
          <w:sz w:val="32"/>
          <w:szCs w:val="32"/>
        </w:rPr>
        <w:t>，</w:t>
      </w:r>
      <w:r w:rsidRPr="003C684F" w:rsidR="00F86A8D">
        <w:rPr>
          <w:rFonts w:hint="eastAsia" w:ascii="仿宋" w:hAnsi="仿宋" w:eastAsia="仿宋"/>
          <w:color w:val="000000"/>
          <w:sz w:val="32"/>
          <w:szCs w:val="32"/>
        </w:rPr>
        <w:t>进餐或空腹时均可服用，</w:t>
      </w:r>
      <w:r w:rsidRPr="003C684F">
        <w:rPr>
          <w:rFonts w:hint="eastAsia" w:ascii="仿宋" w:hAnsi="仿宋" w:eastAsia="仿宋"/>
          <w:color w:val="000000"/>
          <w:sz w:val="32"/>
          <w:szCs w:val="32"/>
        </w:rPr>
        <w:t>不推荐将剂量减至低于480mg</w:t>
      </w:r>
      <w:r w:rsidRPr="003C684F" w:rsidR="003C1E68">
        <w:rPr>
          <w:rFonts w:hint="eastAsia" w:ascii="仿宋" w:hAnsi="仿宋" w:eastAsia="仿宋"/>
          <w:color w:val="000000"/>
          <w:sz w:val="32"/>
          <w:szCs w:val="32"/>
        </w:rPr>
        <w:t>/次</w:t>
      </w:r>
      <w:r w:rsidRPr="003C684F">
        <w:rPr>
          <w:rFonts w:hint="eastAsia" w:ascii="仿宋" w:hAnsi="仿宋" w:eastAsia="仿宋"/>
          <w:color w:val="000000"/>
          <w:sz w:val="32"/>
          <w:szCs w:val="32"/>
        </w:rPr>
        <w:t>，每天两次。</w:t>
      </w:r>
    </w:p>
    <w:p w:rsidRPr="003C684F" w:rsidR="009730C1" w:rsidRDefault="00A315B9" w14:paraId="61AA977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3.用药期间必须注意常见的皮肤反应如皮疹，光敏反应等。</w:t>
      </w:r>
    </w:p>
    <w:p w:rsidRPr="003C684F" w:rsidR="009730C1" w:rsidRDefault="00A315B9" w14:paraId="6881DB37"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4.基线QTc＞500ms时不建议开始服用维莫非尼，对于存在无法纠正的电解质异常、长QTc综合征或正在服用已知能延长QTc间期的药物的患者，不建议接受维莫非尼治疗。</w:t>
      </w:r>
    </w:p>
    <w:p w:rsidRPr="003C684F" w:rsidR="009730C1" w:rsidRDefault="00A315B9" w14:paraId="58C3BA26"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妊娠期妇女禁止使用维莫非尼，除非对于母亲的可能受益超过对胎儿的可能风险。不建议哺乳期妇女使用维莫非尼，必须在权衡哺乳喂养对婴儿的益处以及治疗对母亲的益处之后，做出是否停止母乳喂养或停止维莫非尼治疗的决定。</w:t>
      </w:r>
    </w:p>
    <w:p w:rsidRPr="003C684F" w:rsidR="009730C1" w:rsidRDefault="00A315B9" w14:paraId="67C93698" w14:textId="62F57C21">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6.使用维莫非尼时不建议与经CYP1A2和CYP3A4代谢、且安全治疗窗较窄的药物联合应用，使用维莫非尼时慎用</w:t>
      </w:r>
      <w:r w:rsidRPr="003C684F">
        <w:rPr>
          <w:rFonts w:hint="eastAsia" w:ascii="仿宋" w:hAnsi="仿宋" w:eastAsia="仿宋"/>
          <w:color w:val="000000"/>
          <w:sz w:val="32"/>
          <w:szCs w:val="32"/>
        </w:rPr>
        <w:lastRenderedPageBreak/>
        <w:t>CYP3A4</w:t>
      </w:r>
      <w:r w:rsidRPr="003C684F" w:rsidR="0051033E">
        <w:rPr>
          <w:rFonts w:hint="eastAsia" w:ascii="仿宋" w:hAnsi="仿宋" w:eastAsia="仿宋"/>
          <w:color w:val="000000"/>
          <w:sz w:val="32"/>
          <w:szCs w:val="32"/>
        </w:rPr>
        <w:t>强效</w:t>
      </w:r>
      <w:r w:rsidRPr="003C684F">
        <w:rPr>
          <w:rFonts w:hint="eastAsia" w:ascii="仿宋" w:hAnsi="仿宋" w:eastAsia="仿宋"/>
          <w:color w:val="000000"/>
          <w:sz w:val="32"/>
          <w:szCs w:val="32"/>
        </w:rPr>
        <w:t>抑制剂或诱导剂。</w:t>
      </w:r>
    </w:p>
    <w:p w:rsidRPr="003C684F" w:rsidR="009730C1" w:rsidP="0037660B" w:rsidRDefault="003B5C35" w14:paraId="2D40498D"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二</w:t>
      </w:r>
      <w:r w:rsidRPr="003C684F" w:rsidR="00A315B9">
        <w:rPr>
          <w:rFonts w:hint="eastAsia" w:ascii="黑体" w:hAnsi="黑体" w:eastAsia="黑体"/>
          <w:color w:val="000000"/>
          <w:sz w:val="32"/>
          <w:szCs w:val="32"/>
        </w:rPr>
        <w:t>、达拉非尼 Dabrafenib</w:t>
      </w:r>
    </w:p>
    <w:p w:rsidRPr="003C684F" w:rsidR="009730C1" w:rsidRDefault="00A315B9" w14:paraId="16526205"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胶囊：50mg、75mg</w:t>
      </w:r>
    </w:p>
    <w:p w:rsidRPr="003C684F" w:rsidR="009730C1" w:rsidRDefault="00A315B9" w14:paraId="71870B57"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64CB0B47" w14:textId="0A3BC76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1.达拉非尼联合曲美替尼适用于治疗BRAF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突变阳性的不可切除或转移性黑色素瘤患者。</w:t>
      </w:r>
    </w:p>
    <w:p w:rsidRPr="003C684F" w:rsidR="009730C1" w:rsidRDefault="00A315B9" w14:paraId="5C7C9A9A" w14:textId="325E5DA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2.达拉非尼联合曲美替尼适用于BRAF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突变阳性的Ⅲ期黑色素瘤患者完全切除后的辅助治疗。</w:t>
      </w:r>
    </w:p>
    <w:p w:rsidRPr="003C684F" w:rsidR="009730C1" w:rsidRDefault="00A315B9" w14:paraId="3343F0CB"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0797655" w14:textId="425888C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1.本品联合曲美替尼治疗前须经国家药品监督管理局批准的检测方法进行BRAF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突变检测，确认为BRAF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突变阳性的患者方可接受本品治疗。本品联合曲美替尼不适用于BRAF野生型黑色素瘤患者。</w:t>
      </w:r>
    </w:p>
    <w:p w:rsidRPr="003C684F" w:rsidR="009730C1" w:rsidRDefault="00A315B9" w14:paraId="5EBD8BDF" w14:textId="582177B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2.达拉非尼的推荐剂量为150mg</w:t>
      </w:r>
      <w:r w:rsidRPr="003C684F" w:rsidR="002261EC">
        <w:rPr>
          <w:rFonts w:hint="eastAsia" w:ascii="仿宋" w:hAnsi="仿宋" w:eastAsia="仿宋"/>
          <w:color w:val="000000"/>
          <w:sz w:val="32"/>
          <w:szCs w:val="32"/>
        </w:rPr>
        <w:t>/次，</w:t>
      </w:r>
      <w:r w:rsidRPr="003C684F">
        <w:rPr>
          <w:rFonts w:hint="eastAsia" w:ascii="仿宋" w:hAnsi="仿宋" w:eastAsia="仿宋"/>
          <w:color w:val="000000"/>
          <w:sz w:val="32"/>
          <w:szCs w:val="32"/>
        </w:rPr>
        <w:t>每天两次</w:t>
      </w:r>
      <w:r w:rsidRPr="003C684F" w:rsidR="002261EC">
        <w:rPr>
          <w:rFonts w:hint="eastAsia" w:ascii="仿宋" w:hAnsi="仿宋" w:eastAsia="仿宋"/>
          <w:color w:val="000000"/>
          <w:sz w:val="32"/>
          <w:szCs w:val="32"/>
        </w:rPr>
        <w:t>，口服</w:t>
      </w:r>
      <w:r w:rsidRPr="003C684F">
        <w:rPr>
          <w:rFonts w:hint="eastAsia" w:ascii="仿宋" w:hAnsi="仿宋" w:eastAsia="仿宋"/>
          <w:color w:val="000000"/>
          <w:sz w:val="32"/>
          <w:szCs w:val="32"/>
        </w:rPr>
        <w:t>。本品需联合曲美替尼治疗，直至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28ABC08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达拉非尼应在餐前至少1小时前或餐后至少2小时后服用，给药间隔约12小时。应在每天相同时间服用本品，如果错过一剂达拉非尼，且距下一次服药时间不足6小时，则不应补服。当达拉非尼联合应用曲美替尼时，应在每天相同时间服用曲美替尼每天一次，与在早晨或晚上给药的达拉非尼一起服用。请勿打开、压碎或掰断达拉非尼胶囊。</w:t>
      </w:r>
    </w:p>
    <w:p w:rsidRPr="003C684F" w:rsidR="009730C1" w:rsidRDefault="00A315B9" w14:paraId="6006D98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4.在给予达拉非尼联合应用曲美替尼治疗时，常见不良反应包括：发热、寒战、皮疹、头痛、头晕、关节痛、咳嗽等。如果出现治疗相关的毒性，则两种治疗应同时进行剂量减少、中断或停止。如果出现与达拉非尼相关的不良反应（葡萄膜炎、非皮肤恶性肿瘤），仅需对达拉非尼治疗进行剂量调整。</w:t>
      </w:r>
    </w:p>
    <w:p w:rsidRPr="003C684F" w:rsidR="009730C1" w:rsidRDefault="00A315B9" w14:paraId="01D511DA" w14:textId="7373C6B1">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5.轻度肝功能损伤患者、轻中度肾功能损伤患者首次治疗时无需调整剂量。中重度肝功能损伤患者，重度肾功能损伤患者，应慎用达拉非尼。老年患者（≥65岁）无需调整初始剂量。尚未确定达拉非尼在</w:t>
      </w:r>
      <w:r w:rsidRPr="003C684F" w:rsidR="00D61FBA">
        <w:rPr>
          <w:rFonts w:hint="eastAsia" w:ascii="仿宋" w:hAnsi="仿宋" w:eastAsia="仿宋"/>
          <w:color w:val="000000"/>
          <w:sz w:val="32"/>
          <w:szCs w:val="32"/>
        </w:rPr>
        <w:t>18岁以下儿童和青少年患者</w:t>
      </w:r>
      <w:r w:rsidRPr="003C684F">
        <w:rPr>
          <w:rFonts w:hint="eastAsia" w:ascii="仿宋" w:hAnsi="仿宋" w:eastAsia="仿宋"/>
          <w:color w:val="000000"/>
          <w:sz w:val="32"/>
          <w:szCs w:val="32"/>
        </w:rPr>
        <w:t>的安全性和有效性。</w:t>
      </w:r>
    </w:p>
    <w:p w:rsidRPr="003C684F" w:rsidR="009730C1" w:rsidRDefault="00A315B9" w14:paraId="661A95E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6.CYP2C8或CYP3A4强效抑制剂或诱导剂的药物可能影响达拉非尼的血药浓度。可能情况下，接受达拉非尼治疗时应考虑替代现有服用药物中CYP2C8和CYP3A4的抑制剂或诱导剂。</w:t>
      </w:r>
    </w:p>
    <w:p w:rsidRPr="003C684F" w:rsidR="009730C1" w:rsidRDefault="00A315B9" w14:paraId="24F6E571" w14:textId="43667191">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7.在美国，达拉非尼联合曲美替尼获批用于BRAF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突变的局部晚期或转移性甲状腺未分化癌治疗。</w:t>
      </w:r>
      <w:r w:rsidRPr="003C684F" w:rsidR="00BF7910">
        <w:rPr>
          <w:rFonts w:hint="eastAsia" w:ascii="仿宋" w:hAnsi="仿宋" w:eastAsia="仿宋"/>
          <w:color w:val="000000"/>
          <w:sz w:val="32"/>
          <w:szCs w:val="32"/>
        </w:rPr>
        <w:t>FDA批准达拉非尼联合曲美替尼用于既往治疗后进展且没有满意替代治疗方案的BRAF V600E突变阳性的不可切除或转移性实体瘤；</w:t>
      </w:r>
      <w:r w:rsidRPr="003C684F">
        <w:rPr>
          <w:rFonts w:hint="eastAsia" w:ascii="仿宋" w:hAnsi="仿宋" w:eastAsia="仿宋"/>
          <w:color w:val="000000"/>
          <w:sz w:val="32"/>
          <w:szCs w:val="32"/>
        </w:rPr>
        <w:t>目前该适应证在中国尚未获批，可在与患者充分沟通的情况下使用。在美国，推荐剂量为达拉非尼150mg每天两次。</w:t>
      </w:r>
    </w:p>
    <w:p w:rsidRPr="003C684F" w:rsidR="009730C1" w:rsidP="0037660B" w:rsidRDefault="003B5C35" w14:paraId="2ECCF4F2"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lastRenderedPageBreak/>
        <w:t>三</w:t>
      </w:r>
      <w:r w:rsidRPr="003C684F" w:rsidR="00A315B9">
        <w:rPr>
          <w:rFonts w:hint="eastAsia" w:ascii="黑体" w:hAnsi="黑体" w:eastAsia="黑体"/>
          <w:color w:val="000000"/>
          <w:sz w:val="32"/>
          <w:szCs w:val="32"/>
        </w:rPr>
        <w:t>、曲美替尼 Trametinib</w:t>
      </w:r>
    </w:p>
    <w:p w:rsidRPr="003C684F" w:rsidR="009730C1" w:rsidRDefault="00A315B9" w14:paraId="07DDBA0A" w14:textId="1442BCB2">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w:t>
      </w:r>
      <w:r w:rsidRPr="003C684F" w:rsidR="00731B72">
        <w:rPr>
          <w:rFonts w:hint="eastAsia" w:ascii="仿宋" w:hAnsi="仿宋" w:eastAsia="仿宋"/>
          <w:color w:val="000000"/>
          <w:sz w:val="32"/>
          <w:szCs w:val="32"/>
        </w:rPr>
        <w:t>0.5mg、1mg、2mg</w:t>
      </w:r>
    </w:p>
    <w:p w:rsidRPr="003C684F" w:rsidR="009730C1" w:rsidRDefault="00A315B9" w14:paraId="6036C81B"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30A78FAC" w14:textId="6F79329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1.曲美替尼联合达拉非尼适用于治疗BRAF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突变阳性的不可切除或转移性黑色素瘤患者。</w:t>
      </w:r>
    </w:p>
    <w:p w:rsidRPr="003C684F" w:rsidR="009730C1" w:rsidRDefault="00A315B9" w14:paraId="273F877D" w14:textId="1797C1E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2.曲美替尼联合达拉非尼适用于BRAF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突变阳性的Ⅲ期黑色素瘤患者完全切除后的辅助治疗。</w:t>
      </w:r>
    </w:p>
    <w:p w:rsidRPr="003C684F" w:rsidR="009730C1" w:rsidRDefault="00A315B9" w14:paraId="4B3D7D42"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0FB2552" w14:textId="685E725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1.曲美替尼联合达拉非尼治疗前须经国家药品监督管理局批准的检测方法进行BRAF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突变检测，确认为BRAF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突变阳性的患者方可接受本品治疗。本品联合达拉非尼不适用于BRAF野生型黑色素瘤患者。</w:t>
      </w:r>
    </w:p>
    <w:p w:rsidRPr="003C684F" w:rsidR="009730C1" w:rsidRDefault="00A315B9" w14:paraId="0DD37430" w14:textId="3A9D99E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2.曲美替尼的推荐剂量是2mg</w:t>
      </w:r>
      <w:r w:rsidRPr="003C684F" w:rsidR="004B304F">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4B304F">
        <w:rPr>
          <w:rFonts w:hint="eastAsia" w:ascii="仿宋" w:hAnsi="仿宋" w:eastAsia="仿宋"/>
          <w:color w:val="000000"/>
          <w:sz w:val="32"/>
          <w:szCs w:val="32"/>
        </w:rPr>
        <w:t>，</w:t>
      </w:r>
      <w:r w:rsidRPr="003C684F">
        <w:rPr>
          <w:rFonts w:hint="eastAsia" w:ascii="仿宋" w:hAnsi="仿宋" w:eastAsia="仿宋"/>
          <w:color w:val="000000"/>
          <w:sz w:val="32"/>
          <w:szCs w:val="32"/>
        </w:rPr>
        <w:t>口服，需联合达拉非尼治疗，直至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首次剂量减少，1.5mg</w:t>
      </w:r>
      <w:r w:rsidRPr="003C684F" w:rsidR="000B4B11">
        <w:rPr>
          <w:rFonts w:hint="eastAsia" w:ascii="仿宋" w:hAnsi="仿宋" w:eastAsia="仿宋"/>
          <w:color w:val="000000"/>
          <w:sz w:val="32"/>
          <w:szCs w:val="32"/>
        </w:rPr>
        <w:t>/次，每天一次</w:t>
      </w:r>
      <w:r w:rsidRPr="003C684F">
        <w:rPr>
          <w:rFonts w:hint="eastAsia" w:ascii="仿宋" w:hAnsi="仿宋" w:eastAsia="仿宋"/>
          <w:color w:val="000000"/>
          <w:sz w:val="32"/>
          <w:szCs w:val="32"/>
        </w:rPr>
        <w:t>；第2次减量，1mg</w:t>
      </w:r>
      <w:r w:rsidRPr="003C684F" w:rsidR="000B4B11">
        <w:rPr>
          <w:rFonts w:hint="eastAsia" w:ascii="仿宋" w:hAnsi="仿宋" w:eastAsia="仿宋"/>
          <w:color w:val="000000"/>
          <w:sz w:val="32"/>
          <w:szCs w:val="32"/>
        </w:rPr>
        <w:t>/次，每天一次</w:t>
      </w:r>
      <w:r w:rsidRPr="003C684F">
        <w:rPr>
          <w:rFonts w:hint="eastAsia" w:ascii="仿宋" w:hAnsi="仿宋" w:eastAsia="仿宋"/>
          <w:color w:val="000000"/>
          <w:sz w:val="32"/>
          <w:szCs w:val="32"/>
        </w:rPr>
        <w:t>；如果不能耐受1mg</w:t>
      </w:r>
      <w:r w:rsidRPr="003C684F" w:rsidR="000B4B11">
        <w:rPr>
          <w:rFonts w:hint="eastAsia" w:ascii="仿宋" w:hAnsi="仿宋" w:eastAsia="仿宋"/>
          <w:color w:val="000000"/>
          <w:sz w:val="32"/>
          <w:szCs w:val="32"/>
        </w:rPr>
        <w:t>/次，每天一次</w:t>
      </w:r>
      <w:r w:rsidRPr="003C684F">
        <w:rPr>
          <w:rFonts w:hint="eastAsia" w:ascii="仿宋" w:hAnsi="仿宋" w:eastAsia="仿宋"/>
          <w:color w:val="000000"/>
          <w:sz w:val="32"/>
          <w:szCs w:val="32"/>
        </w:rPr>
        <w:t>，</w:t>
      </w:r>
      <w:r w:rsidRPr="003C684F" w:rsidR="00373DC1">
        <w:rPr>
          <w:rFonts w:hint="eastAsia" w:ascii="仿宋" w:hAnsi="仿宋" w:eastAsia="仿宋"/>
          <w:color w:val="000000"/>
          <w:sz w:val="32"/>
          <w:szCs w:val="32"/>
        </w:rPr>
        <w:t>应永久停用</w:t>
      </w:r>
      <w:r w:rsidRPr="003C684F">
        <w:rPr>
          <w:rFonts w:hint="eastAsia" w:ascii="仿宋" w:hAnsi="仿宋" w:eastAsia="仿宋"/>
          <w:color w:val="000000"/>
          <w:sz w:val="32"/>
          <w:szCs w:val="32"/>
        </w:rPr>
        <w:t>。</w:t>
      </w:r>
    </w:p>
    <w:p w:rsidRPr="003C684F" w:rsidR="009730C1" w:rsidRDefault="00A315B9" w14:paraId="041D0E2A"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曲美替尼应在餐前至少1小时前或餐后至少2小时后服用。应在每天相同时间服用曲美替尼。如果错过一剂本品，须最晚在预定的下一次给药之前12小时补上。如果距离下次预定的给药时间短于12小时，则不应该补服。本品联合达拉非尼时，应在每天相同时间服用本品每天一次，与在早晨或晚上给药的达拉非尼一起服用。不应咀嚼或压碎本品。</w:t>
      </w:r>
    </w:p>
    <w:p w:rsidRPr="003C684F" w:rsidR="009730C1" w:rsidRDefault="00A315B9" w14:paraId="69B501A0"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4.在给予曲美替尼联合应用达拉非尼治疗时，常见不良反应包括：发热、寒战、皮疹、头痛、头晕、关节痛、咳嗽等。如果出现治疗相关的毒性，则两种治疗应同时进行剂量减少、中断或停止。对于主要与曲美替尼相关的不良反应（视网膜静脉阻塞、视网膜色素上皮脱离、间质性肺炎和单纯性静脉血栓栓塞），仅需对曲美替尼进行剂量调整。</w:t>
      </w:r>
    </w:p>
    <w:p w:rsidRPr="003C684F" w:rsidR="009730C1" w:rsidRDefault="00A315B9" w14:paraId="600C42F2" w14:textId="2D55AE0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5.轻度肝功能损伤患者、轻中度肾功能损伤患者无需进行剂量调整。中重度肝功能损伤患者、重度肾功能损伤患者，应慎用</w:t>
      </w:r>
      <w:r w:rsidRPr="003C684F" w:rsidR="00D07A63">
        <w:rPr>
          <w:rFonts w:hint="eastAsia" w:ascii="仿宋" w:hAnsi="仿宋" w:eastAsia="仿宋"/>
          <w:color w:val="000000"/>
          <w:sz w:val="32"/>
          <w:szCs w:val="32"/>
        </w:rPr>
        <w:t>曲美替尼</w:t>
      </w:r>
      <w:r w:rsidRPr="003C684F">
        <w:rPr>
          <w:rFonts w:hint="eastAsia" w:ascii="仿宋" w:hAnsi="仿宋" w:eastAsia="仿宋"/>
          <w:color w:val="000000"/>
          <w:sz w:val="32"/>
          <w:szCs w:val="32"/>
        </w:rPr>
        <w:t>。老年患者（≥65岁）无需调整初始剂量。尚未确定</w:t>
      </w:r>
      <w:r w:rsidRPr="003C684F" w:rsidR="00D07A63">
        <w:rPr>
          <w:rFonts w:hint="eastAsia" w:ascii="仿宋" w:hAnsi="仿宋" w:eastAsia="仿宋"/>
          <w:color w:val="000000"/>
          <w:sz w:val="32"/>
          <w:szCs w:val="32"/>
        </w:rPr>
        <w:t>曲美替尼</w:t>
      </w:r>
      <w:r w:rsidRPr="003C684F">
        <w:rPr>
          <w:rFonts w:hint="eastAsia" w:ascii="仿宋" w:hAnsi="仿宋" w:eastAsia="仿宋"/>
          <w:color w:val="000000"/>
          <w:sz w:val="32"/>
          <w:szCs w:val="32"/>
        </w:rPr>
        <w:t>在</w:t>
      </w:r>
      <w:r w:rsidRPr="003C684F" w:rsidR="00D61FBA">
        <w:rPr>
          <w:rFonts w:hint="eastAsia" w:ascii="仿宋" w:hAnsi="仿宋" w:eastAsia="仿宋"/>
          <w:color w:val="000000"/>
          <w:sz w:val="32"/>
          <w:szCs w:val="32"/>
        </w:rPr>
        <w:t>18岁以下儿童和青少年患者</w:t>
      </w:r>
      <w:r w:rsidRPr="003C684F">
        <w:rPr>
          <w:rFonts w:hint="eastAsia" w:ascii="仿宋" w:hAnsi="仿宋" w:eastAsia="仿宋"/>
          <w:color w:val="000000"/>
          <w:sz w:val="32"/>
          <w:szCs w:val="32"/>
        </w:rPr>
        <w:t>的安全性和有效性。</w:t>
      </w:r>
    </w:p>
    <w:p w:rsidRPr="003C684F" w:rsidR="009730C1" w:rsidRDefault="00A315B9" w14:paraId="5171265D" w14:textId="7EA7F62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6.经水解酶代谢的药物可能影响曲美替尼暴露，药物间相互作用不能排除。曲美替尼应谨慎</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强效P-糖蛋白抑制剂。</w:t>
      </w:r>
    </w:p>
    <w:p w:rsidRPr="003C684F" w:rsidR="009730C1" w:rsidRDefault="00A315B9" w14:paraId="7CD99F90" w14:textId="748D3BFD">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7.在美国，曲美替尼联合达拉非尼获批用于BRAF V600</w:t>
      </w:r>
      <w:r w:rsidRPr="003C684F" w:rsidR="00F42B08">
        <w:rPr>
          <w:rFonts w:hint="eastAsia" w:ascii="仿宋" w:hAnsi="仿宋" w:eastAsia="仿宋"/>
          <w:color w:val="000000"/>
          <w:sz w:val="32"/>
          <w:szCs w:val="32"/>
        </w:rPr>
        <w:t>E</w:t>
      </w:r>
      <w:r w:rsidRPr="003C684F" w:rsidR="00F42B08">
        <w:rPr>
          <w:rFonts w:ascii="仿宋" w:hAnsi="仿宋" w:eastAsia="仿宋"/>
          <w:color w:val="000000"/>
          <w:sz w:val="32"/>
          <w:szCs w:val="32"/>
        </w:rPr>
        <w:t>/</w:t>
      </w:r>
      <w:r w:rsidRPr="003C684F" w:rsidR="00F42B08">
        <w:rPr>
          <w:rFonts w:hint="eastAsia" w:ascii="仿宋" w:hAnsi="仿宋" w:eastAsia="仿宋"/>
          <w:color w:val="000000"/>
          <w:sz w:val="32"/>
          <w:szCs w:val="32"/>
        </w:rPr>
        <w:t>K</w:t>
      </w:r>
      <w:r w:rsidRPr="003C684F">
        <w:rPr>
          <w:rFonts w:hint="eastAsia" w:ascii="仿宋" w:hAnsi="仿宋" w:eastAsia="仿宋"/>
          <w:color w:val="000000"/>
          <w:sz w:val="32"/>
          <w:szCs w:val="32"/>
        </w:rPr>
        <w:t>突变的局部晚期或转移性甲状腺未分化癌治疗。</w:t>
      </w:r>
      <w:r w:rsidRPr="003C684F" w:rsidR="00BF7910">
        <w:rPr>
          <w:rFonts w:hint="eastAsia" w:ascii="仿宋" w:hAnsi="仿宋" w:eastAsia="仿宋"/>
          <w:color w:val="000000"/>
          <w:sz w:val="32"/>
          <w:szCs w:val="32"/>
        </w:rPr>
        <w:t>FDA批准曲美替尼联合达拉非尼用于既往治疗后进展且没有满意替代治疗方案的BRAF V600E突变阳性的不可切除或转移性实体瘤。</w:t>
      </w:r>
      <w:r w:rsidRPr="003C684F">
        <w:rPr>
          <w:rFonts w:hint="eastAsia" w:ascii="仿宋" w:hAnsi="仿宋" w:eastAsia="仿宋"/>
          <w:color w:val="000000"/>
          <w:sz w:val="32"/>
          <w:szCs w:val="32"/>
        </w:rPr>
        <w:t>目前该适应证在中国尚未获批，可在与患者充分沟通的情况下使用。在美国，推荐剂量为曲美替尼2mg</w:t>
      </w:r>
      <w:r w:rsidRPr="003C684F" w:rsidR="006D40E7">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6D40E7">
        <w:rPr>
          <w:rFonts w:hint="eastAsia" w:ascii="仿宋" w:hAnsi="仿宋" w:eastAsia="仿宋"/>
          <w:color w:val="000000"/>
          <w:sz w:val="32"/>
          <w:szCs w:val="32"/>
        </w:rPr>
        <w:t>，口服</w:t>
      </w:r>
      <w:r w:rsidRPr="003C684F">
        <w:rPr>
          <w:rFonts w:hint="eastAsia" w:ascii="仿宋" w:hAnsi="仿宋" w:eastAsia="仿宋"/>
          <w:color w:val="000000"/>
          <w:sz w:val="32"/>
          <w:szCs w:val="32"/>
        </w:rPr>
        <w:t>。</w:t>
      </w:r>
    </w:p>
    <w:p w:rsidRPr="003C684F" w:rsidR="009730C1" w:rsidP="0037660B" w:rsidRDefault="003B5C35" w14:paraId="43CB5917"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四</w:t>
      </w:r>
      <w:r w:rsidRPr="003C684F" w:rsidR="00A315B9">
        <w:rPr>
          <w:rFonts w:hint="eastAsia" w:ascii="黑体" w:hAnsi="黑体" w:eastAsia="黑体"/>
          <w:color w:val="000000"/>
          <w:sz w:val="32"/>
          <w:szCs w:val="32"/>
        </w:rPr>
        <w:t>、帕博利珠单抗 Pembrolizumab</w:t>
      </w:r>
    </w:p>
    <w:p w:rsidRPr="003C684F" w:rsidR="009730C1" w:rsidRDefault="00A315B9" w14:paraId="6B2591E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制剂与规格：</w:t>
      </w:r>
      <w:r w:rsidRPr="003C684F">
        <w:rPr>
          <w:rFonts w:hint="eastAsia" w:ascii="仿宋" w:hAnsi="仿宋" w:eastAsia="仿宋"/>
          <w:color w:val="000000"/>
          <w:sz w:val="32"/>
          <w:szCs w:val="32"/>
        </w:rPr>
        <w:t>注射</w:t>
      </w:r>
      <w:r w:rsidRPr="003C684F" w:rsidR="00D17BB7">
        <w:rPr>
          <w:rFonts w:hint="eastAsia" w:ascii="仿宋" w:hAnsi="仿宋" w:eastAsia="仿宋"/>
          <w:color w:val="000000"/>
          <w:sz w:val="32"/>
          <w:szCs w:val="32"/>
        </w:rPr>
        <w:t>剂</w:t>
      </w:r>
      <w:r w:rsidRPr="003C684F">
        <w:rPr>
          <w:rFonts w:hint="eastAsia" w:ascii="仿宋" w:hAnsi="仿宋" w:eastAsia="仿宋"/>
          <w:color w:val="000000"/>
          <w:sz w:val="32"/>
          <w:szCs w:val="32"/>
        </w:rPr>
        <w:t>：100mg（4ml）/瓶</w:t>
      </w:r>
    </w:p>
    <w:p w:rsidRPr="003C684F" w:rsidR="009730C1" w:rsidRDefault="00A315B9" w14:paraId="1B5B6739"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适用于不可切除或转移性皮肤型黑色素瘤的治疗。</w:t>
      </w:r>
    </w:p>
    <w:p w:rsidRPr="003C684F" w:rsidR="009730C1" w:rsidRDefault="00A315B9" w14:paraId="1C93A597"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74447F4" w14:textId="2905E31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1.对于经一线治疗失败的不可切除或转移性黑色素瘤患者推荐给药方案为200mg</w:t>
      </w:r>
      <w:r w:rsidRPr="003C684F" w:rsidR="00FA7D25">
        <w:rPr>
          <w:rFonts w:hint="eastAsia" w:ascii="仿宋" w:hAnsi="仿宋" w:eastAsia="仿宋"/>
          <w:color w:val="000000"/>
          <w:sz w:val="32"/>
          <w:szCs w:val="32"/>
        </w:rPr>
        <w:t>/次</w:t>
      </w:r>
      <w:r w:rsidRPr="003C684F">
        <w:rPr>
          <w:rFonts w:hint="eastAsia" w:ascii="仿宋" w:hAnsi="仿宋" w:eastAsia="仿宋"/>
          <w:color w:val="000000"/>
          <w:sz w:val="32"/>
          <w:szCs w:val="32"/>
        </w:rPr>
        <w:t>，每3周一次</w:t>
      </w:r>
      <w:r w:rsidRPr="003C684F" w:rsidR="00FA7D25">
        <w:rPr>
          <w:rFonts w:hint="eastAsia" w:ascii="仿宋" w:hAnsi="仿宋" w:eastAsia="仿宋"/>
          <w:color w:val="000000"/>
          <w:sz w:val="32"/>
          <w:szCs w:val="32"/>
        </w:rPr>
        <w:t>，或</w:t>
      </w:r>
      <w:r w:rsidRPr="003C684F">
        <w:rPr>
          <w:rFonts w:hint="eastAsia" w:ascii="仿宋" w:hAnsi="仿宋" w:eastAsia="仿宋"/>
          <w:color w:val="000000"/>
          <w:sz w:val="32"/>
          <w:szCs w:val="32"/>
        </w:rPr>
        <w:t>400mg</w:t>
      </w:r>
      <w:r w:rsidRPr="003C684F" w:rsidR="00FA7D25">
        <w:rPr>
          <w:rFonts w:hint="eastAsia" w:ascii="仿宋" w:hAnsi="仿宋" w:eastAsia="仿宋"/>
          <w:color w:val="000000"/>
          <w:sz w:val="32"/>
          <w:szCs w:val="32"/>
        </w:rPr>
        <w:t>/次，</w:t>
      </w:r>
      <w:r w:rsidRPr="003C684F">
        <w:rPr>
          <w:rFonts w:hint="eastAsia" w:ascii="仿宋" w:hAnsi="仿宋" w:eastAsia="仿宋"/>
          <w:color w:val="000000"/>
          <w:sz w:val="32"/>
          <w:szCs w:val="32"/>
        </w:rPr>
        <w:t>每6周一次，</w:t>
      </w:r>
      <w:r w:rsidRPr="003C684F" w:rsidR="00EB54EE">
        <w:rPr>
          <w:rFonts w:hint="eastAsia" w:ascii="仿宋" w:hAnsi="仿宋" w:eastAsia="仿宋"/>
          <w:color w:val="000000"/>
          <w:sz w:val="32"/>
          <w:szCs w:val="32"/>
        </w:rPr>
        <w:t>静脉输注</w:t>
      </w:r>
      <w:r w:rsidRPr="003C684F" w:rsidR="00FA7D25">
        <w:rPr>
          <w:rFonts w:hint="eastAsia" w:ascii="仿宋" w:hAnsi="仿宋" w:eastAsia="仿宋"/>
          <w:color w:val="000000"/>
          <w:sz w:val="32"/>
          <w:szCs w:val="32"/>
        </w:rPr>
        <w:t>，</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如果患者临床症状稳定，即使有疾病进展的初步证据，但基于总体临床获益的判断，可考虑继续应用本品治疗，直至证实疾病进展。根据个体患者的安全性和耐受性，可能需要暂停给药或</w:t>
      </w:r>
      <w:r w:rsidRPr="003C684F" w:rsidR="009D63EE">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41893B06" w14:textId="2F4196B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主要不良反应是疲劳、瘙痒、腹泻和皮疹。接受帕博利珠单抗治疗的患者可发生免疫相关性不良反应，包括严重和致死病例。免疫相关性不良反应可同时发生在多个器官系统，需要对于疑似病例进行充分的评估以确定病因或排除其他病因。根据不良反应的严重程度，应暂时停用帕博利珠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至少一个月的时间逐步减少糖皮质激素的用量直至停药。倘若发生糖皮质激素无法控制的免疫相关性不良反应时，可以考虑使用其他全身性免疫抑制剂。如果不良反应保持在≤1级，且糖皮质激素剂量已降至≤10mg泼尼松或等效剂量，可在最后一次使用帕博利珠单抗给药后12周内</w:t>
      </w:r>
      <w:r w:rsidRPr="003C684F">
        <w:rPr>
          <w:rFonts w:hint="eastAsia" w:ascii="仿宋" w:hAnsi="仿宋" w:eastAsia="仿宋"/>
          <w:color w:val="000000"/>
          <w:sz w:val="32"/>
          <w:szCs w:val="32"/>
        </w:rPr>
        <w:lastRenderedPageBreak/>
        <w:t>重新开始帕博利珠单抗治疗。对于任何复发性3级免疫相关性不良反应以及任何4级免疫相关性不良反应，应永久停用帕博利珠单抗。</w:t>
      </w:r>
    </w:p>
    <w:p w:rsidRPr="003C684F" w:rsidR="009730C1" w:rsidRDefault="00A315B9" w14:paraId="48AA37C9" w14:textId="608981B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3.出现轻中度输液反应的患者在密切监测下可继续接受帕博利珠单抗治疗，可考虑用解热镇痛类抗炎药和</w:t>
      </w:r>
      <w:r w:rsidR="00033474">
        <w:rPr>
          <w:rFonts w:hint="eastAsia" w:ascii="仿宋" w:hAnsi="仿宋" w:eastAsia="仿宋"/>
          <w:color w:val="000000"/>
          <w:sz w:val="32"/>
          <w:szCs w:val="32"/>
        </w:rPr>
        <w:t>H</w:t>
      </w:r>
      <w:r w:rsidRPr="00033474" w:rsidR="00033474">
        <w:rPr>
          <w:rFonts w:hint="eastAsia" w:ascii="仿宋" w:hAnsi="仿宋" w:eastAsia="仿宋"/>
          <w:color w:val="000000"/>
          <w:sz w:val="32"/>
          <w:szCs w:val="32"/>
          <w:vertAlign w:val="subscript"/>
        </w:rPr>
        <w:t>1</w:t>
      </w:r>
      <w:r w:rsidR="00033474">
        <w:rPr>
          <w:rFonts w:hint="eastAsia" w:ascii="仿宋" w:hAnsi="仿宋" w:eastAsia="仿宋"/>
          <w:color w:val="000000"/>
          <w:sz w:val="32"/>
          <w:szCs w:val="32"/>
        </w:rPr>
        <w:t>受体阻滞剂</w:t>
      </w:r>
      <w:r w:rsidRPr="003C684F">
        <w:rPr>
          <w:rFonts w:hint="eastAsia" w:ascii="仿宋" w:hAnsi="仿宋" w:eastAsia="仿宋"/>
          <w:color w:val="000000"/>
          <w:sz w:val="32"/>
          <w:szCs w:val="32"/>
        </w:rPr>
        <w:t>预防。对于重度的输液反应，必须停止输液并永久停用帕博利珠单抗。</w:t>
      </w:r>
    </w:p>
    <w:p w:rsidRPr="003C684F" w:rsidR="009730C1" w:rsidRDefault="00A315B9" w14:paraId="452AF55B" w14:textId="1F8DE28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孕妇在妊娠期使用可能会对胎儿造成伤害，除非孕妇的临床疾病需要，妊娠期不得用药。建议育龄女性在用药期间采用高效避孕方法，并在最后一次用药后四个月内持续避孕。不能排除本品对新生儿的风险，应权衡本品治疗对女性患者的获益来决策。</w:t>
      </w:r>
    </w:p>
    <w:p w:rsidRPr="003C684F" w:rsidR="009730C1" w:rsidRDefault="00A315B9" w14:paraId="1C138E02" w14:textId="4D49CBD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5.尚未确定</w:t>
      </w:r>
      <w:r w:rsidRPr="003C684F" w:rsidR="00F908A1">
        <w:rPr>
          <w:rFonts w:hint="eastAsia" w:ascii="仿宋" w:hAnsi="仿宋" w:eastAsia="仿宋"/>
          <w:color w:val="000000"/>
          <w:sz w:val="32"/>
          <w:szCs w:val="32"/>
        </w:rPr>
        <w:t>本品在18岁以下儿童和青少年患者</w:t>
      </w:r>
      <w:r w:rsidRPr="003C684F">
        <w:rPr>
          <w:rFonts w:hint="eastAsia" w:ascii="仿宋" w:hAnsi="仿宋" w:eastAsia="仿宋"/>
          <w:color w:val="000000"/>
          <w:sz w:val="32"/>
          <w:szCs w:val="32"/>
        </w:rPr>
        <w:t>的安全性和有效性，在</w:t>
      </w:r>
      <w:r w:rsidRPr="003C684F" w:rsidR="00F908A1">
        <w:rPr>
          <w:rFonts w:hint="eastAsia" w:ascii="仿宋" w:hAnsi="仿宋" w:eastAsia="仿宋"/>
          <w:color w:val="000000"/>
          <w:sz w:val="32"/>
          <w:szCs w:val="32"/>
        </w:rPr>
        <w:t>老年患者</w:t>
      </w:r>
      <w:r w:rsidRPr="003C684F">
        <w:rPr>
          <w:rFonts w:hint="eastAsia" w:ascii="仿宋" w:hAnsi="仿宋" w:eastAsia="仿宋"/>
          <w:color w:val="000000"/>
          <w:sz w:val="32"/>
          <w:szCs w:val="32"/>
        </w:rPr>
        <w:t>中</w:t>
      </w:r>
      <w:r w:rsidRPr="003C684F" w:rsidR="007811E9">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353BB66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6.轻度肝功能损伤患者无需调整剂量，尚未在中重度肝功能损伤患者中进行本品的相关研究。</w:t>
      </w:r>
    </w:p>
    <w:p w:rsidRPr="003C684F" w:rsidR="009730C1" w:rsidRDefault="00A315B9" w14:paraId="4ED222F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7.在使用该药前避免使用全身性糖皮质激素或其他免疫抑制剂。</w:t>
      </w:r>
    </w:p>
    <w:p w:rsidRPr="003C684F" w:rsidR="009730C1" w:rsidRDefault="00A315B9" w14:paraId="6E93BCAF" w14:textId="1629DDD1">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vertAlign w:val="superscript"/>
        </w:rPr>
        <w:t>※</w:t>
      </w:r>
      <w:r w:rsidRPr="003C684F">
        <w:rPr>
          <w:rFonts w:hint="eastAsia" w:ascii="仿宋" w:hAnsi="仿宋" w:eastAsia="仿宋"/>
          <w:color w:val="000000"/>
          <w:sz w:val="32"/>
          <w:szCs w:val="32"/>
        </w:rPr>
        <w:t>8.在美国和欧盟，帕博利珠单抗已被批准用于晚期一线黑色素瘤和ⅡB-ⅢC可完全手术切除患者的辅助治疗。目前这两种适应证在中国尚未获批，可在与患者充分沟通的情况下使用。推荐剂量为帕博利珠单抗200mg</w:t>
      </w:r>
      <w:r w:rsidRPr="003C684F" w:rsidR="00342152">
        <w:rPr>
          <w:rFonts w:hint="eastAsia" w:ascii="仿宋" w:hAnsi="仿宋" w:eastAsia="仿宋"/>
          <w:color w:val="000000"/>
          <w:sz w:val="32"/>
          <w:szCs w:val="32"/>
        </w:rPr>
        <w:t>/次，</w:t>
      </w:r>
      <w:r w:rsidRPr="003C684F">
        <w:rPr>
          <w:rFonts w:hint="eastAsia" w:ascii="仿宋" w:hAnsi="仿宋" w:eastAsia="仿宋"/>
          <w:color w:val="000000"/>
          <w:sz w:val="32"/>
          <w:szCs w:val="32"/>
        </w:rPr>
        <w:t>每3周一次</w:t>
      </w:r>
      <w:r w:rsidRPr="003C684F" w:rsidR="00DB4978">
        <w:rPr>
          <w:rFonts w:hint="eastAsia" w:ascii="仿宋" w:hAnsi="仿宋" w:eastAsia="仿宋"/>
          <w:color w:val="000000"/>
          <w:sz w:val="32"/>
          <w:szCs w:val="32"/>
        </w:rPr>
        <w:lastRenderedPageBreak/>
        <w:t>或</w:t>
      </w:r>
      <w:r w:rsidRPr="003C684F">
        <w:rPr>
          <w:rFonts w:hint="eastAsia" w:ascii="仿宋" w:hAnsi="仿宋" w:eastAsia="仿宋"/>
          <w:color w:val="000000"/>
          <w:sz w:val="32"/>
          <w:szCs w:val="32"/>
        </w:rPr>
        <w:t>400mg</w:t>
      </w:r>
      <w:r w:rsidRPr="003C684F" w:rsidR="00342152">
        <w:rPr>
          <w:rFonts w:hint="eastAsia" w:ascii="仿宋" w:hAnsi="仿宋" w:eastAsia="仿宋"/>
          <w:color w:val="000000"/>
          <w:sz w:val="32"/>
          <w:szCs w:val="32"/>
        </w:rPr>
        <w:t>/次，</w:t>
      </w:r>
      <w:r w:rsidRPr="003C684F">
        <w:rPr>
          <w:rFonts w:hint="eastAsia" w:ascii="仿宋" w:hAnsi="仿宋" w:eastAsia="仿宋"/>
          <w:color w:val="000000"/>
          <w:sz w:val="32"/>
          <w:szCs w:val="32"/>
        </w:rPr>
        <w:t>每6周一次。</w:t>
      </w:r>
    </w:p>
    <w:p w:rsidRPr="003C684F" w:rsidR="009730C1" w:rsidRDefault="003B5C35" w14:paraId="34BA81CE" w14:textId="77777777">
      <w:pPr>
        <w:ind w:firstLine="640" w:firstLineChars="200"/>
        <w:rPr>
          <w:rFonts w:ascii="仿宋" w:hAnsi="仿宋" w:eastAsia="仿宋"/>
          <w:color w:val="000000"/>
          <w:sz w:val="32"/>
          <w:szCs w:val="32"/>
        </w:rPr>
      </w:pPr>
      <w:r w:rsidRPr="003C684F">
        <w:rPr>
          <w:rFonts w:hint="eastAsia" w:ascii="黑体" w:hAnsi="黑体" w:eastAsia="黑体"/>
          <w:color w:val="000000"/>
          <w:sz w:val="32"/>
          <w:szCs w:val="32"/>
        </w:rPr>
        <w:t>五</w:t>
      </w:r>
      <w:r w:rsidRPr="003C684F" w:rsidR="00A315B9">
        <w:rPr>
          <w:rFonts w:hint="eastAsia" w:ascii="黑体" w:hAnsi="黑体" w:eastAsia="黑体"/>
          <w:color w:val="000000"/>
          <w:sz w:val="32"/>
          <w:szCs w:val="32"/>
        </w:rPr>
        <w:t>、特瑞普利单抗 Toripalimab</w:t>
      </w:r>
    </w:p>
    <w:p w:rsidRPr="003C684F" w:rsidR="009730C1" w:rsidRDefault="00A315B9" w14:paraId="72129BF7"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3928C1">
        <w:rPr>
          <w:rFonts w:hint="eastAsia" w:ascii="仿宋" w:hAnsi="仿宋" w:eastAsia="仿宋"/>
          <w:color w:val="000000"/>
          <w:sz w:val="32"/>
          <w:szCs w:val="32"/>
        </w:rPr>
        <w:t>剂</w:t>
      </w:r>
      <w:r w:rsidRPr="003C684F">
        <w:rPr>
          <w:rFonts w:hint="eastAsia" w:ascii="仿宋" w:hAnsi="仿宋" w:eastAsia="仿宋"/>
          <w:color w:val="000000"/>
          <w:sz w:val="32"/>
          <w:szCs w:val="32"/>
        </w:rPr>
        <w:t>：80mg（2ml）/瓶、240mg（6ml）/瓶</w:t>
      </w:r>
    </w:p>
    <w:p w:rsidRPr="003C684F" w:rsidR="009730C1" w:rsidRDefault="00A315B9" w14:paraId="4EF654A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适用于既往接受全身系统治疗失败的不可切除或转移性黑色素瘤的治疗。</w:t>
      </w:r>
    </w:p>
    <w:p w:rsidRPr="003C684F" w:rsidR="009730C1" w:rsidRDefault="00A315B9" w14:paraId="5B1A89AC"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42060C1" w14:textId="74B1FAD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1.用于治疗晚期黑色素瘤的推荐剂量为3mg/kg，每2周一次，</w:t>
      </w:r>
      <w:r w:rsidRPr="003C684F" w:rsidR="006A2DCD">
        <w:rPr>
          <w:rFonts w:hint="eastAsia" w:ascii="仿宋" w:hAnsi="仿宋" w:eastAsia="仿宋"/>
          <w:color w:val="000000"/>
          <w:sz w:val="32"/>
          <w:szCs w:val="32"/>
        </w:rPr>
        <w:t>静脉输注,</w:t>
      </w:r>
      <w:r w:rsidRPr="003C684F" w:rsidR="00703498">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已观察到部分接受本品治疗的患者存在肿瘤非典型反应，如果患者临床症状稳定或持续减轻，即使在影像学上有疾病进展的初步证据，基于总体临床获益的判断，可考虑继续应用本品治疗，直至证实疾病进展。</w:t>
      </w:r>
    </w:p>
    <w:p w:rsidRPr="003C684F" w:rsidR="009730C1" w:rsidRDefault="00A315B9" w14:paraId="092C9AB7" w14:textId="4365B5B1">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2.对于晚期黏膜型黑色素瘤，PD-1单抗单药疗效有限，根据CT13研究，建议采用特瑞普利单抗（3mg/kg，每</w:t>
      </w:r>
      <w:r w:rsidRPr="003C684F" w:rsidR="009B5B90">
        <w:rPr>
          <w:rFonts w:hint="eastAsia" w:ascii="仿宋" w:hAnsi="仿宋" w:eastAsia="仿宋"/>
          <w:color w:val="000000"/>
          <w:sz w:val="32"/>
          <w:szCs w:val="32"/>
        </w:rPr>
        <w:t>2周</w:t>
      </w:r>
      <w:r w:rsidRPr="003C684F">
        <w:rPr>
          <w:rFonts w:hint="eastAsia" w:ascii="仿宋" w:hAnsi="仿宋" w:eastAsia="仿宋"/>
          <w:color w:val="000000"/>
          <w:sz w:val="32"/>
          <w:szCs w:val="32"/>
        </w:rPr>
        <w:t>一次</w:t>
      </w:r>
      <w:r w:rsidRPr="003C684F" w:rsidR="003922C5">
        <w:rPr>
          <w:rFonts w:hint="eastAsia" w:ascii="仿宋" w:hAnsi="仿宋" w:eastAsia="仿宋"/>
          <w:color w:val="000000"/>
          <w:sz w:val="32"/>
          <w:szCs w:val="32"/>
        </w:rPr>
        <w:t>，静脉输注</w:t>
      </w:r>
      <w:r w:rsidRPr="003C684F">
        <w:rPr>
          <w:rFonts w:hint="eastAsia" w:ascii="仿宋" w:hAnsi="仿宋" w:eastAsia="仿宋"/>
          <w:color w:val="000000"/>
          <w:sz w:val="32"/>
          <w:szCs w:val="32"/>
        </w:rPr>
        <w:t>）联合阿昔替尼（5mg/次，每天两次）的治疗。</w:t>
      </w:r>
    </w:p>
    <w:p w:rsidRPr="003C684F" w:rsidR="009730C1" w:rsidRDefault="00A315B9" w14:paraId="0F3826B7"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3.主要不良反应为贫血、ALT升高、乏力、AST升高、皮疹、发热、血促甲状腺激素升高、</w:t>
      </w:r>
      <w:r w:rsidRPr="003C684F" w:rsidR="00AA068D">
        <w:rPr>
          <w:rFonts w:hint="eastAsia" w:ascii="仿宋" w:hAnsi="仿宋" w:eastAsia="仿宋"/>
          <w:color w:val="000000"/>
          <w:sz w:val="32"/>
          <w:szCs w:val="32"/>
        </w:rPr>
        <w:t>白细胞减少症</w:t>
      </w:r>
      <w:r w:rsidRPr="003C684F">
        <w:rPr>
          <w:rFonts w:hint="eastAsia" w:ascii="仿宋" w:hAnsi="仿宋" w:eastAsia="仿宋"/>
          <w:color w:val="000000"/>
          <w:sz w:val="32"/>
          <w:szCs w:val="32"/>
        </w:rPr>
        <w:t>、咳嗽、瘙痒、甲状腺功能减退、食欲下降、血糖升高和血胆红素升高。</w:t>
      </w:r>
    </w:p>
    <w:p w:rsidRPr="003C684F" w:rsidR="009730C1" w:rsidRDefault="00A315B9" w14:paraId="7831F1D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4.对于疑似免疫相关性不良反应，应进行充分的评估以</w:t>
      </w:r>
      <w:r w:rsidRPr="003C684F">
        <w:rPr>
          <w:rFonts w:hint="eastAsia" w:ascii="仿宋" w:hAnsi="仿宋" w:eastAsia="仿宋"/>
          <w:color w:val="000000"/>
          <w:sz w:val="32"/>
          <w:szCs w:val="32"/>
        </w:rPr>
        <w:lastRenderedPageBreak/>
        <w:t>排除其他病因。大多数免疫相关性不良反应是可逆的，且可通过中断特瑞普利单抗并使用糖皮质激素支持治疗。对于大部分3～4级及某些特定的2级免疫相关性不良反应需暂停给药，并给予1～2mg/（kg</w:t>
      </w:r>
      <w:r w:rsidRPr="003C684F">
        <w:rPr>
          <w:rFonts w:hint="eastAsia" w:ascii="宋体" w:hAnsi="宋体" w:cs="宋体"/>
          <w:color w:val="000000"/>
          <w:sz w:val="32"/>
          <w:szCs w:val="32"/>
        </w:rPr>
        <w:t>•</w:t>
      </w:r>
      <w:r w:rsidRPr="003C684F">
        <w:rPr>
          <w:rFonts w:hint="eastAsia" w:ascii="仿宋" w:hAnsi="仿宋" w:eastAsia="仿宋"/>
          <w:color w:val="000000"/>
          <w:sz w:val="32"/>
          <w:szCs w:val="32"/>
        </w:rPr>
        <w:t>d）强的松等效剂量及其他治疗，直至改善到≤1级。糖皮质激素需至少一个月的时间逐渐减量直至停药，快速减量可能引起免疫相关性不良反应的反复。如果不良反应在糖皮质激素治疗后继续恶化或无改善，则应增加糖皮质激素以外的免疫抑制剂治疗。</w:t>
      </w:r>
    </w:p>
    <w:p w:rsidRPr="003C684F" w:rsidR="009730C1" w:rsidRDefault="00A315B9" w14:paraId="2F181AF4" w14:textId="2DBCAFD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5.对于4级及某些特定的3级免疫相关性不良反应，及任何复发性3级免疫相关性不良反应，末次给药后12周内2～3级免疫相关性不良反应未改善到0～1级（除外内分泌</w:t>
      </w:r>
      <w:r w:rsidRPr="003C684F" w:rsidR="009616C0">
        <w:rPr>
          <w:rFonts w:hint="eastAsia" w:ascii="仿宋" w:hAnsi="仿宋" w:eastAsia="仿宋"/>
          <w:color w:val="000000"/>
          <w:sz w:val="32"/>
          <w:szCs w:val="32"/>
        </w:rPr>
        <w:t>相关不良反应</w:t>
      </w:r>
      <w:r w:rsidRPr="003C684F">
        <w:rPr>
          <w:rFonts w:hint="eastAsia" w:ascii="仿宋" w:hAnsi="仿宋" w:eastAsia="仿宋"/>
          <w:color w:val="000000"/>
          <w:sz w:val="32"/>
          <w:szCs w:val="32"/>
        </w:rPr>
        <w:t>），以及末次给药12周内糖皮质激素未能降至≤10mg/d强的松等效剂量，应</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w:t>
      </w:r>
    </w:p>
    <w:p w:rsidRPr="003C684F" w:rsidR="009730C1" w:rsidRDefault="00A315B9" w14:paraId="4ACEC5B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孕妇在妊娠期使用可能会对胎儿造成伤害，除非临床获益大于潜在风险，不建议在妊娠期间使用本品治疗。建议育龄女性在用药期间及末次给药后至少2个月内持续避孕。不能排除本品对新生儿的风险，建议哺乳期妇女在接受本品治疗期间及末次给药后至少2个月内停止哺乳。</w:t>
      </w:r>
    </w:p>
    <w:p w:rsidRPr="003C684F" w:rsidR="009730C1" w:rsidRDefault="00A315B9" w14:paraId="798353AB" w14:textId="156B49F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7.轻度肝肾功能损伤患者无需调整剂量，尚未在中重度肝肾功能损伤患者中进行本品的相关研究。老年患者（≥65岁）无需调整初始剂量。尚未确定</w:t>
      </w:r>
      <w:r w:rsidRPr="003C684F" w:rsidR="00983D7C">
        <w:rPr>
          <w:rFonts w:hint="eastAsia" w:ascii="仿宋" w:hAnsi="仿宋" w:eastAsia="仿宋"/>
          <w:color w:val="000000"/>
          <w:sz w:val="32"/>
          <w:szCs w:val="32"/>
        </w:rPr>
        <w:t>本品在</w:t>
      </w:r>
      <w:r w:rsidRPr="003C684F">
        <w:rPr>
          <w:rFonts w:hint="eastAsia" w:ascii="仿宋" w:hAnsi="仿宋" w:eastAsia="仿宋"/>
          <w:color w:val="000000"/>
          <w:sz w:val="32"/>
          <w:szCs w:val="32"/>
        </w:rPr>
        <w:t>18岁以下儿童和青少年</w:t>
      </w:r>
      <w:r w:rsidRPr="003C684F" w:rsidR="00983D7C">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w:t>
      </w:r>
    </w:p>
    <w:p w:rsidRPr="003C684F" w:rsidR="009730C1" w:rsidRDefault="00A315B9" w14:paraId="3E2DB9B0" w14:textId="0255D65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8.</w:t>
      </w:r>
      <w:r w:rsidRPr="003C684F" w:rsidR="009616C0">
        <w:rPr>
          <w:rFonts w:hint="eastAsia" w:ascii="仿宋" w:hAnsi="仿宋" w:eastAsia="仿宋"/>
          <w:color w:val="000000"/>
          <w:sz w:val="32"/>
          <w:szCs w:val="32"/>
        </w:rPr>
        <w:t>避免在开始本药治疗前使用全身性糖皮质激素及其他免疫抑制剂。但开始本药治疗后如出现免疫相关性不良反应，可使用全身性糖皮质激素及其他免疫抑制剂。</w:t>
      </w:r>
    </w:p>
    <w:p w:rsidRPr="003C684F" w:rsidR="009730C1" w:rsidRDefault="00A315B9" w14:paraId="7B39646F" w14:textId="0C9BDD5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9.禁忌：（1）禁止用于对特瑞普利单抗注射</w:t>
      </w:r>
      <w:r w:rsidRPr="003C684F" w:rsidR="00C3674D">
        <w:rPr>
          <w:rFonts w:hint="eastAsia" w:ascii="仿宋" w:hAnsi="仿宋" w:eastAsia="仿宋"/>
          <w:color w:val="000000"/>
          <w:sz w:val="32"/>
          <w:szCs w:val="32"/>
        </w:rPr>
        <w:t>剂</w:t>
      </w:r>
      <w:r w:rsidRPr="003C684F">
        <w:rPr>
          <w:rFonts w:hint="eastAsia" w:ascii="仿宋" w:hAnsi="仿宋" w:eastAsia="仿宋"/>
          <w:color w:val="000000"/>
          <w:sz w:val="32"/>
          <w:szCs w:val="32"/>
        </w:rPr>
        <w:t>活性成分或辅料存在超敏反应的患者。（2）不可与其他药品混合或稀释，药瓶中剩余的药物不可重复使用。（3）不得采用静脉推注或单次快速静脉注射给药。</w:t>
      </w:r>
    </w:p>
    <w:p w:rsidRPr="003C684F" w:rsidR="00156AB0" w:rsidP="00156AB0" w:rsidRDefault="00156AB0" w14:paraId="0B1B6940" w14:textId="024EBE63">
      <w:pPr>
        <w:ind w:firstLine="640" w:firstLineChars="200"/>
        <w:rPr>
          <w:rFonts w:ascii="仿宋" w:hAnsi="仿宋" w:eastAsia="仿宋"/>
          <w:color w:val="000000"/>
          <w:sz w:val="32"/>
          <w:szCs w:val="32"/>
        </w:rPr>
      </w:pPr>
      <w:r w:rsidRPr="003C684F">
        <w:rPr>
          <w:rFonts w:hint="eastAsia" w:ascii="黑体" w:hAnsi="黑体" w:eastAsia="黑体"/>
          <w:color w:val="000000"/>
          <w:sz w:val="32"/>
          <w:szCs w:val="32"/>
        </w:rPr>
        <w:t xml:space="preserve">六、索立德吉 </w:t>
      </w:r>
      <w:r w:rsidRPr="003C684F">
        <w:rPr>
          <w:rFonts w:ascii="黑体" w:hAnsi="黑体" w:eastAsia="黑体"/>
          <w:color w:val="000000"/>
          <w:sz w:val="32"/>
          <w:szCs w:val="32"/>
        </w:rPr>
        <w:t xml:space="preserve">Sonidegib </w:t>
      </w:r>
    </w:p>
    <w:p w:rsidRPr="003C684F" w:rsidR="00156AB0" w:rsidP="00633EA4" w:rsidRDefault="00156AB0" w14:paraId="35A162FD" w14:textId="37F208A5">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胶囊：200mg（按C26H26F3N3O3计）</w:t>
      </w:r>
    </w:p>
    <w:p w:rsidRPr="003C684F" w:rsidR="00156AB0" w:rsidP="00633EA4" w:rsidRDefault="00156AB0" w14:paraId="0B5F5A3B" w14:textId="78B50A1B">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本品适用于不宜手术或放疗，以及手术或放疗后复发的局部晚期基底细胞癌成年患者。</w:t>
      </w:r>
    </w:p>
    <w:p w:rsidRPr="003C684F" w:rsidR="00156AB0" w:rsidP="00633EA4" w:rsidRDefault="00156AB0" w14:paraId="64154680"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156AB0" w:rsidP="00156AB0" w:rsidRDefault="00156AB0" w14:paraId="1F3E77C4" w14:textId="21EA8B2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1.本品必须将胶囊整粒吞服，不得咀嚼或压碎。</w:t>
      </w:r>
    </w:p>
    <w:p w:rsidRPr="003C684F" w:rsidR="00156AB0" w:rsidP="00156AB0" w:rsidRDefault="00156AB0" w14:paraId="3A8556D2" w14:textId="3DE9DB1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2.本品必须在餐后2小时至下一餐前1小时之间服用。如果服药后呕吐，在下一次计划给药前不得重复用药。</w:t>
      </w:r>
    </w:p>
    <w:p w:rsidRPr="003C684F" w:rsidR="00156AB0" w:rsidP="00156AB0" w:rsidRDefault="00156AB0" w14:paraId="28608E1B" w14:textId="5DFC897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3.推荐服用剂量为200mg</w:t>
      </w:r>
      <w:r w:rsidRPr="003C684F" w:rsidR="00472437">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472437">
        <w:rPr>
          <w:rFonts w:hint="eastAsia" w:ascii="仿宋" w:hAnsi="仿宋" w:eastAsia="仿宋"/>
          <w:color w:val="000000"/>
          <w:sz w:val="32"/>
          <w:szCs w:val="32"/>
        </w:rPr>
        <w:t>每</w:t>
      </w:r>
      <w:r w:rsidRPr="003C684F" w:rsidR="00220377">
        <w:rPr>
          <w:rFonts w:hint="eastAsia" w:ascii="仿宋" w:hAnsi="仿宋" w:eastAsia="仿宋"/>
          <w:color w:val="000000"/>
          <w:sz w:val="32"/>
          <w:szCs w:val="32"/>
        </w:rPr>
        <w:t>天</w:t>
      </w:r>
      <w:r w:rsidRPr="003C684F" w:rsidR="00472437">
        <w:rPr>
          <w:rFonts w:hint="eastAsia" w:ascii="仿宋" w:hAnsi="仿宋" w:eastAsia="仿宋"/>
          <w:color w:val="000000"/>
          <w:sz w:val="32"/>
          <w:szCs w:val="32"/>
        </w:rPr>
        <w:t>一次，口服</w:t>
      </w:r>
      <w:r w:rsidRPr="003C684F">
        <w:rPr>
          <w:rFonts w:hint="eastAsia" w:ascii="仿宋" w:hAnsi="仿宋" w:eastAsia="仿宋"/>
          <w:color w:val="000000"/>
          <w:sz w:val="32"/>
          <w:szCs w:val="32"/>
        </w:rPr>
        <w:t>，直至疾病进展或出现不可</w:t>
      </w:r>
      <w:r w:rsidRPr="003C684F" w:rsidR="00472437">
        <w:rPr>
          <w:rFonts w:hint="eastAsia" w:ascii="仿宋" w:hAnsi="仿宋" w:eastAsia="仿宋"/>
          <w:color w:val="000000"/>
          <w:sz w:val="32"/>
          <w:szCs w:val="32"/>
        </w:rPr>
        <w:t>耐</w:t>
      </w:r>
      <w:r w:rsidRPr="003C684F">
        <w:rPr>
          <w:rFonts w:hint="eastAsia" w:ascii="仿宋" w:hAnsi="仿宋" w:eastAsia="仿宋"/>
          <w:color w:val="000000"/>
          <w:sz w:val="32"/>
          <w:szCs w:val="32"/>
        </w:rPr>
        <w:t>受的毒性。</w:t>
      </w:r>
    </w:p>
    <w:p w:rsidRPr="003C684F" w:rsidR="00156AB0" w:rsidP="00156AB0" w:rsidRDefault="00156AB0" w14:paraId="1B387728" w14:textId="66B31A8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4.对本品所含活性物质或任何辅料过敏者禁用。</w:t>
      </w:r>
    </w:p>
    <w:p w:rsidRPr="003C684F" w:rsidR="00156AB0" w:rsidP="00156AB0" w:rsidRDefault="00156AB0" w14:paraId="603FE8BC" w14:textId="20D078B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5.在</w:t>
      </w:r>
      <w:r w:rsidRPr="003C684F" w:rsidR="00472437">
        <w:rPr>
          <w:rFonts w:hint="eastAsia" w:ascii="仿宋" w:hAnsi="仿宋" w:eastAsia="仿宋"/>
          <w:color w:val="000000"/>
          <w:sz w:val="32"/>
          <w:szCs w:val="32"/>
        </w:rPr>
        <w:t>Ⅱ</w:t>
      </w:r>
      <w:r w:rsidRPr="003C684F">
        <w:rPr>
          <w:rFonts w:hint="eastAsia" w:ascii="仿宋" w:hAnsi="仿宋" w:eastAsia="仿宋"/>
          <w:color w:val="000000"/>
          <w:sz w:val="32"/>
          <w:szCs w:val="32"/>
        </w:rPr>
        <w:t>期关键性研究中，观察到肌肉痉挛、肌痛、肌病和</w:t>
      </w:r>
      <w:r w:rsidRPr="003C684F" w:rsidR="00472437">
        <w:rPr>
          <w:rFonts w:hint="eastAsia" w:ascii="仿宋" w:hAnsi="仿宋" w:eastAsia="仿宋"/>
          <w:color w:val="000000"/>
          <w:sz w:val="32"/>
          <w:szCs w:val="32"/>
        </w:rPr>
        <w:t>肌酸激酶</w:t>
      </w:r>
      <w:r w:rsidRPr="003C684F">
        <w:rPr>
          <w:rFonts w:hint="eastAsia" w:ascii="仿宋" w:hAnsi="仿宋" w:eastAsia="仿宋"/>
          <w:color w:val="000000"/>
          <w:sz w:val="32"/>
          <w:szCs w:val="32"/>
        </w:rPr>
        <w:t>升高。大多数患者的肌肉症状和肌酸激酶升高可以在相应的临床干预后消退。</w:t>
      </w:r>
    </w:p>
    <w:p w:rsidRPr="003C684F" w:rsidR="00156AB0" w:rsidP="00156AB0" w:rsidRDefault="00156AB0" w14:paraId="643BFA9A" w14:textId="3298891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6.孕妇服用本品可能导致胚胎-胎儿死亡或重度出生缺</w:t>
      </w:r>
      <w:r w:rsidRPr="003C684F">
        <w:rPr>
          <w:rFonts w:hint="eastAsia" w:ascii="仿宋" w:hAnsi="仿宋" w:eastAsia="仿宋"/>
          <w:color w:val="000000"/>
          <w:sz w:val="32"/>
          <w:szCs w:val="32"/>
        </w:rPr>
        <w:lastRenderedPageBreak/>
        <w:t>陷。有生育能力的女性在服用本品期间至治疗结束后20个月内，不得怀孕或计划怀孕。</w:t>
      </w:r>
    </w:p>
    <w:p w:rsidRPr="003C684F" w:rsidR="00247180" w:rsidP="00247180" w:rsidRDefault="00247180" w14:paraId="1B163838" w14:textId="5D3E9114">
      <w:pPr>
        <w:ind w:firstLine="643" w:firstLineChars="200"/>
        <w:rPr>
          <w:rFonts w:ascii="黑体" w:hAnsi="黑体" w:eastAsia="黑体"/>
          <w:color w:val="000000"/>
          <w:sz w:val="32"/>
          <w:szCs w:val="32"/>
        </w:rPr>
      </w:pPr>
      <w:r w:rsidRPr="003C684F">
        <w:rPr>
          <w:rFonts w:hint="eastAsia" w:ascii="仿宋" w:hAnsi="仿宋" w:eastAsia="仿宋"/>
          <w:b/>
          <w:color w:val="000000"/>
          <w:sz w:val="32"/>
          <w:szCs w:val="32"/>
          <w:vertAlign w:val="superscript"/>
        </w:rPr>
        <w:t>※</w:t>
      </w:r>
      <w:r w:rsidRPr="003C684F" w:rsidR="00156AB0">
        <w:rPr>
          <w:rFonts w:hint="eastAsia" w:ascii="黑体" w:hAnsi="黑体" w:eastAsia="黑体"/>
          <w:color w:val="000000"/>
          <w:sz w:val="32"/>
          <w:szCs w:val="32"/>
        </w:rPr>
        <w:t>七</w:t>
      </w:r>
      <w:r w:rsidRPr="003C684F">
        <w:rPr>
          <w:rFonts w:hint="eastAsia" w:ascii="黑体" w:hAnsi="黑体" w:eastAsia="黑体"/>
          <w:color w:val="000000"/>
          <w:sz w:val="32"/>
          <w:szCs w:val="32"/>
        </w:rPr>
        <w:t>、伊马替尼 Imatinib</w:t>
      </w:r>
    </w:p>
    <w:p w:rsidRPr="003C684F" w:rsidR="00247180" w:rsidP="00247180" w:rsidRDefault="00247180" w14:paraId="3E778A92"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（1）片剂：100mg、400mg；（2）胶囊：50mg、100mg</w:t>
      </w:r>
    </w:p>
    <w:p w:rsidRPr="003C684F" w:rsidR="00247180" w:rsidP="00247180" w:rsidRDefault="00247180" w14:paraId="0B0BCECC"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对不能切除和/或转移性KIT突变的恶性黑色素瘤患者。</w:t>
      </w:r>
    </w:p>
    <w:p w:rsidRPr="003C684F" w:rsidR="00247180" w:rsidP="00247180" w:rsidRDefault="00247180" w14:paraId="5F090DB9"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247180" w:rsidP="00247180" w:rsidRDefault="00247180" w14:paraId="79605316"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1.用药前必须经由国家药品监督管理局批准的检测方法确定肿瘤为C-KIT突变阳性，才可使用伊马替尼治疗，免疫组化CD117阳性不能替代KIT突变基因检测，伊马替尼不能用于KIT野生型黑色素瘤患者。</w:t>
      </w:r>
    </w:p>
    <w:p w:rsidRPr="003C684F" w:rsidR="00247180" w:rsidP="00247180" w:rsidRDefault="00247180" w14:paraId="7F606DDF" w14:textId="4E99AC2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2.对于KIT突变的晚期黑色素瘤患者的</w:t>
      </w:r>
      <w:r w:rsidRPr="003C684F" w:rsidR="009F2C41">
        <w:rPr>
          <w:rFonts w:hint="eastAsia" w:ascii="仿宋" w:hAnsi="仿宋" w:eastAsia="仿宋" w:cs="仿宋"/>
          <w:sz w:val="32"/>
          <w:szCs w:val="32"/>
        </w:rPr>
        <w:t>推荐剂量为400mg/次，每天一次，口服，宜在进餐时服药。</w:t>
      </w:r>
      <w:r w:rsidRPr="003C684F">
        <w:rPr>
          <w:rFonts w:hint="eastAsia" w:ascii="仿宋" w:hAnsi="仿宋" w:eastAsia="仿宋"/>
          <w:color w:val="000000"/>
          <w:sz w:val="32"/>
          <w:szCs w:val="32"/>
        </w:rPr>
        <w:t>治疗进展后可遵医嘱增量至</w:t>
      </w:r>
      <w:r w:rsidRPr="003C684F" w:rsidR="00AF5576">
        <w:rPr>
          <w:rFonts w:hint="eastAsia" w:ascii="仿宋" w:hAnsi="仿宋" w:eastAsia="仿宋"/>
          <w:color w:val="000000"/>
          <w:sz w:val="32"/>
          <w:szCs w:val="32"/>
        </w:rPr>
        <w:t>4</w:t>
      </w:r>
      <w:r w:rsidRPr="003C684F">
        <w:rPr>
          <w:rFonts w:hint="eastAsia" w:ascii="仿宋" w:hAnsi="仿宋" w:eastAsia="仿宋"/>
          <w:color w:val="000000"/>
          <w:sz w:val="32"/>
          <w:szCs w:val="32"/>
        </w:rPr>
        <w:t>00mg</w:t>
      </w:r>
      <w:r w:rsidRPr="003C684F" w:rsidR="00FF7445">
        <w:rPr>
          <w:rFonts w:hint="eastAsia" w:ascii="仿宋" w:hAnsi="仿宋" w:eastAsia="仿宋" w:cs="仿宋"/>
          <w:sz w:val="32"/>
          <w:szCs w:val="32"/>
        </w:rPr>
        <w:t>/次，每天</w:t>
      </w:r>
      <w:r w:rsidRPr="003C684F" w:rsidR="00AF5576">
        <w:rPr>
          <w:rFonts w:hint="eastAsia" w:ascii="仿宋" w:hAnsi="仿宋" w:eastAsia="仿宋" w:cs="仿宋"/>
          <w:sz w:val="32"/>
          <w:szCs w:val="32"/>
        </w:rPr>
        <w:t>两</w:t>
      </w:r>
      <w:r w:rsidRPr="003C684F" w:rsidR="00FF7445">
        <w:rPr>
          <w:rFonts w:hint="eastAsia" w:ascii="仿宋" w:hAnsi="仿宋" w:eastAsia="仿宋" w:cs="仿宋"/>
          <w:sz w:val="32"/>
          <w:szCs w:val="32"/>
        </w:rPr>
        <w:t>次，口服，</w:t>
      </w:r>
      <w:r w:rsidRPr="003C684F">
        <w:rPr>
          <w:rFonts w:hint="eastAsia" w:ascii="仿宋" w:hAnsi="仿宋" w:eastAsia="仿宋"/>
          <w:color w:val="000000"/>
          <w:sz w:val="32"/>
          <w:szCs w:val="32"/>
        </w:rPr>
        <w:t>仍有部分患者获益，但不良反应亦加重。</w:t>
      </w:r>
    </w:p>
    <w:p w:rsidRPr="003C684F" w:rsidR="00247180" w:rsidP="00247180" w:rsidRDefault="00247180" w14:paraId="31640005" w14:textId="1725944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3.用药期间常见的反应包括</w:t>
      </w:r>
      <w:r w:rsidRPr="003C684F" w:rsidR="009F2C41">
        <w:rPr>
          <w:rFonts w:hint="eastAsia" w:ascii="仿宋" w:hAnsi="仿宋" w:eastAsia="仿宋"/>
          <w:color w:val="000000"/>
          <w:sz w:val="32"/>
          <w:szCs w:val="32"/>
        </w:rPr>
        <w:t>体液潴留</w:t>
      </w:r>
      <w:r w:rsidRPr="003C684F">
        <w:rPr>
          <w:rFonts w:hint="eastAsia" w:ascii="仿宋" w:hAnsi="仿宋" w:eastAsia="仿宋"/>
          <w:color w:val="000000"/>
          <w:sz w:val="32"/>
          <w:szCs w:val="32"/>
        </w:rPr>
        <w:t>、乏力、食欲减退、皮疹、</w:t>
      </w:r>
      <w:r w:rsidRPr="003C684F" w:rsidR="009F2C41">
        <w:rPr>
          <w:rFonts w:hint="eastAsia" w:ascii="仿宋" w:hAnsi="仿宋" w:eastAsia="仿宋" w:cs="仿宋"/>
          <w:sz w:val="32"/>
          <w:szCs w:val="32"/>
        </w:rPr>
        <w:t>中性粒细胞减少症</w:t>
      </w:r>
      <w:r w:rsidRPr="003C684F">
        <w:rPr>
          <w:rFonts w:hint="eastAsia" w:ascii="仿宋" w:hAnsi="仿宋" w:eastAsia="仿宋"/>
          <w:color w:val="000000"/>
          <w:sz w:val="32"/>
          <w:szCs w:val="32"/>
        </w:rPr>
        <w:t>等，服药期间应定期检测血常规、肝肾功能。</w:t>
      </w:r>
    </w:p>
    <w:p w:rsidRPr="003C684F" w:rsidR="00247180" w:rsidP="00247180" w:rsidRDefault="00247180" w14:paraId="64618AF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4.本品是CYP3A4的底物，同时给予CYP3A4诱导剂后伊马替尼的血浆浓度降低，从而导致疗效降低，应避免伊马替尼与CYP3A4诱导剂同时服用。</w:t>
      </w:r>
    </w:p>
    <w:p w:rsidRPr="003C684F" w:rsidR="001D5693" w:rsidP="00247180" w:rsidRDefault="001D5693" w14:paraId="132764C4" w14:textId="7417C4B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5.伊马替尼可抑制CYP3A4、CYP2D6、CYP2C9和CYP2C19，与其他药物合用时应注意药物相互作用。</w:t>
      </w:r>
    </w:p>
    <w:p w:rsidRPr="003C684F" w:rsidR="00247180" w:rsidP="00247180" w:rsidRDefault="001D5693" w14:paraId="0D1D2D0E" w14:textId="3451BAD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w:t>
      </w:r>
      <w:r w:rsidRPr="003C684F" w:rsidR="00247180">
        <w:rPr>
          <w:rFonts w:hint="eastAsia" w:ascii="仿宋" w:hAnsi="仿宋" w:eastAsia="仿宋"/>
          <w:color w:val="000000"/>
          <w:sz w:val="32"/>
          <w:szCs w:val="32"/>
        </w:rPr>
        <w:t>.伊马替尼应在进餐时服用，并饮一大杯水。并注意：（1）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rsidRPr="003C684F" w:rsidR="00247180" w:rsidRDefault="00247180" w14:paraId="78F61DD6" w14:textId="77777777">
      <w:pPr>
        <w:ind w:firstLine="640" w:firstLineChars="200"/>
        <w:rPr>
          <w:rFonts w:ascii="仿宋" w:hAnsi="仿宋" w:eastAsia="仿宋"/>
          <w:color w:val="000000"/>
          <w:sz w:val="32"/>
          <w:szCs w:val="32"/>
        </w:rPr>
      </w:pPr>
    </w:p>
    <w:p w:rsidRPr="003C684F" w:rsidR="009730C1" w:rsidRDefault="00A315B9" w14:paraId="14395D36" w14:textId="77777777">
      <w:pPr>
        <w:spacing w:line="360" w:lineRule="auto"/>
        <w:ind w:firstLine="883" w:firstLineChars="200"/>
        <w:jc w:val="center"/>
        <w:rPr>
          <w:rFonts w:ascii="宋体" w:hAnsi="宋体" w:cs="宋体"/>
          <w:b/>
          <w:bCs/>
          <w:sz w:val="44"/>
          <w:szCs w:val="44"/>
        </w:rPr>
      </w:pPr>
      <w:r w:rsidRPr="003C684F">
        <w:rPr>
          <w:rFonts w:hint="eastAsia" w:ascii="宋体" w:hAnsi="宋体" w:cs="宋体"/>
          <w:b/>
          <w:bCs/>
          <w:sz w:val="44"/>
          <w:szCs w:val="44"/>
        </w:rPr>
        <w:t>骨与软组织肿瘤用药</w:t>
      </w:r>
    </w:p>
    <w:p w:rsidRPr="003C684F" w:rsidR="009730C1" w:rsidRDefault="009730C1" w14:paraId="77B9A181" w14:textId="77777777">
      <w:pPr>
        <w:spacing w:line="360" w:lineRule="auto"/>
        <w:ind w:firstLine="640" w:firstLineChars="200"/>
        <w:rPr>
          <w:rFonts w:ascii="黑体" w:hAnsi="黑体" w:eastAsia="黑体" w:cs="黑体"/>
          <w:sz w:val="32"/>
          <w:szCs w:val="32"/>
        </w:rPr>
      </w:pPr>
    </w:p>
    <w:p w:rsidRPr="003C684F" w:rsidR="009730C1" w:rsidRDefault="00A315B9" w14:paraId="2775B73E" w14:textId="77777777">
      <w:pPr>
        <w:spacing w:line="360" w:lineRule="auto"/>
        <w:ind w:firstLine="640" w:firstLineChars="200"/>
        <w:rPr>
          <w:rFonts w:ascii="黑体" w:hAnsi="黑体" w:eastAsia="黑体" w:cs="Times New Roman"/>
          <w:sz w:val="32"/>
          <w:szCs w:val="32"/>
        </w:rPr>
      </w:pPr>
      <w:r w:rsidRPr="003C684F">
        <w:rPr>
          <w:rFonts w:hint="eastAsia" w:ascii="黑体" w:hAnsi="黑体" w:eastAsia="黑体" w:cs="黑体"/>
          <w:sz w:val="32"/>
          <w:szCs w:val="32"/>
        </w:rPr>
        <w:t>一、依维莫司 E</w:t>
      </w:r>
      <w:r w:rsidRPr="003C684F">
        <w:rPr>
          <w:rFonts w:ascii="黑体" w:hAnsi="黑体" w:eastAsia="黑体" w:cs="黑体"/>
          <w:sz w:val="32"/>
          <w:szCs w:val="32"/>
        </w:rPr>
        <w:t>verolimus</w:t>
      </w:r>
    </w:p>
    <w:p w:rsidRPr="003C684F" w:rsidR="009730C1" w:rsidRDefault="00A315B9" w14:paraId="6A039638" w14:textId="77777777">
      <w:pPr>
        <w:spacing w:line="360" w:lineRule="auto"/>
        <w:ind w:firstLine="643" w:firstLineChars="200"/>
        <w:rPr>
          <w:rFonts w:ascii="仿宋" w:hAnsi="仿宋" w:eastAsia="仿宋" w:cs="Times New Roman"/>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片剂：</w:t>
      </w:r>
      <w:r w:rsidRPr="003C684F">
        <w:rPr>
          <w:rFonts w:hint="eastAsia" w:ascii="仿宋" w:hAnsi="仿宋" w:eastAsia="仿宋"/>
          <w:color w:val="000000"/>
          <w:sz w:val="32"/>
          <w:szCs w:val="32"/>
        </w:rPr>
        <w:t>2.5mg、5mg、10mg</w:t>
      </w:r>
    </w:p>
    <w:p w:rsidRPr="003C684F" w:rsidR="009730C1" w:rsidRDefault="00A315B9" w14:paraId="26A6D43D"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适应证：</w:t>
      </w:r>
    </w:p>
    <w:p w:rsidRPr="003C684F" w:rsidR="009730C1" w:rsidRDefault="00A315B9" w14:paraId="6928DF3B" w14:textId="77777777">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lastRenderedPageBreak/>
        <w:t>1.</w:t>
      </w:r>
      <w:r w:rsidRPr="003C684F">
        <w:rPr>
          <w:rFonts w:hint="eastAsia" w:ascii="仿宋" w:hAnsi="仿宋" w:eastAsia="仿宋" w:cs="仿宋"/>
          <w:sz w:val="32"/>
          <w:szCs w:val="32"/>
        </w:rPr>
        <w:t>需要治疗干预但不适于手术切除的结节性硬化症相关的室管膜下巨细胞星形细胞瘤成人和儿童患者。本品的有效性主要通过可持续的客观缓解（即肿瘤体积的缩小）来证明。尚未证明结节性硬化症相关的室管膜下巨细胞星形细胞瘤的患者能否获得疾病的相关症状改善和总生存期延长。</w:t>
      </w:r>
    </w:p>
    <w:p w:rsidRPr="003C684F" w:rsidR="009730C1" w:rsidRDefault="00A315B9" w14:paraId="6008C7AD" w14:textId="56C5EE66">
      <w:pPr>
        <w:spacing w:line="360" w:lineRule="auto"/>
        <w:ind w:firstLine="640" w:firstLineChars="200"/>
        <w:rPr>
          <w:rFonts w:ascii="仿宋" w:hAnsi="仿宋" w:eastAsia="仿宋" w:cs="Times New Roman"/>
          <w:sz w:val="32"/>
          <w:szCs w:val="32"/>
        </w:rPr>
      </w:pPr>
      <w:r w:rsidRPr="003C684F">
        <w:rPr>
          <w:rFonts w:ascii="仿宋" w:hAnsi="仿宋" w:eastAsia="仿宋" w:cs="仿宋"/>
          <w:sz w:val="32"/>
          <w:szCs w:val="32"/>
        </w:rPr>
        <w:t>2.</w:t>
      </w:r>
      <w:r w:rsidRPr="003C684F">
        <w:rPr>
          <w:rFonts w:hint="eastAsia" w:ascii="仿宋" w:hAnsi="仿宋" w:eastAsia="仿宋" w:cs="仿宋"/>
          <w:sz w:val="32"/>
          <w:szCs w:val="32"/>
        </w:rPr>
        <w:t>用于治疗</w:t>
      </w:r>
      <w:r w:rsidRPr="003C684F" w:rsidR="00C03193">
        <w:rPr>
          <w:rFonts w:hint="eastAsia" w:ascii="仿宋" w:hAnsi="仿宋" w:eastAsia="仿宋" w:cs="仿宋"/>
          <w:sz w:val="32"/>
          <w:szCs w:val="32"/>
        </w:rPr>
        <w:t>无需</w:t>
      </w:r>
      <w:r w:rsidRPr="003C684F">
        <w:rPr>
          <w:rFonts w:hint="eastAsia" w:ascii="仿宋" w:hAnsi="仿宋" w:eastAsia="仿宋" w:cs="仿宋"/>
          <w:sz w:val="32"/>
          <w:szCs w:val="32"/>
        </w:rPr>
        <w:t>立即手术治疗的结节性硬化症相关的肾血管平滑肌脂肪瘤成人患者。</w:t>
      </w:r>
    </w:p>
    <w:p w:rsidRPr="003C684F" w:rsidR="009730C1" w:rsidRDefault="00A315B9" w14:paraId="4BE1319B"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1938E785" w14:textId="638B7D6B">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1.本品推荐剂量为10</w:t>
      </w:r>
      <w:r w:rsidRPr="003C684F">
        <w:rPr>
          <w:rFonts w:ascii="仿宋" w:hAnsi="仿宋" w:eastAsia="仿宋" w:cs="仿宋"/>
          <w:sz w:val="32"/>
          <w:szCs w:val="32"/>
        </w:rPr>
        <w:t>mg</w:t>
      </w:r>
      <w:r w:rsidRPr="003C684F" w:rsidR="009B4A5D">
        <w:rPr>
          <w:rFonts w:hint="eastAsia" w:ascii="仿宋" w:hAnsi="仿宋" w:eastAsia="仿宋" w:cs="仿宋"/>
          <w:sz w:val="32"/>
          <w:szCs w:val="32"/>
        </w:rPr>
        <w:t>/次</w:t>
      </w:r>
      <w:r w:rsidRPr="003C684F">
        <w:rPr>
          <w:rFonts w:hint="eastAsia" w:ascii="仿宋" w:hAnsi="仿宋" w:eastAsia="仿宋" w:cs="仿宋"/>
          <w:sz w:val="32"/>
          <w:szCs w:val="32"/>
        </w:rPr>
        <w:t>，每天一次</w:t>
      </w:r>
      <w:r w:rsidRPr="003C684F" w:rsidR="009B4A5D">
        <w:rPr>
          <w:rFonts w:hint="eastAsia" w:ascii="仿宋" w:hAnsi="仿宋" w:eastAsia="仿宋" w:cs="仿宋"/>
          <w:sz w:val="32"/>
          <w:szCs w:val="32"/>
        </w:rPr>
        <w:t>，</w:t>
      </w:r>
      <w:r w:rsidRPr="003C684F">
        <w:rPr>
          <w:rFonts w:hint="eastAsia" w:ascii="仿宋" w:hAnsi="仿宋" w:eastAsia="仿宋" w:cs="仿宋"/>
          <w:sz w:val="32"/>
          <w:szCs w:val="32"/>
        </w:rPr>
        <w:t>口服，在每一天同一时间服用，可与食物同服或不</w:t>
      </w:r>
      <w:r w:rsidRPr="003C684F" w:rsidR="00A35187">
        <w:rPr>
          <w:rFonts w:hint="eastAsia" w:ascii="仿宋" w:hAnsi="仿宋" w:eastAsia="仿宋" w:cs="仿宋"/>
          <w:sz w:val="32"/>
          <w:szCs w:val="32"/>
        </w:rPr>
        <w:t>同服</w:t>
      </w:r>
      <w:r w:rsidRPr="003C684F">
        <w:rPr>
          <w:rFonts w:hint="eastAsia" w:ascii="仿宋" w:hAnsi="仿宋" w:eastAsia="仿宋" w:cs="仿宋"/>
          <w:sz w:val="32"/>
          <w:szCs w:val="32"/>
        </w:rPr>
        <w:t>，不应咀嚼和压碎。</w:t>
      </w:r>
    </w:p>
    <w:p w:rsidRPr="003C684F" w:rsidR="009730C1" w:rsidRDefault="00A315B9" w14:paraId="3716957C"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2.遗漏剂量：本品在正常服用时间后6小时内均可补服遗漏剂量，超过6小时后应跳过该剂量，次日按正常时间服用本品。不可将剂量翻倍以弥补遗漏剂量。</w:t>
      </w:r>
    </w:p>
    <w:p w:rsidRPr="003C684F" w:rsidR="009730C1" w:rsidRDefault="00A315B9" w14:paraId="78718A6A"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肝功能损伤会使依维莫司暴露量增加，按如下方式进行给药调整：（</w:t>
      </w:r>
      <w:r w:rsidRPr="003C684F">
        <w:rPr>
          <w:rFonts w:ascii="仿宋" w:hAnsi="仿宋" w:eastAsia="仿宋" w:cs="仿宋"/>
          <w:sz w:val="32"/>
          <w:szCs w:val="32"/>
        </w:rPr>
        <w:t>1</w:t>
      </w:r>
      <w:r w:rsidRPr="003C684F">
        <w:rPr>
          <w:rFonts w:hint="eastAsia" w:ascii="仿宋" w:hAnsi="仿宋" w:eastAsia="仿宋" w:cs="仿宋"/>
          <w:sz w:val="32"/>
          <w:szCs w:val="32"/>
        </w:rPr>
        <w:t>）轻度肝功能损伤：推荐剂量为每天</w:t>
      </w:r>
      <w:r w:rsidRPr="003C684F">
        <w:rPr>
          <w:rFonts w:ascii="仿宋" w:hAnsi="仿宋" w:eastAsia="仿宋" w:cs="仿宋"/>
          <w:sz w:val="32"/>
          <w:szCs w:val="32"/>
        </w:rPr>
        <w:t>7.5mg</w:t>
      </w:r>
      <w:r w:rsidRPr="003C684F">
        <w:rPr>
          <w:rFonts w:hint="eastAsia" w:ascii="仿宋" w:hAnsi="仿宋" w:eastAsia="仿宋" w:cs="仿宋"/>
          <w:sz w:val="32"/>
          <w:szCs w:val="32"/>
        </w:rPr>
        <w:t>；如果不能很好地耐受，可将剂量降至每天</w:t>
      </w:r>
      <w:r w:rsidRPr="003C684F">
        <w:rPr>
          <w:rFonts w:ascii="仿宋" w:hAnsi="仿宋" w:eastAsia="仿宋" w:cs="仿宋"/>
          <w:sz w:val="32"/>
          <w:szCs w:val="32"/>
        </w:rPr>
        <w:t>5mg</w:t>
      </w:r>
      <w:r w:rsidRPr="003C684F">
        <w:rPr>
          <w:rFonts w:hint="eastAsia" w:ascii="仿宋" w:hAnsi="仿宋" w:eastAsia="仿宋" w:cs="仿宋"/>
          <w:sz w:val="32"/>
          <w:szCs w:val="32"/>
        </w:rPr>
        <w:t>。（</w:t>
      </w:r>
      <w:r w:rsidRPr="003C684F">
        <w:rPr>
          <w:rFonts w:ascii="仿宋" w:hAnsi="仿宋" w:eastAsia="仿宋" w:cs="仿宋"/>
          <w:sz w:val="32"/>
          <w:szCs w:val="32"/>
        </w:rPr>
        <w:t>2</w:t>
      </w:r>
      <w:r w:rsidRPr="003C684F">
        <w:rPr>
          <w:rFonts w:hint="eastAsia" w:ascii="仿宋" w:hAnsi="仿宋" w:eastAsia="仿宋" w:cs="仿宋"/>
          <w:sz w:val="32"/>
          <w:szCs w:val="32"/>
        </w:rPr>
        <w:t>）中度肝功能损伤：推荐剂量是每天</w:t>
      </w:r>
      <w:r w:rsidRPr="003C684F">
        <w:rPr>
          <w:rFonts w:ascii="仿宋" w:hAnsi="仿宋" w:eastAsia="仿宋" w:cs="仿宋"/>
          <w:sz w:val="32"/>
          <w:szCs w:val="32"/>
        </w:rPr>
        <w:t>5mg</w:t>
      </w:r>
      <w:r w:rsidRPr="003C684F">
        <w:rPr>
          <w:rFonts w:hint="eastAsia" w:ascii="仿宋" w:hAnsi="仿宋" w:eastAsia="仿宋" w:cs="仿宋"/>
          <w:sz w:val="32"/>
          <w:szCs w:val="32"/>
        </w:rPr>
        <w:t>；如果不能很好地耐受，可将剂量降至每天</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3</w:t>
      </w:r>
      <w:r w:rsidRPr="003C684F">
        <w:rPr>
          <w:rFonts w:hint="eastAsia" w:ascii="仿宋" w:hAnsi="仿宋" w:eastAsia="仿宋" w:cs="仿宋"/>
          <w:sz w:val="32"/>
          <w:szCs w:val="32"/>
        </w:rPr>
        <w:t>）重度肝功能损伤：如果预期的获益高于风险，可以采用每天</w:t>
      </w:r>
      <w:r w:rsidRPr="003C684F">
        <w:rPr>
          <w:rFonts w:ascii="仿宋" w:hAnsi="仿宋" w:eastAsia="仿宋" w:cs="仿宋"/>
          <w:sz w:val="32"/>
          <w:szCs w:val="32"/>
        </w:rPr>
        <w:t>2.5mg</w:t>
      </w:r>
      <w:r w:rsidRPr="003C684F">
        <w:rPr>
          <w:rFonts w:hint="eastAsia" w:ascii="仿宋" w:hAnsi="仿宋" w:eastAsia="仿宋" w:cs="仿宋"/>
          <w:sz w:val="32"/>
          <w:szCs w:val="32"/>
        </w:rPr>
        <w:t>，但不得超过这一剂量。</w:t>
      </w:r>
    </w:p>
    <w:p w:rsidRPr="003C684F" w:rsidR="009730C1" w:rsidRDefault="00A315B9" w14:paraId="36D7F294"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用药期间必须注意常见的口腔炎等；应特别注意间质性肺炎的发生，可能会发生肌酐、血糖和血脂异常，注意用药期间复查。</w:t>
      </w:r>
    </w:p>
    <w:p w:rsidRPr="003C684F" w:rsidR="009730C1" w:rsidRDefault="00A315B9" w14:paraId="1581EB2A" w14:textId="0F067EFC">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lastRenderedPageBreak/>
        <w:t>5</w:t>
      </w:r>
      <w:r w:rsidRPr="003C684F">
        <w:rPr>
          <w:rFonts w:ascii="仿宋" w:hAnsi="仿宋" w:eastAsia="仿宋" w:cs="仿宋"/>
          <w:sz w:val="32"/>
          <w:szCs w:val="32"/>
        </w:rPr>
        <w:t>.</w:t>
      </w:r>
      <w:r w:rsidRPr="003C684F">
        <w:rPr>
          <w:rFonts w:hint="eastAsia" w:ascii="仿宋" w:hAnsi="仿宋" w:eastAsia="仿宋" w:cs="仿宋"/>
          <w:sz w:val="32"/>
          <w:szCs w:val="32"/>
        </w:rPr>
        <w:t>避免</w:t>
      </w:r>
      <w:r w:rsidRPr="003C684F" w:rsidR="00C3674D">
        <w:rPr>
          <w:rFonts w:hint="eastAsia" w:ascii="仿宋" w:hAnsi="仿宋" w:eastAsia="仿宋" w:cs="仿宋"/>
          <w:sz w:val="32"/>
          <w:szCs w:val="32"/>
        </w:rPr>
        <w:t>联合</w:t>
      </w:r>
      <w:r w:rsidRPr="003C684F">
        <w:rPr>
          <w:rFonts w:hint="eastAsia" w:ascii="仿宋" w:hAnsi="仿宋" w:eastAsia="仿宋" w:cs="仿宋"/>
          <w:sz w:val="32"/>
          <w:szCs w:val="32"/>
        </w:rPr>
        <w:t>使用</w:t>
      </w:r>
      <w:r w:rsidRPr="003C684F">
        <w:rPr>
          <w:rFonts w:ascii="仿宋" w:hAnsi="仿宋" w:eastAsia="仿宋" w:cs="仿宋"/>
          <w:sz w:val="32"/>
          <w:szCs w:val="32"/>
        </w:rPr>
        <w:t>CYP3A4</w:t>
      </w:r>
      <w:r w:rsidRPr="003C684F" w:rsidR="0029486A">
        <w:rPr>
          <w:rFonts w:hint="eastAsia" w:ascii="仿宋" w:hAnsi="仿宋" w:eastAsia="仿宋" w:cs="仿宋"/>
          <w:sz w:val="32"/>
          <w:szCs w:val="32"/>
        </w:rPr>
        <w:t>强效</w:t>
      </w:r>
      <w:r w:rsidRPr="003C684F">
        <w:rPr>
          <w:rFonts w:hint="eastAsia" w:ascii="仿宋" w:hAnsi="仿宋" w:eastAsia="仿宋" w:cs="仿宋"/>
          <w:sz w:val="32"/>
          <w:szCs w:val="32"/>
        </w:rPr>
        <w:t>诱导剂，确需</w:t>
      </w:r>
      <w:r w:rsidRPr="003C684F" w:rsidR="00F92328">
        <w:rPr>
          <w:rFonts w:hint="eastAsia" w:ascii="仿宋" w:hAnsi="仿宋" w:eastAsia="仿宋" w:cs="仿宋"/>
          <w:sz w:val="32"/>
          <w:szCs w:val="32"/>
        </w:rPr>
        <w:t>联合使用</w:t>
      </w:r>
      <w:r w:rsidRPr="003C684F">
        <w:rPr>
          <w:rFonts w:hint="eastAsia" w:ascii="仿宋" w:hAnsi="仿宋" w:eastAsia="仿宋" w:cs="仿宋"/>
          <w:sz w:val="32"/>
          <w:szCs w:val="32"/>
        </w:rPr>
        <w:t>的，需增加剂量，最大剂量每天</w:t>
      </w:r>
      <w:r w:rsidRPr="003C684F">
        <w:rPr>
          <w:rFonts w:ascii="仿宋" w:hAnsi="仿宋" w:eastAsia="仿宋" w:cs="仿宋"/>
          <w:sz w:val="32"/>
          <w:szCs w:val="32"/>
        </w:rPr>
        <w:t>20mg</w:t>
      </w:r>
      <w:r w:rsidRPr="003C684F">
        <w:rPr>
          <w:rFonts w:hint="eastAsia" w:ascii="仿宋" w:hAnsi="仿宋" w:eastAsia="仿宋" w:cs="仿宋"/>
          <w:sz w:val="32"/>
          <w:szCs w:val="32"/>
        </w:rPr>
        <w:t>。如需使用</w:t>
      </w:r>
      <w:r w:rsidRPr="003C684F">
        <w:rPr>
          <w:rFonts w:ascii="仿宋" w:hAnsi="仿宋" w:eastAsia="仿宋" w:cs="仿宋"/>
          <w:sz w:val="32"/>
          <w:szCs w:val="32"/>
        </w:rPr>
        <w:t>CYP3A4</w:t>
      </w:r>
      <w:r w:rsidRPr="003C684F">
        <w:rPr>
          <w:rFonts w:hint="eastAsia" w:ascii="仿宋" w:hAnsi="仿宋" w:eastAsia="仿宋" w:cs="仿宋"/>
          <w:sz w:val="32"/>
          <w:szCs w:val="32"/>
        </w:rPr>
        <w:t>中度抑制剂或</w:t>
      </w:r>
      <w:r w:rsidRPr="003C684F">
        <w:rPr>
          <w:rFonts w:ascii="仿宋" w:hAnsi="仿宋" w:eastAsia="仿宋" w:cs="仿宋"/>
          <w:sz w:val="32"/>
          <w:szCs w:val="32"/>
        </w:rPr>
        <w:t>P-糖蛋白</w:t>
      </w:r>
      <w:r w:rsidRPr="003C684F">
        <w:rPr>
          <w:rFonts w:hint="eastAsia" w:ascii="仿宋" w:hAnsi="仿宋" w:eastAsia="仿宋" w:cs="仿宋"/>
          <w:sz w:val="32"/>
          <w:szCs w:val="32"/>
        </w:rPr>
        <w:t>抑制剂，减量至每天</w:t>
      </w:r>
      <w:r w:rsidRPr="003C684F">
        <w:rPr>
          <w:rFonts w:ascii="仿宋" w:hAnsi="仿宋" w:eastAsia="仿宋" w:cs="仿宋"/>
          <w:sz w:val="32"/>
          <w:szCs w:val="32"/>
        </w:rPr>
        <w:t>2.5mg</w:t>
      </w:r>
      <w:r w:rsidRPr="003C684F">
        <w:rPr>
          <w:rFonts w:hint="eastAsia" w:ascii="仿宋" w:hAnsi="仿宋" w:eastAsia="仿宋" w:cs="仿宋"/>
          <w:sz w:val="32"/>
          <w:szCs w:val="32"/>
        </w:rPr>
        <w:t>，如果耐受可增加至剂量每天</w:t>
      </w:r>
      <w:r w:rsidRPr="003C684F">
        <w:rPr>
          <w:rFonts w:ascii="仿宋" w:hAnsi="仿宋" w:eastAsia="仿宋" w:cs="仿宋"/>
          <w:sz w:val="32"/>
          <w:szCs w:val="32"/>
        </w:rPr>
        <w:t>5mg</w:t>
      </w:r>
      <w:r w:rsidRPr="003C684F">
        <w:rPr>
          <w:rFonts w:hint="eastAsia" w:ascii="仿宋" w:hAnsi="仿宋" w:eastAsia="仿宋" w:cs="仿宋"/>
          <w:sz w:val="32"/>
          <w:szCs w:val="32"/>
        </w:rPr>
        <w:t>。避免</w:t>
      </w:r>
      <w:r w:rsidRPr="003C684F" w:rsidR="00DE313C">
        <w:rPr>
          <w:rFonts w:hint="eastAsia" w:ascii="仿宋" w:hAnsi="仿宋" w:eastAsia="仿宋" w:cs="仿宋"/>
          <w:sz w:val="32"/>
          <w:szCs w:val="32"/>
        </w:rPr>
        <w:t>联合使用</w:t>
      </w:r>
      <w:r w:rsidRPr="003C684F">
        <w:rPr>
          <w:rFonts w:hint="eastAsia" w:ascii="仿宋" w:hAnsi="仿宋" w:eastAsia="仿宋" w:cs="仿宋"/>
          <w:sz w:val="32"/>
          <w:szCs w:val="32"/>
        </w:rPr>
        <w:t>可抑制CYP和P-</w:t>
      </w:r>
      <w:r w:rsidRPr="003C684F">
        <w:rPr>
          <w:rFonts w:ascii="仿宋" w:hAnsi="仿宋" w:eastAsia="仿宋" w:cs="仿宋"/>
          <w:sz w:val="32"/>
          <w:szCs w:val="32"/>
        </w:rPr>
        <w:t>糖蛋白</w:t>
      </w:r>
      <w:r w:rsidRPr="003C684F">
        <w:rPr>
          <w:rFonts w:hint="eastAsia" w:ascii="仿宋" w:hAnsi="仿宋" w:eastAsia="仿宋" w:cs="仿宋"/>
          <w:sz w:val="32"/>
          <w:szCs w:val="32"/>
        </w:rPr>
        <w:t>活性的食物或营养补充剂，如葡萄柚汁等。</w:t>
      </w:r>
    </w:p>
    <w:p w:rsidRPr="003C684F" w:rsidR="009730C1" w:rsidRDefault="00A315B9" w14:paraId="3427641A"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6</w:t>
      </w:r>
      <w:r w:rsidRPr="003C684F">
        <w:rPr>
          <w:rFonts w:ascii="仿宋" w:hAnsi="仿宋" w:eastAsia="仿宋" w:cs="仿宋"/>
          <w:sz w:val="32"/>
          <w:szCs w:val="32"/>
        </w:rPr>
        <w:t>.</w:t>
      </w:r>
      <w:r w:rsidRPr="003C684F">
        <w:rPr>
          <w:rFonts w:hint="eastAsia" w:ascii="仿宋" w:hAnsi="仿宋" w:eastAsia="仿宋" w:cs="仿宋"/>
          <w:sz w:val="32"/>
          <w:szCs w:val="32"/>
        </w:rPr>
        <w:t>在本品治疗期间应避免接种活疫苗，避免与接种过活疫苗的人密切接触。</w:t>
      </w:r>
    </w:p>
    <w:p w:rsidRPr="003C684F" w:rsidR="009730C1" w:rsidRDefault="00A315B9" w14:paraId="66381BF9" w14:textId="77777777">
      <w:pPr>
        <w:spacing w:line="360" w:lineRule="auto"/>
        <w:ind w:firstLine="640" w:firstLineChars="200"/>
        <w:rPr>
          <w:rFonts w:ascii="仿宋" w:hAnsi="仿宋" w:eastAsia="仿宋" w:cs="Times New Roman"/>
          <w:sz w:val="32"/>
          <w:szCs w:val="32"/>
        </w:rPr>
      </w:pPr>
      <w:r w:rsidRPr="003C684F">
        <w:rPr>
          <w:rFonts w:hint="eastAsia" w:ascii="仿宋" w:hAnsi="仿宋" w:eastAsia="仿宋" w:cs="仿宋"/>
          <w:sz w:val="32"/>
          <w:szCs w:val="32"/>
        </w:rPr>
        <w:t>7.妊娠妇女服用时可能对胎儿产生危害，应充分告知。</w:t>
      </w:r>
    </w:p>
    <w:p w:rsidRPr="003C684F" w:rsidR="009730C1" w:rsidP="0037660B" w:rsidRDefault="00A315B9" w14:paraId="11961A31" w14:textId="77777777">
      <w:pPr>
        <w:spacing w:line="360" w:lineRule="auto"/>
        <w:ind w:firstLine="640" w:firstLineChars="200"/>
        <w:outlineLvl w:val="0"/>
        <w:rPr>
          <w:rFonts w:ascii="黑体" w:hAnsi="黑体" w:eastAsia="黑体" w:cs="Times New Roman"/>
          <w:sz w:val="32"/>
          <w:szCs w:val="32"/>
          <w:lang w:val="de-DE"/>
        </w:rPr>
      </w:pPr>
      <w:r w:rsidRPr="003C684F">
        <w:rPr>
          <w:rFonts w:hint="eastAsia" w:ascii="黑体" w:hAnsi="黑体" w:eastAsia="黑体" w:cs="黑体"/>
          <w:sz w:val="32"/>
          <w:szCs w:val="32"/>
          <w:lang w:val="de-DE"/>
        </w:rPr>
        <w:t>二、</w:t>
      </w:r>
      <w:r w:rsidRPr="003C684F">
        <w:rPr>
          <w:rFonts w:hint="eastAsia" w:ascii="黑体" w:hAnsi="黑体" w:eastAsia="黑体" w:cs="黑体"/>
          <w:sz w:val="32"/>
          <w:szCs w:val="32"/>
        </w:rPr>
        <w:t>地舒单抗 Denosumab</w:t>
      </w:r>
    </w:p>
    <w:p w:rsidRPr="003C684F" w:rsidR="009730C1" w:rsidRDefault="00A315B9" w14:paraId="46779182"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注射</w:t>
      </w:r>
      <w:r w:rsidRPr="003C684F" w:rsidR="00093E4F">
        <w:rPr>
          <w:rFonts w:hint="eastAsia" w:ascii="仿宋" w:hAnsi="仿宋" w:eastAsia="仿宋" w:cs="仿宋"/>
          <w:sz w:val="32"/>
          <w:szCs w:val="32"/>
        </w:rPr>
        <w:t>剂</w:t>
      </w:r>
      <w:r w:rsidRPr="003C684F">
        <w:rPr>
          <w:rFonts w:hint="eastAsia" w:ascii="仿宋" w:hAnsi="仿宋" w:eastAsia="仿宋" w:cs="仿宋"/>
          <w:sz w:val="32"/>
          <w:szCs w:val="32"/>
        </w:rPr>
        <w:t>：120</w:t>
      </w:r>
      <w:r w:rsidRPr="003C684F">
        <w:rPr>
          <w:rFonts w:ascii="仿宋" w:hAnsi="仿宋" w:eastAsia="仿宋" w:cs="仿宋"/>
          <w:sz w:val="32"/>
          <w:szCs w:val="32"/>
        </w:rPr>
        <w:t>mg</w:t>
      </w:r>
      <w:r w:rsidRPr="003C684F">
        <w:rPr>
          <w:rFonts w:hint="eastAsia" w:ascii="仿宋" w:hAnsi="仿宋" w:eastAsia="仿宋" w:cs="仿宋"/>
          <w:sz w:val="32"/>
          <w:szCs w:val="32"/>
        </w:rPr>
        <w:t>（1.7ml）/瓶</w:t>
      </w:r>
    </w:p>
    <w:p w:rsidRPr="003C684F" w:rsidR="009730C1" w:rsidRDefault="00A315B9" w14:paraId="7415FB8B" w14:textId="77777777">
      <w:pPr>
        <w:spacing w:line="360" w:lineRule="auto"/>
        <w:ind w:firstLine="643" w:firstLineChars="200"/>
        <w:rPr>
          <w:rFonts w:ascii="仿宋" w:hAnsi="仿宋" w:eastAsia="仿宋" w:cs="仿宋"/>
          <w:b/>
          <w:bCs/>
          <w:sz w:val="32"/>
          <w:szCs w:val="32"/>
        </w:rPr>
      </w:pPr>
      <w:r w:rsidRPr="003C684F">
        <w:rPr>
          <w:rFonts w:hint="eastAsia" w:ascii="仿宋" w:hAnsi="仿宋" w:eastAsia="仿宋" w:cs="仿宋"/>
          <w:b/>
          <w:bCs/>
          <w:sz w:val="32"/>
          <w:szCs w:val="32"/>
        </w:rPr>
        <w:t>适应证：</w:t>
      </w:r>
    </w:p>
    <w:p w:rsidRPr="003C684F" w:rsidR="009730C1" w:rsidRDefault="00A315B9" w14:paraId="0A60031A" w14:textId="1D702725">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1</w:t>
      </w:r>
      <w:r w:rsidRPr="003C684F">
        <w:rPr>
          <w:rFonts w:ascii="仿宋" w:hAnsi="仿宋" w:eastAsia="仿宋" w:cs="仿宋"/>
          <w:b/>
          <w:bCs/>
          <w:sz w:val="32"/>
          <w:szCs w:val="32"/>
        </w:rPr>
        <w:t>.</w:t>
      </w:r>
      <w:r w:rsidRPr="003C684F">
        <w:rPr>
          <w:rFonts w:hint="eastAsia" w:ascii="仿宋" w:hAnsi="仿宋" w:eastAsia="仿宋" w:cs="仿宋"/>
          <w:bCs/>
          <w:sz w:val="32"/>
          <w:szCs w:val="32"/>
        </w:rPr>
        <w:t>治疗不可手术切除</w:t>
      </w:r>
      <w:r w:rsidRPr="003C684F" w:rsidR="00DB4978">
        <w:rPr>
          <w:rFonts w:hint="eastAsia" w:ascii="仿宋" w:hAnsi="仿宋" w:eastAsia="仿宋" w:cs="仿宋"/>
          <w:bCs/>
          <w:sz w:val="32"/>
          <w:szCs w:val="32"/>
        </w:rPr>
        <w:t>或</w:t>
      </w:r>
      <w:r w:rsidRPr="003C684F">
        <w:rPr>
          <w:rFonts w:hint="eastAsia" w:ascii="仿宋" w:hAnsi="仿宋" w:eastAsia="仿宋" w:cs="仿宋"/>
          <w:bCs/>
          <w:sz w:val="32"/>
          <w:szCs w:val="32"/>
        </w:rPr>
        <w:t>手术切除可能导致严重功能障碍的骨巨细胞瘤，包括成人和骨骼发育成熟（定义为至少一处成熟长骨且体重≥45kg）的青少年患者。</w:t>
      </w:r>
    </w:p>
    <w:p w:rsidRPr="003C684F" w:rsidR="009730C1" w:rsidRDefault="00A315B9" w14:paraId="2063BCD0" w14:textId="77777777">
      <w:pPr>
        <w:spacing w:line="360" w:lineRule="auto"/>
        <w:ind w:firstLine="640" w:firstLineChars="200"/>
        <w:rPr>
          <w:rFonts w:ascii="仿宋" w:hAnsi="仿宋" w:eastAsia="仿宋" w:cs="仿宋"/>
          <w:bCs/>
          <w:sz w:val="32"/>
          <w:szCs w:val="32"/>
        </w:rPr>
      </w:pPr>
      <w:r w:rsidRPr="003C684F">
        <w:rPr>
          <w:rFonts w:hint="eastAsia" w:ascii="仿宋" w:hAnsi="仿宋" w:eastAsia="仿宋"/>
          <w:sz w:val="32"/>
          <w:szCs w:val="32"/>
        </w:rPr>
        <w:t>2.用于多发性骨髓瘤和实体瘤骨转移患者中骨相关事件预防。</w:t>
      </w:r>
    </w:p>
    <w:p w:rsidRPr="003C684F" w:rsidR="009730C1" w:rsidRDefault="00A315B9" w14:paraId="2D4F2C2A"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9730C1" w:rsidRDefault="00A315B9" w14:paraId="515E0E5D" w14:textId="3C06EB9A">
      <w:pPr>
        <w:spacing w:line="360" w:lineRule="auto"/>
        <w:ind w:firstLine="640" w:firstLineChars="200"/>
        <w:rPr>
          <w:rFonts w:ascii="仿宋" w:hAnsi="仿宋" w:eastAsia="仿宋"/>
          <w:sz w:val="32"/>
          <w:szCs w:val="32"/>
        </w:rPr>
      </w:pPr>
      <w:r w:rsidRPr="003C684F">
        <w:rPr>
          <w:rFonts w:hint="eastAsia" w:ascii="仿宋" w:hAnsi="仿宋" w:eastAsia="仿宋" w:cs="仿宋"/>
          <w:sz w:val="32"/>
          <w:szCs w:val="32"/>
        </w:rPr>
        <w:t>1.地舒单抗治疗120mg</w:t>
      </w:r>
      <w:r w:rsidRPr="003C684F" w:rsidR="00344225">
        <w:rPr>
          <w:rFonts w:hint="eastAsia" w:ascii="仿宋" w:hAnsi="仿宋" w:eastAsia="仿宋" w:cs="仿宋"/>
          <w:sz w:val="32"/>
          <w:szCs w:val="32"/>
        </w:rPr>
        <w:t>/次，</w:t>
      </w:r>
      <w:r w:rsidRPr="003C684F">
        <w:rPr>
          <w:rFonts w:hint="eastAsia" w:ascii="仿宋" w:hAnsi="仿宋" w:eastAsia="仿宋" w:cs="仿宋"/>
          <w:sz w:val="32"/>
          <w:szCs w:val="32"/>
        </w:rPr>
        <w:t>每4周一次</w:t>
      </w:r>
      <w:r w:rsidRPr="003C684F" w:rsidR="00344225">
        <w:rPr>
          <w:rFonts w:hint="eastAsia" w:ascii="仿宋" w:hAnsi="仿宋" w:eastAsia="仿宋" w:cs="仿宋"/>
          <w:sz w:val="32"/>
          <w:szCs w:val="32"/>
        </w:rPr>
        <w:t>，</w:t>
      </w:r>
      <w:r w:rsidRPr="003C684F">
        <w:rPr>
          <w:rFonts w:hint="eastAsia" w:ascii="仿宋" w:hAnsi="仿宋" w:eastAsia="仿宋" w:cs="仿宋"/>
          <w:sz w:val="32"/>
          <w:szCs w:val="32"/>
        </w:rPr>
        <w:t>皮下注射（上臂、大腿或腹部），禁止静脉、肌肉和皮内注射，治疗第1个月的第8和第15天需地舒单抗</w:t>
      </w:r>
      <w:r w:rsidRPr="003C684F">
        <w:rPr>
          <w:rFonts w:ascii="仿宋" w:hAnsi="仿宋" w:eastAsia="仿宋" w:cs="仿宋"/>
          <w:sz w:val="32"/>
          <w:szCs w:val="32"/>
        </w:rPr>
        <w:t>120mg</w:t>
      </w:r>
      <w:r w:rsidRPr="003C684F">
        <w:rPr>
          <w:rFonts w:hint="eastAsia" w:ascii="仿宋" w:hAnsi="仿宋" w:eastAsia="仿宋" w:cs="仿宋"/>
          <w:sz w:val="32"/>
          <w:szCs w:val="32"/>
        </w:rPr>
        <w:t>皮下补充注射各一次。</w:t>
      </w:r>
    </w:p>
    <w:p w:rsidRPr="003C684F" w:rsidR="009730C1" w:rsidRDefault="00A315B9" w14:paraId="2059EE16" w14:textId="480C1685">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2.地舒单抗治疗前必须先检测血钙水平，如有低钙血症</w:t>
      </w:r>
      <w:r w:rsidRPr="003C684F">
        <w:rPr>
          <w:rFonts w:hint="eastAsia" w:ascii="仿宋" w:hAnsi="仿宋" w:eastAsia="仿宋"/>
          <w:sz w:val="32"/>
          <w:szCs w:val="32"/>
        </w:rPr>
        <w:lastRenderedPageBreak/>
        <w:t>需要先纠正。对于有易发生低钙血症和矿物质代谢失衡倾向患者（如有甲状旁腺功能减退症史、甲状腺和甲状旁腺手术史、营养不良、小肠切除、严重肾功能损伤如肌酐清除率≤30ml/min和/或接受透析和钙补充不足/无钙补充），临床需密切监测其血肌酐及血电解质水平（如磷和镁），并指导此类患者关注低钙血症的症状，每天服用钙500mg和维生素D 400IU以治疗或预防低钙血症。地舒单抗不宜与双膦酸盐</w:t>
      </w:r>
      <w:r w:rsidRPr="003C684F" w:rsidR="00E923A0">
        <w:rPr>
          <w:rFonts w:hint="eastAsia" w:ascii="仿宋" w:hAnsi="仿宋" w:eastAsia="仿宋"/>
          <w:sz w:val="32"/>
          <w:szCs w:val="32"/>
        </w:rPr>
        <w:t>联合使用</w:t>
      </w:r>
      <w:r w:rsidRPr="003C684F">
        <w:rPr>
          <w:rFonts w:hint="eastAsia" w:ascii="仿宋" w:hAnsi="仿宋" w:eastAsia="仿宋"/>
          <w:sz w:val="32"/>
          <w:szCs w:val="32"/>
        </w:rPr>
        <w:t>。</w:t>
      </w:r>
    </w:p>
    <w:p w:rsidRPr="003C684F" w:rsidR="009730C1" w:rsidRDefault="00A315B9" w14:paraId="350F95D7"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3.服用免疫抑制剂或免疫系统受损的患者接受地舒单抗治疗发生严重感染的风险可能会增加，用药前需充分考虑效益-风险比。对于使用地舒单抗发生严重感染者，医师应评估继续用药的风险。</w:t>
      </w:r>
    </w:p>
    <w:p w:rsidRPr="003C684F" w:rsidR="009730C1" w:rsidRDefault="00A315B9" w14:paraId="31F41666"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4.下颌骨坏死（可自发性发生）通常伴随着拔牙和延迟愈合的局部感染发生。地舒单抗开始治疗前应进行常规的口腔检查，治疗开始后需保持良好的口腔卫生。治疗期间避免侵入性齿科手术和操作（如拔牙、牙科植入、骨手术等）。如发生下颌骨坏死，针对下颌骨坏死的治疗可能反倒加重病情，此时应考虑停药。</w:t>
      </w:r>
    </w:p>
    <w:p w:rsidRPr="003C684F" w:rsidR="009730C1" w:rsidRDefault="00A315B9" w14:paraId="7C0C10DB"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5.建议育龄期妇女在接受治疗期间以及在最后一剂治疗后至少5个月内采取有效的避孕措施。</w:t>
      </w:r>
    </w:p>
    <w:p w:rsidRPr="003C684F" w:rsidR="009730C1" w:rsidRDefault="00A315B9" w14:paraId="75EF9E89" w14:textId="77777777">
      <w:pPr>
        <w:spacing w:line="360" w:lineRule="auto"/>
        <w:ind w:firstLine="640" w:firstLineChars="200"/>
        <w:rPr>
          <w:rFonts w:ascii="仿宋" w:hAnsi="仿宋" w:eastAsia="仿宋"/>
          <w:sz w:val="32"/>
          <w:szCs w:val="32"/>
        </w:rPr>
      </w:pPr>
      <w:r w:rsidRPr="003C684F">
        <w:rPr>
          <w:rFonts w:hint="eastAsia" w:ascii="仿宋" w:hAnsi="仿宋" w:eastAsia="仿宋"/>
          <w:sz w:val="32"/>
          <w:szCs w:val="32"/>
        </w:rPr>
        <w:t>6.常见不良反应包括关节痛、头痛、恶心、背部疼痛、疲劳和四肢疼痛。</w:t>
      </w:r>
    </w:p>
    <w:p w:rsidRPr="003C684F" w:rsidR="00FF4839" w:rsidP="00FF4839" w:rsidRDefault="00FF4839" w14:paraId="2328A639" w14:textId="77777777">
      <w:pPr>
        <w:spacing w:line="360" w:lineRule="auto"/>
        <w:ind w:firstLine="640" w:firstLineChars="200"/>
        <w:outlineLvl w:val="0"/>
        <w:rPr>
          <w:rFonts w:ascii="黑体" w:hAnsi="黑体" w:eastAsia="黑体" w:cs="Times New Roman"/>
          <w:sz w:val="32"/>
          <w:szCs w:val="32"/>
          <w:lang w:val="de-DE"/>
        </w:rPr>
      </w:pPr>
      <w:r w:rsidRPr="003C684F">
        <w:rPr>
          <w:rFonts w:hint="eastAsia" w:ascii="黑体" w:hAnsi="黑体" w:eastAsia="黑体" w:cs="黑体"/>
          <w:sz w:val="32"/>
          <w:szCs w:val="32"/>
          <w:lang w:val="de-DE"/>
        </w:rPr>
        <w:lastRenderedPageBreak/>
        <w:t>三、</w:t>
      </w:r>
      <w:r w:rsidRPr="003C684F">
        <w:rPr>
          <w:rFonts w:hint="eastAsia" w:ascii="黑体" w:hAnsi="黑体" w:eastAsia="黑体" w:cs="黑体"/>
          <w:sz w:val="32"/>
          <w:szCs w:val="32"/>
        </w:rPr>
        <w:t>安罗替尼 A</w:t>
      </w:r>
      <w:r w:rsidRPr="003C684F">
        <w:rPr>
          <w:rFonts w:ascii="黑体" w:hAnsi="黑体" w:eastAsia="黑体" w:cs="黑体"/>
          <w:sz w:val="32"/>
          <w:szCs w:val="32"/>
        </w:rPr>
        <w:t>nlotinib</w:t>
      </w:r>
    </w:p>
    <w:p w:rsidRPr="003C684F" w:rsidR="00FF4839" w:rsidP="00FF4839" w:rsidRDefault="00FF4839" w14:paraId="697D8C55"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8mg</w:t>
      </w:r>
      <w:r w:rsidRPr="003C684F">
        <w:rPr>
          <w:rFonts w:hint="eastAsia" w:ascii="仿宋" w:hAnsi="仿宋" w:eastAsia="仿宋" w:cs="仿宋"/>
          <w:sz w:val="32"/>
          <w:szCs w:val="32"/>
        </w:rPr>
        <w:t>、</w:t>
      </w:r>
      <w:r w:rsidRPr="003C684F">
        <w:rPr>
          <w:rFonts w:ascii="仿宋" w:hAnsi="仿宋" w:eastAsia="仿宋" w:cs="仿宋"/>
          <w:sz w:val="32"/>
          <w:szCs w:val="32"/>
        </w:rPr>
        <w:t>10mg</w:t>
      </w:r>
      <w:r w:rsidRPr="003C684F">
        <w:rPr>
          <w:rFonts w:hint="eastAsia" w:ascii="仿宋" w:hAnsi="仿宋" w:eastAsia="仿宋" w:cs="仿宋"/>
          <w:sz w:val="32"/>
          <w:szCs w:val="32"/>
        </w:rPr>
        <w:t>、</w:t>
      </w:r>
      <w:r w:rsidRPr="003C684F">
        <w:rPr>
          <w:rFonts w:ascii="仿宋" w:hAnsi="仿宋" w:eastAsia="仿宋" w:cs="仿宋"/>
          <w:sz w:val="32"/>
          <w:szCs w:val="32"/>
        </w:rPr>
        <w:t>12mg</w:t>
      </w:r>
    </w:p>
    <w:p w:rsidRPr="003C684F" w:rsidR="00FF4839" w:rsidP="00FF4839" w:rsidRDefault="00FF4839" w14:paraId="107D787E" w14:textId="77777777">
      <w:pPr>
        <w:spacing w:line="360" w:lineRule="auto"/>
        <w:ind w:firstLine="643" w:firstLineChars="200"/>
        <w:rPr>
          <w:rFonts w:ascii="仿宋" w:hAnsi="仿宋" w:eastAsia="仿宋" w:cs="仿宋"/>
          <w:bCs/>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bCs/>
          <w:sz w:val="32"/>
          <w:szCs w:val="32"/>
        </w:rPr>
        <w:t>适用于腺泡状软组织肉瘤、透明细胞肉瘤以及既往至少接受过含蒽环类化疗方案治疗后进展或复发的其他晚期软组织肉瘤患者的治疗。</w:t>
      </w:r>
    </w:p>
    <w:p w:rsidRPr="003C684F" w:rsidR="00FF4839" w:rsidP="00FF4839" w:rsidRDefault="00FF4839" w14:paraId="3884248F" w14:textId="77777777">
      <w:pPr>
        <w:spacing w:line="360" w:lineRule="auto"/>
        <w:ind w:firstLine="643" w:firstLineChars="200"/>
        <w:rPr>
          <w:rFonts w:ascii="仿宋" w:hAnsi="仿宋" w:eastAsia="仿宋" w:cs="Times New Roman"/>
          <w:b/>
          <w:bCs/>
          <w:sz w:val="32"/>
          <w:szCs w:val="32"/>
        </w:rPr>
      </w:pPr>
      <w:r w:rsidRPr="003C684F">
        <w:rPr>
          <w:rFonts w:hint="eastAsia" w:ascii="仿宋" w:hAnsi="仿宋" w:eastAsia="仿宋" w:cs="仿宋"/>
          <w:b/>
          <w:bCs/>
          <w:sz w:val="32"/>
          <w:szCs w:val="32"/>
        </w:rPr>
        <w:t>合理用药要点：</w:t>
      </w:r>
    </w:p>
    <w:p w:rsidRPr="003C684F" w:rsidR="00FF4839" w:rsidP="00FF4839" w:rsidRDefault="00FF4839" w14:paraId="407B50E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w:t>
      </w:r>
      <w:r w:rsidRPr="003C684F">
        <w:rPr>
          <w:rFonts w:ascii="仿宋" w:hAnsi="仿宋" w:eastAsia="仿宋" w:cs="仿宋"/>
          <w:sz w:val="32"/>
          <w:szCs w:val="32"/>
        </w:rPr>
        <w:t>.</w:t>
      </w:r>
      <w:r w:rsidRPr="003C684F">
        <w:rPr>
          <w:rFonts w:hint="eastAsia" w:ascii="仿宋" w:hAnsi="仿宋" w:eastAsia="仿宋" w:cs="仿宋"/>
          <w:sz w:val="32"/>
          <w:szCs w:val="32"/>
        </w:rPr>
        <w:t>安罗替尼的推荐剂量为12mg/次，每天一次，早餐前口服。连续服药2周，停药1周，即3周（21天）为一个治疗周期，直至疾病进展或出现不可耐受的毒性。用药期间如出现漏服，确认距下次用药时间短于12小时，则不再补服。</w:t>
      </w:r>
    </w:p>
    <w:p w:rsidRPr="003C684F" w:rsidR="00FF4839" w:rsidP="00FF4839" w:rsidRDefault="00FF4839" w14:paraId="55DC58CE" w14:textId="1678B85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w:t>
      </w:r>
      <w:r w:rsidRPr="003C684F">
        <w:rPr>
          <w:rFonts w:ascii="仿宋" w:hAnsi="仿宋" w:eastAsia="仿宋" w:cs="仿宋"/>
          <w:sz w:val="32"/>
          <w:szCs w:val="32"/>
        </w:rPr>
        <w:t>.</w:t>
      </w:r>
      <w:r w:rsidRPr="003C684F">
        <w:rPr>
          <w:rFonts w:hint="eastAsia" w:ascii="仿宋" w:hAnsi="仿宋" w:eastAsia="仿宋" w:cs="仿宋"/>
          <w:sz w:val="32"/>
          <w:szCs w:val="32"/>
        </w:rPr>
        <w:t>安罗替尼所致的不良反应可通过对症治疗、暂停用药和/或调整剂量等方式处理。根据不良反应程度，建议在医师指导下按以下方法调整剂量：（1）第1次调整剂量：10mg/次，每天一次，连服2周，停药1周。（2）第2次调整剂量：8mg/次，每天一次，连服2周，停药1周。如</w:t>
      </w:r>
      <w:r w:rsidRPr="003C684F">
        <w:rPr>
          <w:rFonts w:ascii="仿宋" w:hAnsi="仿宋" w:eastAsia="仿宋" w:cs="仿宋"/>
          <w:sz w:val="32"/>
          <w:szCs w:val="32"/>
        </w:rPr>
        <w:t>8mg</w:t>
      </w:r>
      <w:r w:rsidRPr="003C684F">
        <w:rPr>
          <w:rFonts w:hint="eastAsia" w:ascii="仿宋" w:hAnsi="仿宋" w:eastAsia="仿宋" w:cs="仿宋"/>
          <w:sz w:val="32"/>
          <w:szCs w:val="32"/>
        </w:rPr>
        <w:t>剂量仍无法耐受，应永久停用。</w:t>
      </w:r>
      <w:r w:rsidRPr="003C684F">
        <w:rPr>
          <w:rFonts w:hint="eastAsia" w:ascii="仿宋" w:hAnsi="仿宋" w:eastAsia="仿宋" w:cs="Times New Roman"/>
          <w:sz w:val="32"/>
          <w:szCs w:val="32"/>
        </w:rPr>
        <w:t>发生非出血性不良反应时，参照</w:t>
      </w:r>
      <w:r w:rsidRPr="003C684F" w:rsidR="0099673E">
        <w:rPr>
          <w:rFonts w:hint="eastAsia" w:ascii="仿宋" w:hAnsi="仿宋" w:eastAsia="仿宋" w:cs="Times New Roman"/>
          <w:sz w:val="32"/>
          <w:szCs w:val="32"/>
        </w:rPr>
        <w:t>表</w:t>
      </w:r>
      <w:r w:rsidRPr="003C684F" w:rsidR="00B60C44">
        <w:rPr>
          <w:rFonts w:hint="eastAsia" w:ascii="仿宋" w:hAnsi="仿宋" w:eastAsia="仿宋" w:cs="Times New Roman"/>
          <w:sz w:val="32"/>
          <w:szCs w:val="32"/>
        </w:rPr>
        <w:t>3</w:t>
      </w:r>
      <w:r w:rsidRPr="003C684F">
        <w:rPr>
          <w:rFonts w:hint="eastAsia" w:ascii="仿宋" w:hAnsi="仿宋" w:eastAsia="仿宋" w:cs="Times New Roman"/>
          <w:sz w:val="32"/>
          <w:szCs w:val="32"/>
        </w:rPr>
        <w:t>的总原则进行剂量调整。</w:t>
      </w:r>
    </w:p>
    <w:p w:rsidR="00FF4839" w:rsidP="00FF4839" w:rsidRDefault="00FF4839" w14:paraId="6C244525" w14:textId="68B1E93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Pr>
          <w:rFonts w:ascii="仿宋" w:hAnsi="仿宋" w:eastAsia="仿宋" w:cs="仿宋"/>
          <w:sz w:val="32"/>
          <w:szCs w:val="32"/>
        </w:rPr>
        <w:t>.</w:t>
      </w:r>
      <w:r w:rsidRPr="003C684F">
        <w:rPr>
          <w:rFonts w:hint="eastAsia" w:ascii="仿宋" w:hAnsi="仿宋" w:eastAsia="仿宋" w:cs="仿宋"/>
          <w:sz w:val="32"/>
          <w:szCs w:val="32"/>
        </w:rPr>
        <w:t>出血是安罗替尼最重要的不良反应，具有出血风险、凝血功能异常患者应慎用安罗替尼，服药期间应严密监测凝血酶原时间和INR。一旦出现2级出血事件应暂停用药，如2周内能恢复至＜2级者下调一个剂量继续用药；如再次出现，应考虑永久停用。一旦出现3级或以上的出血事件，永</w:t>
      </w:r>
      <w:r w:rsidRPr="003C684F">
        <w:rPr>
          <w:rFonts w:hint="eastAsia" w:ascii="仿宋" w:hAnsi="仿宋" w:eastAsia="仿宋" w:cs="仿宋"/>
          <w:sz w:val="32"/>
          <w:szCs w:val="32"/>
        </w:rPr>
        <w:lastRenderedPageBreak/>
        <w:t>久停用。当发生出血的不良反应时参照</w:t>
      </w:r>
      <w:r w:rsidRPr="003C684F" w:rsidR="006B4699">
        <w:rPr>
          <w:rFonts w:hint="eastAsia" w:ascii="仿宋" w:hAnsi="仿宋" w:eastAsia="仿宋" w:cs="仿宋"/>
          <w:sz w:val="32"/>
          <w:szCs w:val="32"/>
        </w:rPr>
        <w:t>下表</w:t>
      </w:r>
      <w:r w:rsidRPr="003C684F">
        <w:rPr>
          <w:rFonts w:hint="eastAsia" w:ascii="仿宋" w:hAnsi="仿宋" w:eastAsia="仿宋" w:cs="仿宋"/>
          <w:sz w:val="32"/>
          <w:szCs w:val="32"/>
        </w:rPr>
        <w:t>进行剂量调整。</w:t>
      </w:r>
    </w:p>
    <w:p w:rsidRPr="003C684F" w:rsidR="000A2867" w:rsidP="00FF4839" w:rsidRDefault="000A2867" w14:paraId="5579211F" w14:textId="77777777">
      <w:pPr>
        <w:spacing w:line="360" w:lineRule="auto"/>
        <w:ind w:firstLine="640" w:firstLineChars="200"/>
        <w:rPr>
          <w:rFonts w:ascii="仿宋" w:hAnsi="仿宋" w:eastAsia="仿宋" w:cs="仿宋"/>
          <w:sz w:val="32"/>
          <w:szCs w:val="32"/>
        </w:rPr>
      </w:pPr>
    </w:p>
    <w:p w:rsidRPr="003C684F" w:rsidR="00FF4839" w:rsidP="00FF4839" w:rsidRDefault="00FF4839" w14:paraId="467D9719" w14:textId="2A845FB0">
      <w:pPr>
        <w:spacing w:line="360" w:lineRule="auto"/>
        <w:ind w:firstLine="422" w:firstLineChars="200"/>
        <w:jc w:val="center"/>
        <w:rPr>
          <w:rFonts w:ascii="仿宋" w:hAnsi="仿宋" w:eastAsia="仿宋" w:cs="Times New Roman"/>
          <w:b/>
        </w:rPr>
      </w:pPr>
      <w:r w:rsidRPr="003C684F">
        <w:rPr>
          <w:rFonts w:ascii="仿宋" w:hAnsi="仿宋" w:eastAsia="仿宋" w:cs="Times New Roman"/>
          <w:b/>
          <w:bCs/>
        </w:rPr>
        <w:t>表</w:t>
      </w:r>
      <w:r w:rsidRPr="003C684F">
        <w:rPr>
          <w:rFonts w:hint="eastAsia" w:ascii="仿宋" w:hAnsi="仿宋" w:eastAsia="仿宋" w:cs="Times New Roman"/>
          <w:b/>
          <w:bCs/>
        </w:rPr>
        <w:t>1</w:t>
      </w:r>
      <w:r w:rsidRPr="003C684F" w:rsidR="00F403F6">
        <w:rPr>
          <w:rFonts w:hint="eastAsia" w:ascii="仿宋" w:hAnsi="仿宋" w:eastAsia="仿宋" w:cs="Times New Roman"/>
          <w:b/>
          <w:bCs/>
        </w:rPr>
        <w:t>5</w:t>
      </w:r>
      <w:r w:rsidRPr="003C684F">
        <w:rPr>
          <w:rFonts w:hint="eastAsia" w:ascii="仿宋" w:hAnsi="仿宋" w:eastAsia="仿宋" w:cs="Times New Roman"/>
          <w:b/>
          <w:bCs/>
        </w:rPr>
        <w:t xml:space="preserve">　安罗替尼</w:t>
      </w:r>
      <w:r w:rsidRPr="003C684F">
        <w:rPr>
          <w:rFonts w:ascii="仿宋" w:hAnsi="仿宋" w:eastAsia="仿宋" w:cs="Times New Roman"/>
          <w:b/>
          <w:bCs/>
        </w:rPr>
        <w:t>发生</w:t>
      </w:r>
      <w:r w:rsidRPr="003C684F">
        <w:rPr>
          <w:rFonts w:ascii="仿宋" w:hAnsi="仿宋" w:eastAsia="仿宋" w:cs="Times New Roman"/>
          <w:b/>
        </w:rPr>
        <w:t>出血</w:t>
      </w:r>
      <w:r w:rsidRPr="003C684F">
        <w:rPr>
          <w:rFonts w:hint="eastAsia" w:ascii="仿宋" w:hAnsi="仿宋" w:eastAsia="仿宋" w:cs="Times New Roman"/>
          <w:b/>
        </w:rPr>
        <w:t>不良反应时</w:t>
      </w:r>
      <w:r w:rsidRPr="003C684F">
        <w:rPr>
          <w:rFonts w:ascii="仿宋" w:hAnsi="仿宋" w:eastAsia="仿宋" w:cs="Times New Roman"/>
          <w:b/>
        </w:rPr>
        <w:t>的剂量调整原则</w:t>
      </w:r>
    </w:p>
    <w:tbl>
      <w:tblPr>
        <w:tblStyle w:val="ac"/>
        <w:tblW w:w="0" w:type="auto"/>
        <w:tblLook w:val="04A0" w:firstRow="1" w:lastRow="0" w:firstColumn="1" w:lastColumn="0" w:noHBand="0" w:noVBand="1"/>
      </w:tblPr>
      <w:tblGrid>
        <w:gridCol w:w="2518"/>
        <w:gridCol w:w="6004"/>
      </w:tblGrid>
      <w:tr w:rsidRPr="003C684F" w:rsidR="00FF4839" w:rsidTr="00C8227F" w14:paraId="2B386DB6" w14:textId="77777777">
        <w:tc>
          <w:tcPr>
            <w:tcW w:w="2518" w:type="dxa"/>
          </w:tcPr>
          <w:p w:rsidRPr="003C684F" w:rsidR="00FF4839" w:rsidP="00C8227F" w:rsidRDefault="00FF4839" w14:paraId="5B1A8142" w14:textId="77777777">
            <w:pPr>
              <w:spacing w:line="360" w:lineRule="auto"/>
              <w:jc w:val="left"/>
              <w:rPr>
                <w:rFonts w:ascii="仿宋" w:hAnsi="仿宋" w:eastAsia="仿宋" w:cs="Times New Roman"/>
                <w:b/>
                <w:kern w:val="0"/>
                <w:vertAlign w:val="superscript"/>
              </w:rPr>
            </w:pPr>
            <w:r w:rsidRPr="003C684F">
              <w:rPr>
                <w:rFonts w:ascii="仿宋" w:hAnsi="仿宋" w:eastAsia="仿宋" w:cs="Times New Roman"/>
                <w:b/>
                <w:kern w:val="0"/>
              </w:rPr>
              <w:t>出血事件</w:t>
            </w:r>
            <w:r w:rsidRPr="003C684F">
              <w:rPr>
                <w:rFonts w:ascii="仿宋" w:hAnsi="仿宋" w:eastAsia="仿宋" w:cs="Times New Roman"/>
                <w:b/>
                <w:kern w:val="0"/>
                <w:vertAlign w:val="superscript"/>
              </w:rPr>
              <w:t>*</w:t>
            </w:r>
          </w:p>
        </w:tc>
        <w:tc>
          <w:tcPr>
            <w:tcW w:w="6004" w:type="dxa"/>
          </w:tcPr>
          <w:p w:rsidRPr="003C684F" w:rsidR="00FF4839" w:rsidP="00C8227F" w:rsidRDefault="00FF4839" w14:paraId="22DD9F63" w14:textId="77777777">
            <w:pPr>
              <w:spacing w:line="360" w:lineRule="auto"/>
              <w:jc w:val="left"/>
              <w:rPr>
                <w:rFonts w:ascii="仿宋" w:hAnsi="仿宋" w:eastAsia="仿宋" w:cs="Times New Roman"/>
                <w:b/>
                <w:kern w:val="0"/>
              </w:rPr>
            </w:pPr>
            <w:r w:rsidRPr="003C684F">
              <w:rPr>
                <w:rFonts w:ascii="仿宋" w:hAnsi="仿宋" w:eastAsia="仿宋" w:cs="Times New Roman"/>
                <w:b/>
                <w:kern w:val="0"/>
              </w:rPr>
              <w:t>剂量调整原则</w:t>
            </w:r>
          </w:p>
        </w:tc>
      </w:tr>
      <w:tr w:rsidRPr="003C684F" w:rsidR="00FF4839" w:rsidTr="00C8227F" w14:paraId="2F7D1BD6" w14:textId="77777777">
        <w:tc>
          <w:tcPr>
            <w:tcW w:w="2518" w:type="dxa"/>
          </w:tcPr>
          <w:p w:rsidRPr="003C684F" w:rsidR="00FF4839" w:rsidP="00C8227F" w:rsidRDefault="00FF4839" w14:paraId="2ED5A34E" w14:textId="77777777">
            <w:pPr>
              <w:spacing w:line="360" w:lineRule="auto"/>
              <w:jc w:val="left"/>
              <w:rPr>
                <w:rFonts w:ascii="仿宋" w:hAnsi="仿宋" w:eastAsia="仿宋" w:cs="Times New Roman"/>
                <w:kern w:val="0"/>
              </w:rPr>
            </w:pPr>
            <w:r w:rsidRPr="003C684F">
              <w:rPr>
                <w:rFonts w:ascii="仿宋" w:hAnsi="仿宋" w:eastAsia="仿宋" w:cs="Times New Roman"/>
                <w:kern w:val="0"/>
              </w:rPr>
              <w:t>2级</w:t>
            </w:r>
          </w:p>
        </w:tc>
        <w:tc>
          <w:tcPr>
            <w:tcW w:w="6004" w:type="dxa"/>
          </w:tcPr>
          <w:p w:rsidRPr="003C684F" w:rsidR="00FF4839" w:rsidP="006B4699" w:rsidRDefault="00FF4839" w14:paraId="54E6A60D" w14:textId="20357AD2">
            <w:pPr>
              <w:spacing w:line="360" w:lineRule="auto"/>
              <w:jc w:val="left"/>
              <w:rPr>
                <w:rFonts w:ascii="仿宋" w:hAnsi="仿宋" w:eastAsia="仿宋" w:cs="Times New Roman"/>
                <w:kern w:val="0"/>
              </w:rPr>
            </w:pPr>
            <w:r w:rsidRPr="003C684F">
              <w:rPr>
                <w:rFonts w:hint="eastAsia" w:ascii="仿宋" w:hAnsi="仿宋" w:eastAsia="仿宋" w:cs="Times New Roman"/>
                <w:kern w:val="0"/>
              </w:rPr>
              <w:t>暂停</w:t>
            </w:r>
            <w:r w:rsidRPr="003C684F" w:rsidR="006B4699">
              <w:rPr>
                <w:rFonts w:hint="eastAsia" w:ascii="仿宋" w:hAnsi="仿宋" w:eastAsia="仿宋" w:cs="Times New Roman"/>
                <w:kern w:val="0"/>
              </w:rPr>
              <w:t>给</w:t>
            </w:r>
            <w:r w:rsidRPr="003C684F">
              <w:rPr>
                <w:rFonts w:hint="eastAsia" w:ascii="仿宋" w:hAnsi="仿宋" w:eastAsia="仿宋" w:cs="Times New Roman"/>
                <w:kern w:val="0"/>
              </w:rPr>
              <w:t>药，并采取积极对症治疗处理；2周内能恢复至＜2级时，下调一个剂量继续用药</w:t>
            </w:r>
          </w:p>
        </w:tc>
      </w:tr>
      <w:tr w:rsidRPr="003C684F" w:rsidR="00FF4839" w:rsidTr="00C8227F" w14:paraId="5D2093DC" w14:textId="77777777">
        <w:tc>
          <w:tcPr>
            <w:tcW w:w="2518" w:type="dxa"/>
          </w:tcPr>
          <w:p w:rsidRPr="003C684F" w:rsidR="00FF4839" w:rsidP="00C8227F" w:rsidRDefault="00FF4839" w14:paraId="6DA1B5C9" w14:textId="77777777">
            <w:pPr>
              <w:spacing w:line="360" w:lineRule="auto"/>
              <w:jc w:val="left"/>
              <w:rPr>
                <w:rFonts w:ascii="仿宋" w:hAnsi="仿宋" w:eastAsia="仿宋" w:cs="Times New Roman"/>
                <w:kern w:val="0"/>
              </w:rPr>
            </w:pPr>
            <w:r w:rsidRPr="003C684F">
              <w:rPr>
                <w:rFonts w:hint="eastAsia" w:ascii="仿宋" w:hAnsi="仿宋" w:eastAsia="仿宋" w:cs="Times New Roman"/>
                <w:kern w:val="0"/>
              </w:rPr>
              <w:t>≥3级</w:t>
            </w:r>
          </w:p>
        </w:tc>
        <w:tc>
          <w:tcPr>
            <w:tcW w:w="6004" w:type="dxa"/>
          </w:tcPr>
          <w:p w:rsidRPr="003C684F" w:rsidR="00FF4839" w:rsidP="00C8227F" w:rsidRDefault="00FF4839" w14:paraId="6FC7C013" w14:textId="77777777">
            <w:pPr>
              <w:spacing w:line="360" w:lineRule="auto"/>
              <w:jc w:val="left"/>
              <w:rPr>
                <w:rFonts w:ascii="仿宋" w:hAnsi="仿宋" w:eastAsia="仿宋" w:cs="Times New Roman"/>
                <w:kern w:val="0"/>
              </w:rPr>
            </w:pPr>
            <w:r w:rsidRPr="003C684F">
              <w:rPr>
                <w:rFonts w:hint="eastAsia" w:ascii="仿宋" w:hAnsi="仿宋" w:eastAsia="仿宋" w:cs="Times New Roman"/>
                <w:kern w:val="0"/>
              </w:rPr>
              <w:t>永久停用，并采取紧急医学干预处理</w:t>
            </w:r>
          </w:p>
        </w:tc>
      </w:tr>
    </w:tbl>
    <w:p w:rsidRPr="003C684F" w:rsidR="00FF4839" w:rsidP="00FF4839" w:rsidRDefault="00FF4839" w14:paraId="45D53B9C" w14:textId="77777777">
      <w:pPr>
        <w:spacing w:line="360" w:lineRule="auto"/>
        <w:ind w:firstLine="364" w:firstLineChars="202"/>
        <w:rPr>
          <w:rFonts w:ascii="Times New Roman" w:hAnsi="Times New Roman" w:cs="Times New Roman"/>
          <w:b/>
          <w:sz w:val="18"/>
          <w:szCs w:val="18"/>
        </w:rPr>
      </w:pPr>
      <w:r w:rsidRPr="003C684F">
        <w:rPr>
          <w:rFonts w:ascii="仿宋" w:hAnsi="仿宋" w:eastAsia="仿宋" w:cs="Times New Roman"/>
          <w:sz w:val="18"/>
          <w:szCs w:val="18"/>
          <w:vertAlign w:val="superscript"/>
        </w:rPr>
        <w:t>*</w:t>
      </w:r>
      <w:r w:rsidRPr="003C684F">
        <w:rPr>
          <w:rFonts w:ascii="仿宋" w:hAnsi="仿宋" w:eastAsia="仿宋" w:cs="Times New Roman"/>
          <w:sz w:val="18"/>
          <w:szCs w:val="18"/>
        </w:rPr>
        <w:t>出血</w:t>
      </w:r>
      <w:r w:rsidRPr="003C684F">
        <w:rPr>
          <w:rFonts w:hint="eastAsia" w:ascii="仿宋" w:hAnsi="仿宋" w:eastAsia="仿宋" w:cs="Times New Roman"/>
          <w:sz w:val="18"/>
          <w:szCs w:val="18"/>
        </w:rPr>
        <w:t>不良反应</w:t>
      </w:r>
      <w:r w:rsidRPr="003C684F">
        <w:rPr>
          <w:rFonts w:ascii="仿宋" w:hAnsi="仿宋" w:eastAsia="仿宋" w:cs="Times New Roman"/>
          <w:sz w:val="18"/>
          <w:szCs w:val="18"/>
        </w:rPr>
        <w:t>包括：咯血、消化道出血、鼻出血、支气管出血、牙龈出血、肉眼血尿、便潜血和脑出血等。</w:t>
      </w:r>
    </w:p>
    <w:p w:rsidRPr="003C684F" w:rsidR="00FF4839" w:rsidP="00FF4839" w:rsidRDefault="00FF4839" w14:paraId="205C9D99"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用药前4周内出现≥CTCAE 3级的任何出血事件、存在未愈合创口、溃疡或骨折和6个月内发生过动/静脉血栓事件如脑血管意外（包括暂时性缺血性发作）、深静脉血栓及肺栓塞的患者，应在医师指导下用药，对联合使用华法林的患者应每1～2周监测凝血酶原时间和INR值，并注意临床出血迹象。</w:t>
      </w:r>
    </w:p>
    <w:p w:rsidRPr="003C684F" w:rsidR="00FF4839" w:rsidP="00FF4839" w:rsidRDefault="00FF4839" w14:paraId="1C16CCD4"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Pr>
          <w:rFonts w:ascii="仿宋" w:hAnsi="仿宋" w:eastAsia="仿宋" w:cs="仿宋"/>
          <w:sz w:val="32"/>
          <w:szCs w:val="32"/>
        </w:rPr>
        <w:t>.</w:t>
      </w:r>
      <w:r w:rsidRPr="003C684F">
        <w:rPr>
          <w:rFonts w:hint="eastAsia" w:ascii="仿宋" w:hAnsi="仿宋" w:eastAsia="仿宋" w:cs="仿宋"/>
          <w:sz w:val="32"/>
          <w:szCs w:val="32"/>
        </w:rPr>
        <w:t>高血压是安罗替尼最常见的不良反应，用药期间应密切监测血压，高血压多在开始服药后2周内出现，利尿剂、β受体阻滞剂和钙通道拮抗剂等常规降血压药物一般可以控制。开始用药后的前6周应每天监测血压，后续用药期间每周监测血压2～3次，发现血压升高或头痛头晕症状应积极与医师沟通并在医师指导下接受降压药物治疗，暂停安罗替尼治疗或剂量调整。当发生3～4级高血压（收缩压≥180mmHg或舒张压≥110mmHg），应暂停用药；如恢复用药后再次出现3～4级高血压，应下调一个剂量后继续用药。如3～</w:t>
      </w:r>
      <w:r w:rsidRPr="003C684F">
        <w:rPr>
          <w:rFonts w:hint="eastAsia" w:ascii="仿宋" w:hAnsi="仿宋" w:eastAsia="仿宋" w:cs="仿宋"/>
          <w:sz w:val="32"/>
          <w:szCs w:val="32"/>
        </w:rPr>
        <w:lastRenderedPageBreak/>
        <w:t>4级高血压持续，建议停药。出现高血压危象的患者，应立即停药并接受心血管专科治疗。</w:t>
      </w:r>
    </w:p>
    <w:p w:rsidRPr="003C684F" w:rsidR="00FF4839" w:rsidP="00FF4839" w:rsidRDefault="00FF4839" w14:paraId="31BC971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安罗替尼可能延长QTc间期，QTc间期延长可能导致室性快速性心律失常（如尖端扭转型室性心动过速）或猝死风险增加。患有先天性长QTc间期综合征的患者应避免用药，患有充血性心力衰竭、血电解质异常或使用已知能够延长QTc间期药物的患者应定期（每3～6周）接受心电图和血电解质的检测。连续两次独立心电图检测QTc间期＞500ms的患者应暂停用药，直至QTc间期≤480ms或降至基线水平（当基线QTc间期＞480ms），应下调一个剂量用药。对于出现任何级别的QTc间期延长（≥450ms）并伴有如下任何一种情况：尖端扭转型室性心动过速、多形性室性心动过速、严重心律失常的症状和体征的患者应永久停用，并及时去心血管专科就诊。</w:t>
      </w:r>
    </w:p>
    <w:p w:rsidRPr="003C684F" w:rsidR="00FF4839" w:rsidP="00FF4839" w:rsidRDefault="00FF4839" w14:paraId="2AFE12EC"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6</w:t>
      </w:r>
      <w:r w:rsidRPr="003C684F">
        <w:rPr>
          <w:rFonts w:hint="eastAsia" w:ascii="仿宋" w:hAnsi="仿宋" w:eastAsia="仿宋" w:cs="仿宋"/>
          <w:sz w:val="32"/>
          <w:szCs w:val="32"/>
        </w:rPr>
        <w:t>.肿瘤患者肺及胸膜下病灶退缩存在自发性气胸风险，安罗替尼治疗期间或治疗后突发胸痛或呼吸困难等症状应立即就医，确认气胸后应行胸腔闭式引流术或其他医学干预。</w:t>
      </w:r>
    </w:p>
    <w:p w:rsidRPr="003C684F" w:rsidR="00FF4839" w:rsidP="00FF4839" w:rsidRDefault="00FF4839" w14:paraId="7028A3F9"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7</w:t>
      </w:r>
      <w:r w:rsidRPr="003C684F">
        <w:rPr>
          <w:rFonts w:hint="eastAsia" w:ascii="仿宋" w:hAnsi="仿宋" w:eastAsia="仿宋"/>
          <w:sz w:val="32"/>
          <w:szCs w:val="32"/>
        </w:rPr>
        <w:t>.安罗替尼可引起转氨酶或总胆红素升高。轻中度肝功能损伤患者慎用，重度肝功能损伤患者禁用。</w:t>
      </w:r>
    </w:p>
    <w:p w:rsidRPr="003C684F" w:rsidR="00FF4839" w:rsidP="00FF4839" w:rsidRDefault="00FF4839" w14:paraId="62278928"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8</w:t>
      </w:r>
      <w:r w:rsidRPr="003C684F">
        <w:rPr>
          <w:rFonts w:hint="eastAsia" w:ascii="仿宋" w:hAnsi="仿宋" w:eastAsia="仿宋"/>
          <w:sz w:val="32"/>
          <w:szCs w:val="32"/>
        </w:rPr>
        <w:t>.基础肾功能损伤患者慎用安罗替尼，每6～</w:t>
      </w:r>
      <w:r w:rsidRPr="003C684F">
        <w:rPr>
          <w:rFonts w:ascii="仿宋" w:hAnsi="仿宋" w:eastAsia="仿宋"/>
          <w:sz w:val="32"/>
          <w:szCs w:val="32"/>
        </w:rPr>
        <w:t>8</w:t>
      </w:r>
      <w:r w:rsidRPr="003C684F">
        <w:rPr>
          <w:rFonts w:hint="eastAsia" w:ascii="仿宋" w:hAnsi="仿宋" w:eastAsia="仿宋"/>
          <w:sz w:val="32"/>
          <w:szCs w:val="32"/>
        </w:rPr>
        <w:t>周检查尿常规，对连续两次尿蛋白（++）以上者进行24小时尿蛋白定量检测，根据不良反应级别采取包括暂停用药、剂量调</w:t>
      </w:r>
      <w:r w:rsidRPr="003C684F">
        <w:rPr>
          <w:rFonts w:hint="eastAsia" w:ascii="仿宋" w:hAnsi="仿宋" w:eastAsia="仿宋"/>
          <w:sz w:val="32"/>
          <w:szCs w:val="32"/>
        </w:rPr>
        <w:lastRenderedPageBreak/>
        <w:t>整和永久停用等处理措施。</w:t>
      </w:r>
    </w:p>
    <w:p w:rsidRPr="003C684F" w:rsidR="00FF4839" w:rsidP="00FF4839" w:rsidRDefault="00FF4839" w14:paraId="21C5AD8F" w14:textId="77777777">
      <w:pPr>
        <w:spacing w:line="360" w:lineRule="auto"/>
        <w:ind w:firstLine="640" w:firstLineChars="200"/>
        <w:rPr>
          <w:rFonts w:ascii="仿宋" w:hAnsi="仿宋" w:eastAsia="仿宋" w:cs="仿宋"/>
          <w:bCs/>
          <w:sz w:val="32"/>
          <w:szCs w:val="32"/>
        </w:rPr>
      </w:pPr>
      <w:r w:rsidRPr="003C684F">
        <w:rPr>
          <w:rFonts w:ascii="仿宋" w:hAnsi="仿宋" w:eastAsia="仿宋" w:cs="仿宋"/>
          <w:bCs/>
          <w:sz w:val="32"/>
          <w:szCs w:val="32"/>
        </w:rPr>
        <w:t>9</w:t>
      </w:r>
      <w:r w:rsidRPr="003C684F">
        <w:rPr>
          <w:rFonts w:hint="eastAsia" w:ascii="仿宋" w:hAnsi="仿宋" w:eastAsia="仿宋" w:cs="仿宋"/>
          <w:bCs/>
          <w:sz w:val="32"/>
          <w:szCs w:val="32"/>
        </w:rPr>
        <w:t>.在安罗替尼治疗开始前，建议检测基线甲状腺功能，在治疗期间，对所有患者应密切观察甲状腺功能减退的体征和症状，定期进行甲状腺功能的实验室监测，对甲状腺功能减退的患者进行规范治疗。</w:t>
      </w:r>
    </w:p>
    <w:p w:rsidRPr="003C684F" w:rsidR="00FF4839" w:rsidP="00FF4839" w:rsidRDefault="00FF4839" w14:paraId="379FFB40"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10</w:t>
      </w:r>
      <w:r w:rsidRPr="003C684F">
        <w:rPr>
          <w:rFonts w:hint="eastAsia" w:ascii="仿宋" w:hAnsi="仿宋" w:eastAsia="仿宋"/>
          <w:sz w:val="32"/>
          <w:szCs w:val="32"/>
        </w:rPr>
        <w:t>.安罗替尼可能导致腹泻，用药期间，注意评估是否有脱水或电解质失衡，必要时考虑静脉补液，使用洛哌丁胺、益生菌和蒙脱石散治疗。严重时也可考虑预防性抗生素治疗并加用生长抑素。对发生严重或持续性腹泻甚至脱水的患者，如果可以排除或鉴别其他腹泻原因（肠道菌群紊乱、免疫功能低下、类癌综合征等）导致的腹泻外，可采取包括暂停用药、下调一个剂量直至永久停用，并根据腹泻原因积极治疗。</w:t>
      </w:r>
    </w:p>
    <w:p w:rsidRPr="003C684F" w:rsidR="00FF4839" w:rsidP="00FF4839" w:rsidRDefault="00FF4839" w14:paraId="0F7697DA"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11</w:t>
      </w:r>
      <w:r w:rsidRPr="003C684F">
        <w:rPr>
          <w:rFonts w:hint="eastAsia" w:ascii="仿宋" w:hAnsi="仿宋" w:eastAsia="仿宋"/>
          <w:sz w:val="32"/>
          <w:szCs w:val="32"/>
        </w:rPr>
        <w:t>.安罗替尼治疗可能导致出现口腔疼痛、口腔黏膜炎和牙疼。牙龈、口腔肿痛患者应保持口腔清洁、止痛，减少多重感染，防止口腔黏膜炎进一步加重。推荐使用含利多卡因、碳酸氢钠或氯己定等成分的含漱剂或涂剂对症处理，促进口腔黏膜愈合。注意均衡营养和水的摄取，膳食个体化，避免热、辛辣食物，忌烟酒，禁用含酒精的含漱剂，必要时可到口腔专科就诊。发生牙龈、口腔肿痛时，可采取暂停用药、下调一个剂量直至永久停用措施。</w:t>
      </w:r>
    </w:p>
    <w:p w:rsidRPr="003C684F" w:rsidR="00FF4839" w:rsidP="00FF4839" w:rsidRDefault="00FF4839" w14:paraId="53AC3241" w14:textId="5CC52640">
      <w:pPr>
        <w:spacing w:line="360" w:lineRule="auto"/>
        <w:ind w:firstLine="640" w:firstLineChars="200"/>
        <w:rPr>
          <w:rFonts w:ascii="仿宋" w:hAnsi="仿宋" w:eastAsia="仿宋"/>
          <w:sz w:val="32"/>
          <w:szCs w:val="32"/>
        </w:rPr>
      </w:pPr>
      <w:r w:rsidRPr="003C684F">
        <w:rPr>
          <w:rFonts w:ascii="仿宋" w:hAnsi="仿宋" w:eastAsia="仿宋"/>
          <w:sz w:val="32"/>
          <w:szCs w:val="32"/>
        </w:rPr>
        <w:t>12</w:t>
      </w:r>
      <w:r w:rsidRPr="003C684F">
        <w:rPr>
          <w:rFonts w:hint="eastAsia" w:ascii="仿宋" w:hAnsi="仿宋" w:eastAsia="仿宋"/>
          <w:sz w:val="32"/>
          <w:szCs w:val="32"/>
        </w:rPr>
        <w:t>.手足综合征多在安罗替尼给药2周内出现，表现为手足掌底部位皮肤肿胀、剥落、水泡、皲裂、出血或红斑的</w:t>
      </w:r>
      <w:r w:rsidRPr="003C684F">
        <w:rPr>
          <w:rFonts w:hint="eastAsia" w:ascii="仿宋" w:hAnsi="仿宋" w:eastAsia="仿宋"/>
          <w:sz w:val="32"/>
          <w:szCs w:val="32"/>
        </w:rPr>
        <w:lastRenderedPageBreak/>
        <w:t>复合表现，常伴有疼痛。2级手足综合征患者应采取对症治疗处理，包括加强皮肤护理，保持皮肤清洁，避免继发感染，避免压力和摩擦；局部使用含尿素和糖皮质激素成分的乳液或润滑剂；发生感染时局部使用抗真菌药或抗生素治疗，建议在皮肤专科医师指导下使用。如出现≥3级的手足综合征，应下调一个剂量后继续用药。如不良反应仍持续，应</w:t>
      </w:r>
      <w:r w:rsidRPr="003C684F" w:rsidR="009D63EE">
        <w:rPr>
          <w:rFonts w:hint="eastAsia" w:ascii="仿宋" w:hAnsi="仿宋" w:eastAsia="仿宋"/>
          <w:sz w:val="32"/>
          <w:szCs w:val="32"/>
        </w:rPr>
        <w:t>永久停用</w:t>
      </w:r>
      <w:r w:rsidRPr="003C684F">
        <w:rPr>
          <w:rFonts w:hint="eastAsia" w:ascii="仿宋" w:hAnsi="仿宋" w:eastAsia="仿宋"/>
          <w:sz w:val="32"/>
          <w:szCs w:val="32"/>
        </w:rPr>
        <w:t>。</w:t>
      </w:r>
    </w:p>
    <w:p w:rsidRPr="003C684F" w:rsidR="00FF4839" w:rsidP="00FF4839" w:rsidRDefault="00FF4839" w14:paraId="1010B9F6"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13</w:t>
      </w:r>
      <w:r w:rsidRPr="003C684F">
        <w:rPr>
          <w:rFonts w:hint="eastAsia" w:ascii="仿宋" w:hAnsi="仿宋" w:eastAsia="仿宋"/>
          <w:sz w:val="32"/>
          <w:szCs w:val="32"/>
        </w:rPr>
        <w:t>.出现血脂异常的患者建议调整为低脂饮食。≥2级的高胆固醇血症（≥7.75mmol/L）或≥2级的高甘油三酯血症（≥2.5倍ULN），应使用羟甲基戊二酰辅酶A还原酶抑制剂等降血脂药物治疗。</w:t>
      </w:r>
    </w:p>
    <w:p w:rsidRPr="003C684F" w:rsidR="00FF4839" w:rsidP="00FF4839" w:rsidRDefault="00FF4839" w14:paraId="6CBADDBE"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14</w:t>
      </w:r>
      <w:r w:rsidRPr="003C684F">
        <w:rPr>
          <w:rFonts w:hint="eastAsia" w:ascii="仿宋" w:hAnsi="仿宋" w:eastAsia="仿宋"/>
          <w:sz w:val="32"/>
          <w:szCs w:val="32"/>
        </w:rPr>
        <w:t>.尚不确定安罗替尼是否可导致癫痫或增加癫痫风险，既往有癫痫病史的患者应慎用。</w:t>
      </w:r>
    </w:p>
    <w:p w:rsidRPr="003C684F" w:rsidR="00FF4839" w:rsidP="00FF4839" w:rsidRDefault="00FF4839" w14:paraId="57D9B7E2"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15</w:t>
      </w:r>
      <w:r w:rsidRPr="003C684F">
        <w:rPr>
          <w:rFonts w:hint="eastAsia" w:ascii="仿宋" w:hAnsi="仿宋" w:eastAsia="仿宋"/>
          <w:sz w:val="32"/>
          <w:szCs w:val="32"/>
        </w:rPr>
        <w:t>.可逆性后部白质脑病综合征在VEGFR抑制剂类药物治疗肿瘤中有报道，并且可能致命。在安罗替尼研究中尚未报告此类事件发生，在实际使用过程中，应密切监测相关的症状和体征，一旦发生可逆性后部白质脑病综合征的患者应永久停用。</w:t>
      </w:r>
    </w:p>
    <w:p w:rsidRPr="003C684F" w:rsidR="00FF4839" w:rsidP="00FF4839" w:rsidRDefault="00FF4839" w14:paraId="56704EAA"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16</w:t>
      </w:r>
      <w:r w:rsidRPr="003C684F">
        <w:rPr>
          <w:rFonts w:hint="eastAsia" w:ascii="仿宋" w:hAnsi="仿宋" w:eastAsia="仿宋"/>
          <w:sz w:val="32"/>
          <w:szCs w:val="32"/>
        </w:rPr>
        <w:t>.安罗替尼可能影响患者伤口愈合，建议准备接受重大外科手术的患者暂停给药以预防术后伤口愈合延迟，术后何时恢复用药由临床医师根据患者具体情况判断。</w:t>
      </w:r>
    </w:p>
    <w:p w:rsidRPr="003C684F" w:rsidR="00FF4839" w:rsidP="00FF4839" w:rsidRDefault="00FF4839" w14:paraId="2D86A960" w14:textId="77777777">
      <w:pPr>
        <w:spacing w:line="360" w:lineRule="auto"/>
        <w:ind w:firstLine="640" w:firstLineChars="200"/>
        <w:rPr>
          <w:rFonts w:ascii="仿宋" w:hAnsi="仿宋" w:eastAsia="仿宋" w:cs="仿宋"/>
          <w:sz w:val="32"/>
          <w:szCs w:val="32"/>
        </w:rPr>
      </w:pPr>
      <w:r w:rsidRPr="003C684F">
        <w:rPr>
          <w:rFonts w:ascii="仿宋" w:hAnsi="仿宋" w:eastAsia="仿宋" w:cs="仿宋"/>
          <w:sz w:val="32"/>
          <w:szCs w:val="32"/>
        </w:rPr>
        <w:t>17</w:t>
      </w:r>
      <w:r w:rsidRPr="003C684F">
        <w:rPr>
          <w:rFonts w:hint="eastAsia" w:ascii="仿宋" w:hAnsi="仿宋" w:eastAsia="仿宋" w:cs="仿宋"/>
          <w:sz w:val="32"/>
          <w:szCs w:val="32"/>
        </w:rPr>
        <w:t>.尚未确定安罗替尼在18岁以下儿童和青少年患者的</w:t>
      </w:r>
      <w:r w:rsidRPr="003C684F">
        <w:rPr>
          <w:rFonts w:hint="eastAsia" w:ascii="仿宋" w:hAnsi="仿宋" w:eastAsia="仿宋" w:cs="仿宋"/>
          <w:sz w:val="32"/>
          <w:szCs w:val="32"/>
        </w:rPr>
        <w:lastRenderedPageBreak/>
        <w:t>安全性和有效性。</w:t>
      </w:r>
      <w:r w:rsidRPr="003C684F">
        <w:rPr>
          <w:rFonts w:hint="eastAsia" w:ascii="仿宋" w:hAnsi="仿宋" w:eastAsia="仿宋"/>
          <w:color w:val="000000"/>
          <w:sz w:val="32"/>
          <w:szCs w:val="32"/>
        </w:rPr>
        <w:t>老年患者（≥65岁）</w:t>
      </w:r>
      <w:r w:rsidRPr="003C684F">
        <w:rPr>
          <w:rFonts w:hint="eastAsia" w:ascii="仿宋" w:hAnsi="仿宋" w:eastAsia="仿宋" w:cs="仿宋"/>
          <w:sz w:val="32"/>
          <w:szCs w:val="32"/>
        </w:rPr>
        <w:t>使用安罗替尼时，无需调整用药剂量。</w:t>
      </w:r>
    </w:p>
    <w:p w:rsidRPr="003C684F" w:rsidR="00FF4839" w:rsidP="00FF4839" w:rsidRDefault="00FF4839" w14:paraId="221C84A5" w14:textId="77777777">
      <w:pPr>
        <w:spacing w:line="360" w:lineRule="auto"/>
        <w:ind w:firstLine="640" w:firstLineChars="200"/>
        <w:rPr>
          <w:rFonts w:ascii="仿宋" w:hAnsi="仿宋" w:eastAsia="仿宋"/>
          <w:sz w:val="32"/>
          <w:szCs w:val="32"/>
        </w:rPr>
      </w:pPr>
      <w:r w:rsidRPr="003C684F">
        <w:rPr>
          <w:rFonts w:ascii="仿宋" w:hAnsi="仿宋" w:eastAsia="仿宋"/>
          <w:sz w:val="32"/>
          <w:szCs w:val="32"/>
        </w:rPr>
        <w:t>18</w:t>
      </w:r>
      <w:r w:rsidRPr="003C684F">
        <w:rPr>
          <w:rFonts w:hint="eastAsia" w:ascii="仿宋" w:hAnsi="仿宋" w:eastAsia="仿宋"/>
          <w:sz w:val="32"/>
          <w:szCs w:val="32"/>
        </w:rPr>
        <w:t>.育龄期女性在接受安罗替尼治疗期间和治疗结束至少6个月内应采取有效的避孕措施，妊娠期及哺乳期妇女禁用。</w:t>
      </w:r>
    </w:p>
    <w:p w:rsidRPr="003C684F" w:rsidR="00FF4839" w:rsidP="00FF4839" w:rsidRDefault="00FF4839" w14:paraId="3B196D55" w14:textId="77777777">
      <w:pPr>
        <w:ind w:firstLine="640" w:firstLineChars="200"/>
        <w:rPr>
          <w:rFonts w:ascii="仿宋" w:hAnsi="仿宋" w:eastAsia="仿宋"/>
          <w:color w:val="000000"/>
          <w:sz w:val="32"/>
          <w:szCs w:val="32"/>
        </w:rPr>
      </w:pPr>
      <w:r w:rsidRPr="003C684F">
        <w:rPr>
          <w:rFonts w:ascii="仿宋" w:hAnsi="仿宋" w:eastAsia="仿宋" w:cs="仿宋"/>
          <w:sz w:val="32"/>
          <w:szCs w:val="32"/>
        </w:rPr>
        <w:t>19.</w:t>
      </w:r>
      <w:r w:rsidRPr="003C684F">
        <w:rPr>
          <w:rFonts w:hint="eastAsia" w:ascii="仿宋" w:hAnsi="仿宋" w:eastAsia="仿宋" w:cs="仿宋"/>
          <w:sz w:val="32"/>
          <w:szCs w:val="32"/>
        </w:rPr>
        <w:t>建议安罗替尼避免与CYP1A2和CYP3A4强效抑制剂及强效诱导剂联合使用。</w:t>
      </w:r>
    </w:p>
    <w:p w:rsidRPr="003C684F" w:rsidR="00FF4839" w:rsidP="00FF4839" w:rsidRDefault="00FF4839" w14:paraId="598422FB" w14:textId="77777777">
      <w:pPr>
        <w:spacing w:line="360" w:lineRule="auto"/>
        <w:ind w:firstLine="640" w:firstLineChars="200"/>
        <w:outlineLvl w:val="0"/>
        <w:rPr>
          <w:rFonts w:ascii="黑体" w:hAnsi="黑体" w:eastAsia="黑体" w:cs="Times New Roman"/>
          <w:sz w:val="32"/>
          <w:szCs w:val="32"/>
          <w:lang w:val="de-DE"/>
        </w:rPr>
      </w:pPr>
      <w:r w:rsidRPr="003C684F">
        <w:rPr>
          <w:rFonts w:hint="eastAsia" w:ascii="黑体" w:hAnsi="黑体" w:eastAsia="黑体" w:cs="黑体"/>
          <w:sz w:val="32"/>
          <w:szCs w:val="32"/>
          <w:lang w:val="de-DE"/>
        </w:rPr>
        <w:t>四、</w:t>
      </w:r>
      <w:r w:rsidRPr="003C684F">
        <w:rPr>
          <w:rFonts w:hint="eastAsia" w:ascii="黑体" w:hAnsi="黑体" w:eastAsia="黑体" w:cs="黑体"/>
          <w:sz w:val="32"/>
          <w:szCs w:val="32"/>
        </w:rPr>
        <w:t xml:space="preserve">拉罗替尼 </w:t>
      </w:r>
      <w:r w:rsidRPr="003C684F">
        <w:rPr>
          <w:rFonts w:ascii="黑体" w:hAnsi="黑体" w:eastAsia="黑体" w:cs="黑体"/>
          <w:sz w:val="32"/>
          <w:szCs w:val="32"/>
        </w:rPr>
        <w:t>L</w:t>
      </w:r>
      <w:r w:rsidRPr="003C684F">
        <w:rPr>
          <w:rFonts w:hint="eastAsia" w:ascii="黑体" w:hAnsi="黑体" w:eastAsia="黑体" w:cs="黑体"/>
          <w:sz w:val="32"/>
          <w:szCs w:val="32"/>
        </w:rPr>
        <w:t>arotrectinib</w:t>
      </w:r>
    </w:p>
    <w:p w:rsidRPr="003C684F" w:rsidR="00FF4839" w:rsidP="00FF4839" w:rsidRDefault="00FF4839" w14:paraId="3D3ECD80" w14:textId="77777777">
      <w:pPr>
        <w:spacing w:line="360" w:lineRule="auto"/>
        <w:ind w:firstLine="643" w:firstLineChars="200"/>
        <w:rPr>
          <w:rFonts w:ascii="仿宋" w:hAnsi="仿宋" w:eastAsia="仿宋" w:cs="仿宋"/>
          <w:sz w:val="32"/>
          <w:szCs w:val="32"/>
        </w:rPr>
      </w:pPr>
      <w:r w:rsidRPr="003C684F">
        <w:rPr>
          <w:rFonts w:hint="eastAsia" w:ascii="仿宋" w:hAnsi="仿宋" w:eastAsia="仿宋" w:cs="仿宋"/>
          <w:b/>
          <w:bCs/>
          <w:sz w:val="32"/>
          <w:szCs w:val="32"/>
        </w:rPr>
        <w:t>制剂与规格：</w:t>
      </w:r>
      <w:r w:rsidRPr="003C684F">
        <w:rPr>
          <w:rFonts w:hint="eastAsia" w:ascii="仿宋" w:hAnsi="仿宋" w:eastAsia="仿宋" w:cs="仿宋"/>
          <w:sz w:val="32"/>
          <w:szCs w:val="32"/>
        </w:rPr>
        <w:t>胶囊：</w:t>
      </w:r>
      <w:r w:rsidRPr="003C684F">
        <w:rPr>
          <w:rFonts w:ascii="仿宋" w:hAnsi="仿宋" w:eastAsia="仿宋" w:cs="仿宋"/>
          <w:sz w:val="32"/>
          <w:szCs w:val="32"/>
        </w:rPr>
        <w:t>25mg</w:t>
      </w:r>
      <w:r w:rsidRPr="003C684F">
        <w:rPr>
          <w:rFonts w:hint="eastAsia" w:ascii="仿宋" w:hAnsi="仿宋" w:eastAsia="仿宋" w:cs="仿宋"/>
          <w:sz w:val="32"/>
          <w:szCs w:val="32"/>
        </w:rPr>
        <w:t>、</w:t>
      </w:r>
      <w:r w:rsidRPr="003C684F">
        <w:rPr>
          <w:rFonts w:ascii="仿宋" w:hAnsi="仿宋" w:eastAsia="仿宋" w:cs="仿宋"/>
          <w:sz w:val="32"/>
          <w:szCs w:val="32"/>
        </w:rPr>
        <w:t>100mg</w:t>
      </w:r>
      <w:r w:rsidRPr="003C684F">
        <w:rPr>
          <w:rFonts w:hint="eastAsia" w:ascii="仿宋" w:hAnsi="仿宋" w:eastAsia="仿宋" w:cs="仿宋"/>
          <w:sz w:val="32"/>
          <w:szCs w:val="32"/>
        </w:rPr>
        <w:t>；口服溶液：</w:t>
      </w:r>
      <w:r w:rsidRPr="003C684F">
        <w:rPr>
          <w:rFonts w:ascii="仿宋" w:hAnsi="仿宋" w:eastAsia="仿宋" w:cs="仿宋"/>
          <w:sz w:val="32"/>
          <w:szCs w:val="32"/>
        </w:rPr>
        <w:t>50ml</w:t>
      </w:r>
      <w:r w:rsidRPr="003C684F">
        <w:rPr>
          <w:rFonts w:hint="eastAsia" w:ascii="仿宋" w:hAnsi="仿宋" w:eastAsia="仿宋" w:cs="仿宋"/>
          <w:sz w:val="32"/>
          <w:szCs w:val="32"/>
        </w:rPr>
        <w:t>：</w:t>
      </w:r>
      <w:r w:rsidRPr="003C684F">
        <w:rPr>
          <w:rFonts w:ascii="仿宋" w:hAnsi="仿宋" w:eastAsia="仿宋" w:cs="仿宋"/>
          <w:sz w:val="32"/>
          <w:szCs w:val="32"/>
        </w:rPr>
        <w:t>100</w:t>
      </w:r>
      <w:r w:rsidRPr="003C684F">
        <w:rPr>
          <w:rFonts w:hint="eastAsia" w:ascii="仿宋" w:hAnsi="仿宋" w:eastAsia="仿宋" w:cs="仿宋"/>
          <w:sz w:val="32"/>
          <w:szCs w:val="32"/>
        </w:rPr>
        <w:t>0</w:t>
      </w:r>
      <w:r w:rsidRPr="003C684F">
        <w:rPr>
          <w:rFonts w:ascii="仿宋" w:hAnsi="仿宋" w:eastAsia="仿宋" w:cs="仿宋"/>
          <w:sz w:val="32"/>
          <w:szCs w:val="32"/>
        </w:rPr>
        <w:t>mg</w:t>
      </w:r>
    </w:p>
    <w:p w:rsidRPr="003C684F" w:rsidR="00FF4839" w:rsidP="00FF4839" w:rsidRDefault="00FF4839" w14:paraId="2D5E8AEE" w14:textId="77777777">
      <w:pPr>
        <w:pStyle w:val="Default"/>
        <w:spacing w:line="360" w:lineRule="auto"/>
        <w:ind w:firstLine="643" w:firstLineChars="200"/>
        <w:jc w:val="both"/>
        <w:rPr>
          <w:rFonts w:ascii="仿宋" w:hAnsi="仿宋" w:eastAsia="仿宋" w:cs="仿宋"/>
          <w:sz w:val="32"/>
          <w:szCs w:val="32"/>
        </w:rPr>
      </w:pPr>
      <w:r w:rsidRPr="003C684F">
        <w:rPr>
          <w:rFonts w:hint="eastAsia" w:ascii="仿宋" w:hAnsi="仿宋" w:eastAsia="仿宋" w:cs="仿宋"/>
          <w:b/>
          <w:bCs/>
          <w:sz w:val="32"/>
          <w:szCs w:val="32"/>
        </w:rPr>
        <w:t>适应证：</w:t>
      </w:r>
      <w:r w:rsidRPr="003C684F">
        <w:rPr>
          <w:rFonts w:hint="eastAsia" w:ascii="仿宋" w:hAnsi="仿宋" w:eastAsia="仿宋" w:cs="仿宋"/>
          <w:sz w:val="32"/>
          <w:szCs w:val="32"/>
        </w:rPr>
        <w:t>拉罗替尼胶囊适用于符合下列条件的成人和儿童实体瘤患者：经充分验证的检测方法诊断为携带神经营养酪氨酸受体激酶（</w:t>
      </w:r>
      <w:r w:rsidRPr="003C684F">
        <w:rPr>
          <w:rFonts w:ascii="仿宋" w:hAnsi="仿宋" w:eastAsia="仿宋" w:cs="仿宋"/>
          <w:sz w:val="32"/>
          <w:szCs w:val="32"/>
        </w:rPr>
        <w:t>NTRK</w:t>
      </w:r>
      <w:r w:rsidRPr="003C684F">
        <w:rPr>
          <w:rFonts w:hint="eastAsia" w:ascii="仿宋" w:hAnsi="仿宋" w:eastAsia="仿宋" w:cs="仿宋"/>
          <w:sz w:val="32"/>
          <w:szCs w:val="32"/>
        </w:rPr>
        <w:t>）融合基因且不包括已知获得性耐药突变；患有局部晚期、转移性疾病或手术切除可能导致严重并发症的患者，以及无满意替代治疗或既往治疗失败的患者。</w:t>
      </w:r>
    </w:p>
    <w:p w:rsidRPr="003C684F" w:rsidR="00FF4839" w:rsidP="00FF4839" w:rsidRDefault="00FF4839" w14:paraId="1F04A7BA" w14:textId="77777777">
      <w:pPr>
        <w:spacing w:line="360" w:lineRule="auto"/>
        <w:ind w:firstLine="643" w:firstLineChars="200"/>
        <w:rPr>
          <w:rFonts w:ascii="仿宋" w:hAnsi="仿宋" w:eastAsia="仿宋" w:cs="仿宋"/>
          <w:b/>
          <w:bCs/>
          <w:color w:val="000000"/>
          <w:kern w:val="0"/>
          <w:sz w:val="32"/>
          <w:szCs w:val="32"/>
        </w:rPr>
      </w:pPr>
      <w:r w:rsidRPr="003C684F">
        <w:rPr>
          <w:rFonts w:hint="eastAsia" w:ascii="仿宋" w:hAnsi="仿宋" w:eastAsia="仿宋" w:cs="仿宋"/>
          <w:b/>
          <w:bCs/>
          <w:color w:val="000000"/>
          <w:kern w:val="0"/>
          <w:sz w:val="32"/>
          <w:szCs w:val="32"/>
        </w:rPr>
        <w:t>合理用药要点：</w:t>
      </w:r>
    </w:p>
    <w:p w:rsidRPr="003C684F" w:rsidR="00FF4839" w:rsidP="00FF4839" w:rsidRDefault="00FF4839" w14:paraId="10A34731" w14:textId="77777777">
      <w:pPr>
        <w:widowControl/>
        <w:autoSpaceDE w:val="0"/>
        <w:autoSpaceDN w:val="0"/>
        <w:adjustRightInd w:val="0"/>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1.成人患者的推荐剂量为100mg/次，每天两次，口服，直至疾病进展或出现不可耐受的毒性。儿童患者的剂量基于体表面积，儿童患者的推荐剂量为100mg/m</w:t>
      </w:r>
      <w:r w:rsidRPr="003C684F">
        <w:rPr>
          <w:rFonts w:hint="eastAsia" w:ascii="仿宋" w:hAnsi="仿宋" w:eastAsia="仿宋" w:cs="仿宋"/>
          <w:sz w:val="32"/>
          <w:szCs w:val="32"/>
          <w:vertAlign w:val="superscript"/>
        </w:rPr>
        <w:t>2</w:t>
      </w:r>
      <w:r w:rsidRPr="003C684F">
        <w:rPr>
          <w:rFonts w:hint="eastAsia" w:ascii="仿宋" w:hAnsi="仿宋" w:eastAsia="仿宋" w:cs="仿宋"/>
          <w:sz w:val="32"/>
          <w:szCs w:val="32"/>
        </w:rPr>
        <w:t>，每天两次，最大剂量为100mg/次，直至疾病进展或出现不可耐受的毒性。</w:t>
      </w:r>
    </w:p>
    <w:p w:rsidRPr="003C684F" w:rsidR="00FF4839" w:rsidP="00FF4839" w:rsidRDefault="00FF4839" w14:paraId="7F5196F4" w14:textId="177600B9">
      <w:pPr>
        <w:widowControl/>
        <w:autoSpaceDE w:val="0"/>
        <w:autoSpaceDN w:val="0"/>
        <w:adjustRightInd w:val="0"/>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2.剂量调整：对于所有2级不良反应，尽管应密切监测以确保毒性不会增加，但建议继续给药。观察到2级毒性反</w:t>
      </w:r>
      <w:r w:rsidRPr="003C684F">
        <w:rPr>
          <w:rFonts w:hint="eastAsia" w:ascii="仿宋" w:hAnsi="仿宋" w:eastAsia="仿宋" w:cs="仿宋"/>
          <w:sz w:val="32"/>
          <w:szCs w:val="32"/>
        </w:rPr>
        <w:lastRenderedPageBreak/>
        <w:t>应后，应每隔一到两周对2级ALT和/或AST升高的患者进行一系列实验室评估，直到确定是否需要中断给药或降低剂量。对于3或4级不良反应，应停用本品，直到不良反应缓解或改善至基线或1级水平。如果在4周内得到缓解，则在下一次剂量调整时恢复使用。如果不良反应在4周内未得到缓解，则应永久停用。拉罗替尼胶囊不良反应的推荐剂量调整请参见</w:t>
      </w:r>
      <w:r w:rsidRPr="003C684F" w:rsidR="00F403F6">
        <w:rPr>
          <w:rFonts w:hint="eastAsia" w:ascii="仿宋" w:hAnsi="仿宋" w:eastAsia="仿宋" w:cs="仿宋"/>
          <w:sz w:val="32"/>
          <w:szCs w:val="32"/>
        </w:rPr>
        <w:t>下表</w:t>
      </w:r>
      <w:r w:rsidRPr="003C684F">
        <w:rPr>
          <w:rFonts w:hint="eastAsia" w:ascii="仿宋" w:hAnsi="仿宋" w:eastAsia="仿宋" w:cs="仿宋"/>
          <w:sz w:val="32"/>
          <w:szCs w:val="32"/>
        </w:rPr>
        <w:t>。</w:t>
      </w:r>
    </w:p>
    <w:p w:rsidRPr="003C684F" w:rsidR="00FF4839" w:rsidP="00FF4839" w:rsidRDefault="00FF4839" w14:paraId="78190A92" w14:textId="4EBAD4D0">
      <w:pPr>
        <w:spacing w:line="360" w:lineRule="auto"/>
        <w:ind w:firstLine="422" w:firstLineChars="200"/>
        <w:jc w:val="center"/>
        <w:rPr>
          <w:rFonts w:ascii="仿宋" w:hAnsi="仿宋" w:eastAsia="仿宋" w:cs="Times New Roman"/>
          <w:b/>
          <w:bCs/>
        </w:rPr>
      </w:pPr>
      <w:r w:rsidRPr="003C684F">
        <w:rPr>
          <w:rFonts w:hint="eastAsia" w:ascii="仿宋" w:hAnsi="仿宋" w:eastAsia="仿宋" w:cs="Times New Roman"/>
          <w:b/>
          <w:bCs/>
        </w:rPr>
        <w:t>表1</w:t>
      </w:r>
      <w:r w:rsidRPr="003C684F" w:rsidR="00F403F6">
        <w:rPr>
          <w:rFonts w:hint="eastAsia" w:ascii="仿宋" w:hAnsi="仿宋" w:eastAsia="仿宋" w:cs="Times New Roman"/>
          <w:b/>
          <w:bCs/>
        </w:rPr>
        <w:t>6</w:t>
      </w:r>
      <w:r w:rsidRPr="003C684F">
        <w:rPr>
          <w:rFonts w:hint="eastAsia" w:ascii="仿宋" w:hAnsi="仿宋" w:eastAsia="仿宋" w:cs="Times New Roman"/>
          <w:b/>
          <w:bCs/>
        </w:rPr>
        <w:t xml:space="preserve">　拉罗替尼胶囊不良反应的推荐剂量调整</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16"/>
        <w:gridCol w:w="2716"/>
        <w:gridCol w:w="2716"/>
      </w:tblGrid>
      <w:tr w:rsidRPr="003C684F" w:rsidR="00FF4839" w:rsidTr="00C8227F" w14:paraId="3D3BAAC5" w14:textId="77777777">
        <w:trPr>
          <w:trHeight w:val="262"/>
        </w:trPr>
        <w:tc>
          <w:tcPr>
            <w:tcW w:w="2716" w:type="dxa"/>
          </w:tcPr>
          <w:p w:rsidRPr="003C684F" w:rsidR="00FF4839" w:rsidP="00C8227F" w:rsidRDefault="00FF4839" w14:paraId="73B76D82" w14:textId="77777777">
            <w:pPr>
              <w:spacing w:line="360" w:lineRule="auto"/>
              <w:jc w:val="left"/>
              <w:rPr>
                <w:rFonts w:ascii="仿宋" w:hAnsi="仿宋" w:eastAsia="仿宋" w:cs="Times New Roman"/>
                <w:b/>
                <w:kern w:val="0"/>
              </w:rPr>
            </w:pPr>
            <w:r w:rsidRPr="003C684F">
              <w:rPr>
                <w:rFonts w:hint="eastAsia" w:ascii="仿宋" w:hAnsi="仿宋" w:eastAsia="仿宋" w:cs="Times New Roman"/>
                <w:b/>
                <w:kern w:val="0"/>
              </w:rPr>
              <w:t>剂量调整</w:t>
            </w:r>
          </w:p>
        </w:tc>
        <w:tc>
          <w:tcPr>
            <w:tcW w:w="2716" w:type="dxa"/>
          </w:tcPr>
          <w:p w:rsidRPr="003C684F" w:rsidR="00FF4839" w:rsidP="00C8227F" w:rsidRDefault="00FF4839" w14:paraId="5EF118C6" w14:textId="77777777">
            <w:pPr>
              <w:spacing w:line="360" w:lineRule="auto"/>
              <w:jc w:val="left"/>
              <w:rPr>
                <w:rFonts w:ascii="仿宋" w:hAnsi="仿宋" w:eastAsia="仿宋" w:cs="Times New Roman"/>
                <w:b/>
                <w:kern w:val="0"/>
              </w:rPr>
            </w:pPr>
            <w:r w:rsidRPr="003C684F">
              <w:rPr>
                <w:rFonts w:hint="eastAsia" w:ascii="仿宋" w:hAnsi="仿宋" w:eastAsia="仿宋" w:cs="Times New Roman"/>
                <w:b/>
                <w:kern w:val="0"/>
              </w:rPr>
              <w:t>体表面积至少为</w:t>
            </w:r>
            <w:r w:rsidRPr="003C684F">
              <w:rPr>
                <w:rFonts w:ascii="仿宋" w:hAnsi="仿宋" w:eastAsia="仿宋" w:cs="Times New Roman"/>
                <w:b/>
                <w:kern w:val="0"/>
              </w:rPr>
              <w:t>1.0m</w:t>
            </w:r>
            <w:r w:rsidRPr="003C684F">
              <w:rPr>
                <w:rFonts w:ascii="仿宋" w:hAnsi="仿宋" w:eastAsia="仿宋" w:cs="Times New Roman"/>
                <w:b/>
                <w:kern w:val="0"/>
                <w:vertAlign w:val="superscript"/>
              </w:rPr>
              <w:t>2</w:t>
            </w:r>
            <w:r w:rsidRPr="003C684F">
              <w:rPr>
                <w:rFonts w:hint="eastAsia" w:ascii="仿宋" w:hAnsi="仿宋" w:eastAsia="仿宋" w:cs="Times New Roman"/>
                <w:b/>
                <w:kern w:val="0"/>
              </w:rPr>
              <w:t>的成人和儿童患者</w:t>
            </w:r>
          </w:p>
        </w:tc>
        <w:tc>
          <w:tcPr>
            <w:tcW w:w="2716" w:type="dxa"/>
          </w:tcPr>
          <w:p w:rsidRPr="003C684F" w:rsidR="00FF4839" w:rsidP="00C8227F" w:rsidRDefault="00FF4839" w14:paraId="62504A34" w14:textId="77777777">
            <w:pPr>
              <w:spacing w:line="360" w:lineRule="auto"/>
              <w:jc w:val="left"/>
              <w:rPr>
                <w:rFonts w:ascii="仿宋" w:hAnsi="仿宋" w:eastAsia="仿宋" w:cs="Times New Roman"/>
                <w:b/>
                <w:kern w:val="0"/>
              </w:rPr>
            </w:pPr>
            <w:r w:rsidRPr="003C684F">
              <w:rPr>
                <w:rFonts w:hint="eastAsia" w:ascii="仿宋" w:hAnsi="仿宋" w:eastAsia="仿宋" w:cs="Times New Roman"/>
                <w:b/>
                <w:kern w:val="0"/>
              </w:rPr>
              <w:t>体表面积小于</w:t>
            </w:r>
            <w:r w:rsidRPr="003C684F">
              <w:rPr>
                <w:rFonts w:ascii="仿宋" w:hAnsi="仿宋" w:eastAsia="仿宋" w:cs="Times New Roman"/>
                <w:b/>
                <w:kern w:val="0"/>
              </w:rPr>
              <w:t>1.0m</w:t>
            </w:r>
            <w:r w:rsidRPr="003C684F">
              <w:rPr>
                <w:rFonts w:ascii="仿宋" w:hAnsi="仿宋" w:eastAsia="仿宋" w:cs="Times New Roman"/>
                <w:b/>
                <w:kern w:val="0"/>
                <w:vertAlign w:val="superscript"/>
              </w:rPr>
              <w:t>2</w:t>
            </w:r>
            <w:r w:rsidRPr="003C684F">
              <w:rPr>
                <w:rFonts w:hint="eastAsia" w:ascii="仿宋" w:hAnsi="仿宋" w:eastAsia="仿宋" w:cs="Times New Roman"/>
                <w:b/>
                <w:kern w:val="0"/>
              </w:rPr>
              <w:t>的儿童患者</w:t>
            </w:r>
          </w:p>
        </w:tc>
      </w:tr>
      <w:tr w:rsidRPr="003C684F" w:rsidR="00FF4839" w:rsidTr="00C8227F" w14:paraId="423732DA" w14:textId="77777777">
        <w:trPr>
          <w:trHeight w:val="142"/>
        </w:trPr>
        <w:tc>
          <w:tcPr>
            <w:tcW w:w="2716" w:type="dxa"/>
          </w:tcPr>
          <w:p w:rsidRPr="003C684F" w:rsidR="00FF4839" w:rsidP="00C8227F" w:rsidRDefault="00FF4839" w14:paraId="35132767" w14:textId="77777777">
            <w:pPr>
              <w:spacing w:line="360" w:lineRule="auto"/>
              <w:jc w:val="left"/>
              <w:rPr>
                <w:rFonts w:ascii="仿宋" w:hAnsi="仿宋" w:eastAsia="仿宋" w:cs="Times New Roman"/>
                <w:bCs/>
                <w:kern w:val="0"/>
              </w:rPr>
            </w:pPr>
            <w:r w:rsidRPr="003C684F">
              <w:rPr>
                <w:rFonts w:hint="eastAsia" w:ascii="仿宋" w:hAnsi="仿宋" w:eastAsia="仿宋" w:cs="Times New Roman"/>
                <w:bCs/>
                <w:kern w:val="0"/>
              </w:rPr>
              <w:t>第一次</w:t>
            </w:r>
          </w:p>
        </w:tc>
        <w:tc>
          <w:tcPr>
            <w:tcW w:w="2716" w:type="dxa"/>
          </w:tcPr>
          <w:p w:rsidRPr="003C684F" w:rsidR="00FF4839" w:rsidP="00C8227F" w:rsidRDefault="00FF4839" w14:paraId="3ADB5A1C"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75mg</w:t>
            </w:r>
            <w:r w:rsidRPr="003C684F">
              <w:rPr>
                <w:rFonts w:hint="eastAsia" w:ascii="仿宋" w:hAnsi="仿宋" w:eastAsia="仿宋" w:cs="Times New Roman"/>
                <w:bCs/>
                <w:kern w:val="0"/>
              </w:rPr>
              <w:t>，每天两次</w:t>
            </w:r>
          </w:p>
        </w:tc>
        <w:tc>
          <w:tcPr>
            <w:tcW w:w="2716" w:type="dxa"/>
          </w:tcPr>
          <w:p w:rsidRPr="003C684F" w:rsidR="00FF4839" w:rsidP="00C8227F" w:rsidRDefault="00FF4839" w14:paraId="0C1CA6C9"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75mg/m</w:t>
            </w:r>
            <w:r w:rsidRPr="003C684F">
              <w:rPr>
                <w:rFonts w:ascii="仿宋" w:hAnsi="仿宋" w:eastAsia="仿宋" w:cs="Times New Roman"/>
                <w:bCs/>
                <w:kern w:val="0"/>
                <w:vertAlign w:val="superscript"/>
              </w:rPr>
              <w:t>2</w:t>
            </w:r>
            <w:r w:rsidRPr="003C684F">
              <w:rPr>
                <w:rFonts w:hint="eastAsia" w:ascii="仿宋" w:hAnsi="仿宋" w:eastAsia="仿宋" w:cs="Times New Roman"/>
                <w:bCs/>
                <w:kern w:val="0"/>
              </w:rPr>
              <w:t>，每天两次</w:t>
            </w:r>
          </w:p>
        </w:tc>
      </w:tr>
      <w:tr w:rsidRPr="003C684F" w:rsidR="00FF4839" w:rsidTr="00C8227F" w14:paraId="6CB70CC8" w14:textId="77777777">
        <w:trPr>
          <w:trHeight w:val="142"/>
        </w:trPr>
        <w:tc>
          <w:tcPr>
            <w:tcW w:w="2716" w:type="dxa"/>
          </w:tcPr>
          <w:p w:rsidRPr="003C684F" w:rsidR="00FF4839" w:rsidP="00C8227F" w:rsidRDefault="00FF4839" w14:paraId="5AA6BA1F" w14:textId="77777777">
            <w:pPr>
              <w:spacing w:line="360" w:lineRule="auto"/>
              <w:jc w:val="left"/>
              <w:rPr>
                <w:rFonts w:ascii="仿宋" w:hAnsi="仿宋" w:eastAsia="仿宋" w:cs="Times New Roman"/>
                <w:bCs/>
                <w:kern w:val="0"/>
              </w:rPr>
            </w:pPr>
            <w:r w:rsidRPr="003C684F">
              <w:rPr>
                <w:rFonts w:hint="eastAsia" w:ascii="仿宋" w:hAnsi="仿宋" w:eastAsia="仿宋" w:cs="Times New Roman"/>
                <w:bCs/>
                <w:kern w:val="0"/>
              </w:rPr>
              <w:t>第二次</w:t>
            </w:r>
          </w:p>
        </w:tc>
        <w:tc>
          <w:tcPr>
            <w:tcW w:w="2716" w:type="dxa"/>
          </w:tcPr>
          <w:p w:rsidRPr="003C684F" w:rsidR="00FF4839" w:rsidP="00C8227F" w:rsidRDefault="00FF4839" w14:paraId="493F2ACD"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50mg</w:t>
            </w:r>
            <w:r w:rsidRPr="003C684F">
              <w:rPr>
                <w:rFonts w:hint="eastAsia" w:ascii="仿宋" w:hAnsi="仿宋" w:eastAsia="仿宋" w:cs="Times New Roman"/>
                <w:bCs/>
                <w:kern w:val="0"/>
              </w:rPr>
              <w:t>，每天两次</w:t>
            </w:r>
          </w:p>
        </w:tc>
        <w:tc>
          <w:tcPr>
            <w:tcW w:w="2716" w:type="dxa"/>
          </w:tcPr>
          <w:p w:rsidRPr="003C684F" w:rsidR="00FF4839" w:rsidP="00C8227F" w:rsidRDefault="00FF4839" w14:paraId="1759D7C3"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50mg/m</w:t>
            </w:r>
            <w:r w:rsidRPr="003C684F">
              <w:rPr>
                <w:rFonts w:ascii="仿宋" w:hAnsi="仿宋" w:eastAsia="仿宋" w:cs="Times New Roman"/>
                <w:bCs/>
                <w:kern w:val="0"/>
                <w:vertAlign w:val="superscript"/>
              </w:rPr>
              <w:t>2</w:t>
            </w:r>
            <w:r w:rsidRPr="003C684F">
              <w:rPr>
                <w:rFonts w:hint="eastAsia" w:ascii="仿宋" w:hAnsi="仿宋" w:eastAsia="仿宋" w:cs="Times New Roman"/>
                <w:bCs/>
                <w:kern w:val="0"/>
              </w:rPr>
              <w:t>，每天两次</w:t>
            </w:r>
          </w:p>
        </w:tc>
      </w:tr>
      <w:tr w:rsidRPr="003C684F" w:rsidR="00FF4839" w:rsidTr="00C8227F" w14:paraId="0276B2A8" w14:textId="77777777">
        <w:trPr>
          <w:trHeight w:val="142"/>
        </w:trPr>
        <w:tc>
          <w:tcPr>
            <w:tcW w:w="2716" w:type="dxa"/>
          </w:tcPr>
          <w:p w:rsidRPr="003C684F" w:rsidR="00FF4839" w:rsidP="00C8227F" w:rsidRDefault="00FF4839" w14:paraId="457256A8" w14:textId="77777777">
            <w:pPr>
              <w:spacing w:line="360" w:lineRule="auto"/>
              <w:jc w:val="left"/>
              <w:rPr>
                <w:rFonts w:ascii="仿宋" w:hAnsi="仿宋" w:eastAsia="仿宋" w:cs="Times New Roman"/>
                <w:bCs/>
                <w:kern w:val="0"/>
              </w:rPr>
            </w:pPr>
            <w:r w:rsidRPr="003C684F">
              <w:rPr>
                <w:rFonts w:hint="eastAsia" w:ascii="仿宋" w:hAnsi="仿宋" w:eastAsia="仿宋" w:cs="Times New Roman"/>
                <w:bCs/>
                <w:kern w:val="0"/>
              </w:rPr>
              <w:t>第三次</w:t>
            </w:r>
          </w:p>
        </w:tc>
        <w:tc>
          <w:tcPr>
            <w:tcW w:w="2716" w:type="dxa"/>
          </w:tcPr>
          <w:p w:rsidRPr="003C684F" w:rsidR="00FF4839" w:rsidP="00C8227F" w:rsidRDefault="00FF4839" w14:paraId="4E734A90"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100mg</w:t>
            </w:r>
            <w:r w:rsidRPr="003C684F">
              <w:rPr>
                <w:rFonts w:hint="eastAsia" w:ascii="仿宋" w:hAnsi="仿宋" w:eastAsia="仿宋" w:cs="Times New Roman"/>
                <w:bCs/>
                <w:kern w:val="0"/>
              </w:rPr>
              <w:t>，每天一次</w:t>
            </w:r>
          </w:p>
        </w:tc>
        <w:tc>
          <w:tcPr>
            <w:tcW w:w="2716" w:type="dxa"/>
          </w:tcPr>
          <w:p w:rsidRPr="003C684F" w:rsidR="00FF4839" w:rsidP="00C8227F" w:rsidRDefault="00FF4839" w14:paraId="380066DB" w14:textId="77777777">
            <w:pPr>
              <w:spacing w:line="360" w:lineRule="auto"/>
              <w:jc w:val="left"/>
              <w:rPr>
                <w:rFonts w:ascii="仿宋" w:hAnsi="仿宋" w:eastAsia="仿宋" w:cs="Times New Roman"/>
                <w:bCs/>
                <w:kern w:val="0"/>
              </w:rPr>
            </w:pPr>
            <w:r w:rsidRPr="003C684F">
              <w:rPr>
                <w:rFonts w:ascii="仿宋" w:hAnsi="仿宋" w:eastAsia="仿宋" w:cs="Times New Roman"/>
                <w:bCs/>
                <w:kern w:val="0"/>
              </w:rPr>
              <w:t>25mg/m</w:t>
            </w:r>
            <w:r w:rsidRPr="003C684F">
              <w:rPr>
                <w:rFonts w:ascii="仿宋" w:hAnsi="仿宋" w:eastAsia="仿宋" w:cs="Times New Roman"/>
                <w:bCs/>
                <w:kern w:val="0"/>
                <w:vertAlign w:val="superscript"/>
              </w:rPr>
              <w:t>2</w:t>
            </w:r>
            <w:r w:rsidRPr="003C684F">
              <w:rPr>
                <w:rFonts w:hint="eastAsia" w:ascii="仿宋" w:hAnsi="仿宋" w:eastAsia="仿宋" w:cs="Times New Roman"/>
                <w:bCs/>
                <w:kern w:val="0"/>
              </w:rPr>
              <w:t>，每天两次</w:t>
            </w:r>
            <w:r w:rsidRPr="003C684F">
              <w:rPr>
                <w:rFonts w:ascii="仿宋" w:hAnsi="仿宋" w:eastAsia="仿宋" w:cs="Times New Roman"/>
                <w:bCs/>
                <w:kern w:val="0"/>
                <w:vertAlign w:val="superscript"/>
              </w:rPr>
              <w:t>a</w:t>
            </w:r>
          </w:p>
        </w:tc>
      </w:tr>
    </w:tbl>
    <w:p w:rsidRPr="003C684F" w:rsidR="00FF4839" w:rsidP="00FF4839" w:rsidRDefault="00FF4839" w14:paraId="1EB09B5E" w14:textId="77777777">
      <w:pPr>
        <w:spacing w:line="360" w:lineRule="auto"/>
        <w:ind w:firstLine="360" w:firstLineChars="200"/>
        <w:rPr>
          <w:rFonts w:ascii="仿宋" w:hAnsi="仿宋" w:eastAsia="仿宋" w:cs="Times New Roman"/>
          <w:sz w:val="18"/>
          <w:szCs w:val="18"/>
        </w:rPr>
      </w:pPr>
      <w:r w:rsidRPr="003C684F">
        <w:rPr>
          <w:rFonts w:ascii="仿宋" w:hAnsi="仿宋" w:eastAsia="仿宋" w:cs="Times New Roman"/>
          <w:sz w:val="18"/>
          <w:szCs w:val="18"/>
          <w:vertAlign w:val="superscript"/>
        </w:rPr>
        <w:t>a</w:t>
      </w:r>
      <w:r w:rsidRPr="003C684F">
        <w:rPr>
          <w:rFonts w:hint="eastAsia" w:ascii="仿宋" w:hAnsi="仿宋" w:eastAsia="仿宋" w:cs="Times New Roman"/>
          <w:sz w:val="18"/>
          <w:szCs w:val="18"/>
        </w:rPr>
        <w:t>儿童患者</w:t>
      </w:r>
      <w:r w:rsidRPr="003C684F">
        <w:rPr>
          <w:rFonts w:ascii="仿宋" w:hAnsi="仿宋" w:eastAsia="仿宋" w:cs="Times New Roman"/>
          <w:sz w:val="18"/>
          <w:szCs w:val="18"/>
        </w:rPr>
        <w:t>25mg/</w:t>
      </w:r>
      <w:r w:rsidRPr="003C684F">
        <w:rPr>
          <w:rFonts w:ascii="仿宋" w:hAnsi="仿宋" w:eastAsia="仿宋" w:cs="Times New Roman"/>
          <w:bCs/>
          <w:kern w:val="0"/>
          <w:sz w:val="20"/>
        </w:rPr>
        <w:t>m</w:t>
      </w:r>
      <w:r w:rsidRPr="003C684F">
        <w:rPr>
          <w:rFonts w:ascii="仿宋" w:hAnsi="仿宋" w:eastAsia="仿宋" w:cs="Times New Roman"/>
          <w:bCs/>
          <w:kern w:val="0"/>
          <w:sz w:val="20"/>
          <w:vertAlign w:val="superscript"/>
        </w:rPr>
        <w:t>2</w:t>
      </w:r>
      <w:r w:rsidRPr="003C684F">
        <w:rPr>
          <w:rFonts w:hint="eastAsia" w:ascii="仿宋" w:hAnsi="仿宋" w:eastAsia="仿宋" w:cs="Times New Roman"/>
          <w:sz w:val="18"/>
          <w:szCs w:val="18"/>
        </w:rPr>
        <w:t>，每天两次，即使在治疗期间体表面积大于</w:t>
      </w:r>
      <w:r w:rsidRPr="003C684F">
        <w:rPr>
          <w:rFonts w:ascii="仿宋" w:hAnsi="仿宋" w:eastAsia="仿宋" w:cs="Times New Roman"/>
          <w:sz w:val="18"/>
          <w:szCs w:val="18"/>
        </w:rPr>
        <w:t>1.0</w:t>
      </w:r>
      <w:r w:rsidRPr="003C684F">
        <w:rPr>
          <w:rFonts w:ascii="仿宋" w:hAnsi="仿宋" w:eastAsia="仿宋" w:cs="Times New Roman"/>
          <w:bCs/>
          <w:kern w:val="0"/>
          <w:sz w:val="20"/>
        </w:rPr>
        <w:t>m</w:t>
      </w:r>
      <w:r w:rsidRPr="003C684F">
        <w:rPr>
          <w:rFonts w:ascii="仿宋" w:hAnsi="仿宋" w:eastAsia="仿宋" w:cs="Times New Roman"/>
          <w:bCs/>
          <w:kern w:val="0"/>
          <w:sz w:val="20"/>
          <w:vertAlign w:val="superscript"/>
        </w:rPr>
        <w:t>2</w:t>
      </w:r>
      <w:r w:rsidRPr="003C684F">
        <w:rPr>
          <w:rFonts w:hint="eastAsia" w:ascii="仿宋" w:hAnsi="仿宋" w:eastAsia="仿宋" w:cs="Times New Roman"/>
          <w:sz w:val="18"/>
          <w:szCs w:val="18"/>
        </w:rPr>
        <w:t>，也应保持该剂量。在第三次剂量调整时，最大剂量应为</w:t>
      </w:r>
      <w:r w:rsidRPr="003C684F">
        <w:rPr>
          <w:rFonts w:ascii="仿宋" w:hAnsi="仿宋" w:eastAsia="仿宋" w:cs="Times New Roman"/>
          <w:sz w:val="18"/>
          <w:szCs w:val="18"/>
        </w:rPr>
        <w:t>25mg/</w:t>
      </w:r>
      <w:r w:rsidRPr="003C684F">
        <w:rPr>
          <w:rFonts w:ascii="仿宋" w:hAnsi="仿宋" w:eastAsia="仿宋" w:cs="Times New Roman"/>
          <w:bCs/>
          <w:kern w:val="0"/>
          <w:sz w:val="20"/>
        </w:rPr>
        <w:t>m</w:t>
      </w:r>
      <w:r w:rsidRPr="003C684F">
        <w:rPr>
          <w:rFonts w:ascii="仿宋" w:hAnsi="仿宋" w:eastAsia="仿宋" w:cs="Times New Roman"/>
          <w:bCs/>
          <w:kern w:val="0"/>
          <w:sz w:val="20"/>
          <w:vertAlign w:val="superscript"/>
        </w:rPr>
        <w:t>2</w:t>
      </w:r>
      <w:r w:rsidRPr="003C684F">
        <w:rPr>
          <w:rFonts w:hint="eastAsia" w:ascii="仿宋" w:hAnsi="仿宋" w:eastAsia="仿宋" w:cs="Times New Roman"/>
          <w:sz w:val="18"/>
          <w:szCs w:val="18"/>
        </w:rPr>
        <w:t>，每天两次。</w:t>
      </w:r>
    </w:p>
    <w:p w:rsidRPr="003C684F" w:rsidR="00FF4839" w:rsidP="00FF4839" w:rsidRDefault="00FF4839" w14:paraId="784531CD" w14:textId="7777777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三次剂量调整后无法耐受本品的患者应永久停用。</w:t>
      </w:r>
    </w:p>
    <w:p w:rsidRPr="003C684F" w:rsidR="00FF4839" w:rsidP="00FF4839" w:rsidRDefault="00CA28FB" w14:paraId="11946F59" w14:textId="7F89E39F">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3</w:t>
      </w:r>
      <w:r w:rsidRPr="003C684F" w:rsidR="00FF4839">
        <w:rPr>
          <w:rFonts w:hint="eastAsia" w:ascii="仿宋" w:hAnsi="仿宋" w:eastAsia="仿宋" w:cs="仿宋"/>
          <w:sz w:val="32"/>
          <w:szCs w:val="32"/>
        </w:rPr>
        <w:t>.对于老年患者，不建议调整剂量。对于中重度（Child-Pugh B级和C级）肝功能损伤患者，本品的起始剂量应减少50%。对于轻度（Child-Pugh A</w:t>
      </w:r>
      <w:r w:rsidR="00E04840">
        <w:rPr>
          <w:rFonts w:hint="eastAsia" w:ascii="仿宋" w:hAnsi="仿宋" w:eastAsia="仿宋" w:cs="仿宋"/>
          <w:sz w:val="32"/>
          <w:szCs w:val="32"/>
        </w:rPr>
        <w:t>级</w:t>
      </w:r>
      <w:r w:rsidRPr="003C684F" w:rsidR="00FF4839">
        <w:rPr>
          <w:rFonts w:hint="eastAsia" w:ascii="仿宋" w:hAnsi="仿宋" w:eastAsia="仿宋" w:cs="仿宋"/>
          <w:sz w:val="32"/>
          <w:szCs w:val="32"/>
        </w:rPr>
        <w:t>）肝功能损伤患者，不建议调整剂量。肾功能损伤患者无需调整剂量。</w:t>
      </w:r>
    </w:p>
    <w:p w:rsidRPr="003C684F" w:rsidR="00FF4839" w:rsidP="00FF4839" w:rsidRDefault="00CA28FB" w14:paraId="06807623" w14:textId="5EF3F2A6">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4</w:t>
      </w:r>
      <w:r w:rsidRPr="003C684F" w:rsidR="00FF4839">
        <w:rPr>
          <w:rFonts w:hint="eastAsia" w:ascii="仿宋" w:hAnsi="仿宋" w:eastAsia="仿宋" w:cs="仿宋"/>
          <w:sz w:val="32"/>
          <w:szCs w:val="32"/>
        </w:rPr>
        <w:t xml:space="preserve">.如果需要与CYP3A4强效抑制剂联合给药，则本品剂量应降低50%。在抑制剂停用3～5个消除半衰期后，应恢复到给予CYP3A4抑制剂之前服用的本品剂量。 </w:t>
      </w:r>
    </w:p>
    <w:p w:rsidRPr="003C684F" w:rsidR="00FF4839" w:rsidP="00FF4839" w:rsidRDefault="00CA28FB" w14:paraId="0940D72A" w14:textId="7FF3E2F1">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5</w:t>
      </w:r>
      <w:r w:rsidRPr="003C684F" w:rsidR="00FF4839">
        <w:rPr>
          <w:rFonts w:hint="eastAsia" w:ascii="仿宋" w:hAnsi="仿宋" w:eastAsia="仿宋" w:cs="仿宋"/>
          <w:sz w:val="32"/>
          <w:szCs w:val="32"/>
        </w:rPr>
        <w:t>.本品最常见的药物不良反应（≥20%）按发生率降序</w:t>
      </w:r>
      <w:r w:rsidRPr="003C684F" w:rsidR="00FF4839">
        <w:rPr>
          <w:rFonts w:hint="eastAsia" w:ascii="仿宋" w:hAnsi="仿宋" w:eastAsia="仿宋" w:cs="仿宋"/>
          <w:sz w:val="32"/>
          <w:szCs w:val="32"/>
        </w:rPr>
        <w:lastRenderedPageBreak/>
        <w:t>排列依次为ALT升高、AST升高、呕吐、便秘、疲乏、恶心、贫血、头晕和肌痛。大多数不良反应为1级或2级。报告等级最高为4级的不良反应包括中性粒细胞减少症、ALT升高、AST升高、白细胞减少症和碱性磷酸酶升高。报告等级最高为3级的不良反应包括贫血、体重增加、疲乏、头晕、</w:t>
      </w:r>
      <w:r w:rsidR="00E26D08">
        <w:rPr>
          <w:rFonts w:hint="eastAsia" w:ascii="仿宋" w:hAnsi="仿宋" w:eastAsia="仿宋" w:cs="仿宋"/>
          <w:sz w:val="32"/>
          <w:szCs w:val="32"/>
        </w:rPr>
        <w:t>感觉异常</w:t>
      </w:r>
      <w:r w:rsidRPr="003C684F" w:rsidR="00FF4839">
        <w:rPr>
          <w:rFonts w:hint="eastAsia" w:ascii="仿宋" w:hAnsi="仿宋" w:eastAsia="仿宋" w:cs="仿宋"/>
          <w:sz w:val="32"/>
          <w:szCs w:val="32"/>
        </w:rPr>
        <w:t>、肌无力、恶心、肌痛、步态障碍和呕吐。除贫血外，所有报告为3级的不良反应均在不到5%的患者中发生。</w:t>
      </w:r>
    </w:p>
    <w:p w:rsidRPr="003C684F" w:rsidR="00FF4839" w:rsidP="00FF4839" w:rsidRDefault="00CA28FB" w14:paraId="178B0D73" w14:textId="680A7FD7">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6</w:t>
      </w:r>
      <w:r w:rsidRPr="003C684F" w:rsidR="00FF4839">
        <w:rPr>
          <w:rFonts w:hint="eastAsia" w:ascii="仿宋" w:hAnsi="仿宋" w:eastAsia="仿宋" w:cs="仿宋"/>
          <w:sz w:val="32"/>
          <w:szCs w:val="32"/>
        </w:rPr>
        <w:t>.在服用拉罗替尼的患者中，报告的神经系统反应包括头晕、步态障碍和</w:t>
      </w:r>
      <w:r w:rsidR="00E26D08">
        <w:rPr>
          <w:rFonts w:hint="eastAsia" w:ascii="仿宋" w:hAnsi="仿宋" w:eastAsia="仿宋" w:cs="仿宋"/>
          <w:sz w:val="32"/>
          <w:szCs w:val="32"/>
        </w:rPr>
        <w:t>感觉异常</w:t>
      </w:r>
      <w:r w:rsidRPr="003C684F" w:rsidR="00FF4839">
        <w:rPr>
          <w:rFonts w:hint="eastAsia" w:ascii="仿宋" w:hAnsi="仿宋" w:eastAsia="仿宋" w:cs="仿宋"/>
          <w:sz w:val="32"/>
          <w:szCs w:val="32"/>
        </w:rPr>
        <w:t>。多数神经系统反应发生在治疗的前3个月内。须根据这些症状的严重程度和持续性决定暂停用药、降低剂量还是永久停用。</w:t>
      </w:r>
    </w:p>
    <w:p w:rsidRPr="003C684F" w:rsidR="00FF4839" w:rsidP="00FF4839" w:rsidRDefault="00CA28FB" w14:paraId="4C8FA82D" w14:textId="127EE85E">
      <w:pPr>
        <w:spacing w:line="360" w:lineRule="auto"/>
        <w:ind w:firstLine="640" w:firstLineChars="200"/>
        <w:rPr>
          <w:rFonts w:ascii="仿宋" w:hAnsi="仿宋" w:eastAsia="仿宋" w:cs="仿宋"/>
          <w:sz w:val="32"/>
          <w:szCs w:val="32"/>
        </w:rPr>
      </w:pPr>
      <w:r w:rsidRPr="003C684F">
        <w:rPr>
          <w:rFonts w:hint="eastAsia" w:ascii="仿宋" w:hAnsi="仿宋" w:eastAsia="仿宋" w:cs="仿宋"/>
          <w:sz w:val="32"/>
          <w:szCs w:val="32"/>
        </w:rPr>
        <w:t>7</w:t>
      </w:r>
      <w:r w:rsidRPr="003C684F" w:rsidR="00FF4839">
        <w:rPr>
          <w:rFonts w:hint="eastAsia" w:ascii="仿宋" w:hAnsi="仿宋" w:eastAsia="仿宋" w:cs="仿宋"/>
          <w:sz w:val="32"/>
          <w:szCs w:val="32"/>
        </w:rPr>
        <w:t>.育龄妇女应在开始本品治疗前接受妊娠试验，建议育龄期女性在本品治疗期间和末次给药后至少一个月内采取高效的避孕方法，建议使用全身作用性激素避孕药的女性增加屏障避孕法。应建议育龄期男性在本品治疗期间和末次给药后至少一个月内，采取高效的避孕方法。尚无拉罗替尼在孕妇中使用的数据，向孕妇给予拉罗替尼治疗时，不能排除胎儿受到伤害的可能，最好避免在妊娠期间使用本品。尚不清楚拉罗替尼或其代谢物是否经人乳汁排泄。在本品治疗期间和末次给药后3天内应停止母乳喂养。尚无拉罗替尼对生育能力影响的相关临床数据。</w:t>
      </w:r>
    </w:p>
    <w:p w:rsidRPr="003C684F" w:rsidR="009730C1" w:rsidRDefault="009730C1" w14:paraId="1776648E" w14:textId="77777777">
      <w:pPr>
        <w:ind w:firstLine="640" w:firstLineChars="200"/>
        <w:rPr>
          <w:rFonts w:ascii="仿宋" w:hAnsi="仿宋" w:eastAsia="仿宋"/>
          <w:color w:val="000000"/>
          <w:sz w:val="32"/>
          <w:szCs w:val="32"/>
        </w:rPr>
      </w:pPr>
    </w:p>
    <w:p w:rsidRPr="003C684F" w:rsidR="009730C1" w:rsidRDefault="00A315B9" w14:paraId="33FC5B6D" w14:textId="77777777">
      <w:pPr>
        <w:ind w:firstLine="883" w:firstLineChars="200"/>
        <w:jc w:val="center"/>
        <w:rPr>
          <w:rFonts w:ascii="宋体" w:hAnsi="宋体" w:cs="宋体"/>
          <w:b/>
          <w:bCs/>
          <w:sz w:val="44"/>
          <w:szCs w:val="44"/>
        </w:rPr>
      </w:pPr>
      <w:r w:rsidRPr="003C684F">
        <w:rPr>
          <w:rFonts w:hint="eastAsia" w:ascii="宋体" w:hAnsi="宋体" w:cs="宋体"/>
          <w:b/>
          <w:bCs/>
          <w:sz w:val="44"/>
          <w:szCs w:val="44"/>
        </w:rPr>
        <w:lastRenderedPageBreak/>
        <w:t>头颈部肿瘤用药</w:t>
      </w:r>
    </w:p>
    <w:p w:rsidRPr="003C684F" w:rsidR="009730C1" w:rsidRDefault="009730C1" w14:paraId="734C3525" w14:textId="77777777">
      <w:pPr>
        <w:ind w:firstLine="640" w:firstLineChars="200"/>
        <w:rPr>
          <w:rFonts w:ascii="仿宋" w:hAnsi="仿宋" w:eastAsia="仿宋"/>
          <w:color w:val="000000"/>
          <w:sz w:val="32"/>
          <w:szCs w:val="32"/>
        </w:rPr>
      </w:pPr>
    </w:p>
    <w:p w:rsidRPr="003C684F" w:rsidR="009730C1" w:rsidP="0037660B" w:rsidRDefault="00A315B9" w14:paraId="4D9FB065"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 xml:space="preserve">一、尼妥珠单抗 Nimotuzumab </w:t>
      </w:r>
    </w:p>
    <w:p w:rsidRPr="003C684F" w:rsidR="009730C1" w:rsidRDefault="00A315B9" w14:paraId="023EF886"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：50mg（10ml）/瓶</w:t>
      </w:r>
    </w:p>
    <w:p w:rsidRPr="003C684F" w:rsidR="009730C1" w:rsidRDefault="00A315B9" w14:paraId="44D0DA6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与放疗联合治疗EGFR基因阳性表达的Ⅲ～Ⅳ期鼻咽癌。</w:t>
      </w:r>
    </w:p>
    <w:p w:rsidRPr="003C684F" w:rsidR="009730C1" w:rsidRDefault="00A315B9" w14:paraId="1B56DA2B"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DFC51B3" w14:textId="3C791CA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1.首次给药应在放射治疗的第1天，并在放射治疗开始前完成。之后每周</w:t>
      </w:r>
      <w:r w:rsidRPr="003C684F" w:rsidR="00945632">
        <w:rPr>
          <w:rFonts w:hint="eastAsia" w:ascii="仿宋" w:hAnsi="仿宋" w:eastAsia="仿宋"/>
          <w:color w:val="000000"/>
          <w:sz w:val="32"/>
          <w:szCs w:val="32"/>
        </w:rPr>
        <w:t>一次</w:t>
      </w:r>
      <w:r w:rsidRPr="003C684F">
        <w:rPr>
          <w:rFonts w:hint="eastAsia" w:ascii="仿宋" w:hAnsi="仿宋" w:eastAsia="仿宋"/>
          <w:color w:val="000000"/>
          <w:sz w:val="32"/>
          <w:szCs w:val="32"/>
        </w:rPr>
        <w:t>，共8周，患者同时接受标准的放射治疗。</w:t>
      </w:r>
    </w:p>
    <w:p w:rsidRPr="003C684F" w:rsidR="009730C1" w:rsidRDefault="00A315B9" w14:paraId="03D73512"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2.用药期间必须注意常见的皮肤反应和腹泻。</w:t>
      </w:r>
    </w:p>
    <w:p w:rsidRPr="003C684F" w:rsidR="009730C1" w:rsidRDefault="00A315B9" w14:paraId="721B9C86" w14:textId="6CC14F7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3.尚未确定</w:t>
      </w:r>
      <w:r w:rsidRPr="003C684F" w:rsidR="00F63311">
        <w:rPr>
          <w:rFonts w:hint="eastAsia" w:ascii="仿宋" w:hAnsi="仿宋" w:eastAsia="仿宋"/>
          <w:color w:val="000000"/>
          <w:sz w:val="32"/>
          <w:szCs w:val="32"/>
        </w:rPr>
        <w:t>本品在</w:t>
      </w:r>
      <w:r w:rsidRPr="003C684F" w:rsidR="007A4114">
        <w:rPr>
          <w:rFonts w:hint="eastAsia" w:ascii="仿宋" w:hAnsi="仿宋" w:eastAsia="仿宋"/>
          <w:color w:val="000000"/>
          <w:sz w:val="32"/>
          <w:szCs w:val="32"/>
        </w:rPr>
        <w:t>18岁以下儿童和青少年</w:t>
      </w:r>
      <w:r w:rsidRPr="003C684F" w:rsidR="00F63311">
        <w:rPr>
          <w:rFonts w:hint="eastAsia" w:ascii="仿宋" w:hAnsi="仿宋" w:eastAsia="仿宋"/>
          <w:color w:val="000000"/>
          <w:sz w:val="32"/>
          <w:szCs w:val="32"/>
        </w:rPr>
        <w:t>患者</w:t>
      </w:r>
      <w:r w:rsidRPr="003C684F">
        <w:rPr>
          <w:rFonts w:hint="eastAsia" w:ascii="仿宋" w:hAnsi="仿宋" w:eastAsia="仿宋"/>
          <w:color w:val="000000"/>
          <w:sz w:val="32"/>
          <w:szCs w:val="32"/>
        </w:rPr>
        <w:t>的安全性和有效性。</w:t>
      </w:r>
    </w:p>
    <w:p w:rsidRPr="003C684F" w:rsidR="009730C1" w:rsidRDefault="00A315B9" w14:paraId="2850A83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4.应由熟练掌握EGFR检测技术的专职人员进行EGFR表达水平的检验。</w:t>
      </w:r>
    </w:p>
    <w:p w:rsidRPr="003C684F" w:rsidR="009730C1" w:rsidP="00F016B7" w:rsidRDefault="00F016B7" w14:paraId="68315115" w14:textId="32D7F48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w:t>
      </w:r>
      <w:r w:rsidRPr="003C684F" w:rsidR="00A315B9">
        <w:rPr>
          <w:rFonts w:hint="eastAsia" w:ascii="仿宋" w:hAnsi="仿宋" w:eastAsia="仿宋"/>
          <w:color w:val="000000"/>
          <w:sz w:val="32"/>
          <w:szCs w:val="32"/>
        </w:rPr>
        <w:t>孕妇或没有采取有效避孕措施的妇女应慎用。本品属于IgG1类抗体，由于人IgG1能够分泌至乳汁，建议哺乳期妇女在本品治疗期间以及在最后一次给药后60天内停止哺乳。</w:t>
      </w:r>
    </w:p>
    <w:p w:rsidRPr="003C684F" w:rsidR="009730C1" w:rsidRDefault="00A315B9" w14:paraId="47008D36" w14:textId="77777777">
      <w:pPr>
        <w:spacing w:line="360" w:lineRule="auto"/>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二、特瑞普利单抗 Toripalimab</w:t>
      </w:r>
    </w:p>
    <w:p w:rsidRPr="003C684F" w:rsidR="009730C1" w:rsidRDefault="00A315B9" w14:paraId="7B3630BF" w14:textId="77777777">
      <w:pPr>
        <w:spacing w:line="360" w:lineRule="auto"/>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：80mg（2ml）/瓶、240mg（6ml）/瓶</w:t>
      </w:r>
    </w:p>
    <w:p w:rsidRPr="003C684F" w:rsidR="009730C1" w:rsidRDefault="00A315B9" w14:paraId="68F9114F"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lastRenderedPageBreak/>
        <w:t>适应证：</w:t>
      </w:r>
    </w:p>
    <w:p w:rsidRPr="003C684F" w:rsidR="009730C1" w:rsidRDefault="00A315B9" w14:paraId="361A02B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1.既往接受过二线及以上系统治疗失败的复发或转移性鼻咽癌患者的治疗。</w:t>
      </w:r>
    </w:p>
    <w:p w:rsidRPr="003C684F" w:rsidR="009730C1" w:rsidRDefault="00A315B9" w14:paraId="1EE688A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2.联合顺铂和吉西他滨用于局部复发或转移性鼻咽癌患者的一线治疗。</w:t>
      </w:r>
    </w:p>
    <w:p w:rsidRPr="003C684F" w:rsidR="009730C1" w:rsidRDefault="00A315B9" w14:paraId="0D1589FF"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0E5BC3DF" w14:textId="41F4B9A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1.对于二线以上晚期鼻咽癌的推荐剂量为3mg/kg，每2周一次，</w:t>
      </w:r>
      <w:r w:rsidRPr="003C684F" w:rsidR="00955DEE">
        <w:rPr>
          <w:rFonts w:hint="eastAsia" w:ascii="仿宋" w:hAnsi="仿宋" w:eastAsia="仿宋"/>
          <w:color w:val="000000"/>
          <w:sz w:val="32"/>
          <w:szCs w:val="32"/>
        </w:rPr>
        <w:t>静脉输注，直</w:t>
      </w:r>
      <w:r w:rsidRPr="003C684F">
        <w:rPr>
          <w:rFonts w:hint="eastAsia" w:ascii="仿宋" w:hAnsi="仿宋" w:eastAsia="仿宋"/>
          <w:color w:val="000000"/>
          <w:sz w:val="32"/>
          <w:szCs w:val="32"/>
        </w:rPr>
        <w:t>至疾病进展或出现不可耐受的毒性；对于局部复发或转移性鼻咽癌一线推荐剂量为固定剂量240mg</w:t>
      </w:r>
      <w:r w:rsidRPr="003C684F" w:rsidR="00C44000">
        <w:rPr>
          <w:rFonts w:hint="eastAsia" w:ascii="仿宋" w:hAnsi="仿宋" w:eastAsia="仿宋"/>
          <w:color w:val="000000"/>
          <w:sz w:val="32"/>
          <w:szCs w:val="32"/>
        </w:rPr>
        <w:t>/次</w:t>
      </w:r>
      <w:r w:rsidRPr="003C684F">
        <w:rPr>
          <w:rFonts w:hint="eastAsia" w:ascii="仿宋" w:hAnsi="仿宋" w:eastAsia="仿宋"/>
          <w:color w:val="000000"/>
          <w:sz w:val="32"/>
          <w:szCs w:val="32"/>
        </w:rPr>
        <w:t>，每3周一次，</w:t>
      </w:r>
      <w:r w:rsidRPr="003C684F" w:rsidR="00C44000">
        <w:rPr>
          <w:rFonts w:hint="eastAsia" w:ascii="仿宋" w:hAnsi="仿宋" w:eastAsia="仿宋"/>
          <w:color w:val="000000"/>
          <w:sz w:val="32"/>
          <w:szCs w:val="32"/>
        </w:rPr>
        <w:t>静脉输注，</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部分接受本品治疗的患者可能存在肿瘤非典型反应，如果患者临床症状稳定或持续减轻，即使在影像学上有疾病进展的初步证据，基于总体临床获益的判断，可考虑继续应用本品治疗，直至证实疾病进展。</w:t>
      </w:r>
    </w:p>
    <w:p w:rsidRPr="003C684F" w:rsidR="009730C1" w:rsidRDefault="00A315B9" w14:paraId="55ED075B" w14:textId="0B38BE5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w:t>
      </w:r>
      <w:r w:rsidRPr="003C684F" w:rsidR="00C530F2">
        <w:rPr>
          <w:rFonts w:hint="eastAsia" w:ascii="仿宋" w:hAnsi="仿宋" w:eastAsia="仿宋"/>
          <w:color w:val="000000"/>
          <w:sz w:val="32"/>
          <w:szCs w:val="32"/>
        </w:rPr>
        <w:t>.</w:t>
      </w:r>
      <w:r w:rsidRPr="003C684F">
        <w:rPr>
          <w:rFonts w:hint="eastAsia" w:ascii="仿宋" w:hAnsi="仿宋" w:eastAsia="仿宋"/>
          <w:color w:val="000000"/>
          <w:sz w:val="32"/>
          <w:szCs w:val="32"/>
        </w:rPr>
        <w:t>对于疑似免疫相关性不良反应，应进行充分的评估以排除其他病因。</w:t>
      </w:r>
      <w:r w:rsidRPr="003C684F" w:rsidR="000761A4">
        <w:rPr>
          <w:rFonts w:hint="eastAsia" w:ascii="仿宋" w:hAnsi="仿宋" w:eastAsia="仿宋"/>
          <w:color w:val="000000"/>
          <w:sz w:val="32"/>
          <w:szCs w:val="32"/>
        </w:rPr>
        <w:t>大多数免疫相关性不良反应是可逆的，并且可通过暂时停用特瑞普利单抗，</w:t>
      </w:r>
      <w:r w:rsidRPr="003C684F" w:rsidR="00C06C4C">
        <w:rPr>
          <w:rFonts w:hint="eastAsia" w:ascii="仿宋" w:hAnsi="仿宋" w:eastAsia="仿宋"/>
          <w:color w:val="000000"/>
          <w:sz w:val="32"/>
          <w:szCs w:val="32"/>
        </w:rPr>
        <w:t>使</w:t>
      </w:r>
      <w:r w:rsidRPr="003C684F" w:rsidR="000761A4">
        <w:rPr>
          <w:rFonts w:hint="eastAsia" w:ascii="仿宋" w:hAnsi="仿宋" w:eastAsia="仿宋"/>
          <w:color w:val="000000"/>
          <w:sz w:val="32"/>
          <w:szCs w:val="32"/>
        </w:rPr>
        <w:t>用糖皮质激素治疗和/或支持治疗来处理。</w:t>
      </w:r>
      <w:r w:rsidRPr="003C684F">
        <w:rPr>
          <w:rFonts w:hint="eastAsia" w:ascii="仿宋" w:hAnsi="仿宋" w:eastAsia="仿宋"/>
          <w:color w:val="000000"/>
          <w:sz w:val="32"/>
          <w:szCs w:val="32"/>
        </w:rPr>
        <w:t>对于大部分3～4级及某些特定的2级免疫相关性不良反应需暂停给药。对于4级及某些特定的3级免疫相关性不良反应</w:t>
      </w:r>
      <w:r w:rsidRPr="003C684F" w:rsidR="00347EF0">
        <w:rPr>
          <w:rFonts w:hint="eastAsia" w:ascii="仿宋" w:hAnsi="仿宋" w:eastAsia="仿宋"/>
          <w:color w:val="000000"/>
          <w:sz w:val="32"/>
          <w:szCs w:val="32"/>
        </w:rPr>
        <w:t>应</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。对于3～4级及某些特定的2级免疫相关性不良反应，给予1～2mg/（kg</w:t>
      </w:r>
      <w:r w:rsidR="00E04840">
        <w:rPr>
          <w:rFonts w:hint="eastAsia" w:ascii="MS Mincho" w:hAnsi="MS Mincho" w:eastAsia="MS Mincho" w:cs="MS Mincho"/>
          <w:color w:val="000000"/>
          <w:sz w:val="32"/>
          <w:szCs w:val="32"/>
        </w:rPr>
        <w:t>•</w:t>
      </w:r>
      <w:r w:rsidRPr="003C684F">
        <w:rPr>
          <w:rFonts w:hint="eastAsia" w:ascii="仿宋" w:hAnsi="仿宋" w:eastAsia="仿宋"/>
          <w:color w:val="000000"/>
          <w:sz w:val="32"/>
          <w:szCs w:val="32"/>
        </w:rPr>
        <w:t>d）强的松等效剂量及其他治疗，直至免疫相关性不良反应改善到≤1</w:t>
      </w:r>
      <w:r w:rsidRPr="003C684F">
        <w:rPr>
          <w:rFonts w:hint="eastAsia" w:ascii="仿宋" w:hAnsi="仿宋" w:eastAsia="仿宋"/>
          <w:color w:val="000000"/>
          <w:sz w:val="32"/>
          <w:szCs w:val="32"/>
        </w:rPr>
        <w:lastRenderedPageBreak/>
        <w:t>级。糖皮质激素需至少一个月的时间逐渐减量直至停药，快速减量可能引起不良反应恶化或复发。如果不良反应在糖皮质激素治疗后继续恶化或无改善，则应增加非糖皮质激素类别的免疫抑制剂治疗。</w:t>
      </w:r>
    </w:p>
    <w:p w:rsidRPr="003C684F" w:rsidR="009730C1" w:rsidRDefault="00C530F2" w14:paraId="0140177D" w14:textId="6597AA3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r w:rsidRPr="003C684F" w:rsidR="00A315B9">
        <w:rPr>
          <w:rFonts w:hint="eastAsia" w:ascii="仿宋" w:hAnsi="仿宋" w:eastAsia="仿宋"/>
          <w:color w:val="000000"/>
          <w:sz w:val="32"/>
          <w:szCs w:val="32"/>
        </w:rPr>
        <w:t>.对于4级及某些特定的3级免疫相关性不良反应，及任何复发性3级免疫相关性不良反应，末次给药后12周内2～3级免疫相关性不良反应未改善到0～1级（除外内分泌疾病），以及末次给药12周内糖皮质激素未能降至≤10mg/d强的松等效剂量，应</w:t>
      </w:r>
      <w:r w:rsidRPr="003C684F" w:rsidR="00373DC1">
        <w:rPr>
          <w:rFonts w:hint="eastAsia" w:ascii="仿宋" w:hAnsi="仿宋" w:eastAsia="仿宋"/>
          <w:color w:val="000000"/>
          <w:sz w:val="32"/>
          <w:szCs w:val="32"/>
        </w:rPr>
        <w:t>永久停用</w:t>
      </w:r>
      <w:r w:rsidRPr="003C684F" w:rsidR="00A315B9">
        <w:rPr>
          <w:rFonts w:hint="eastAsia" w:ascii="仿宋" w:hAnsi="仿宋" w:eastAsia="仿宋"/>
          <w:color w:val="000000"/>
          <w:sz w:val="32"/>
          <w:szCs w:val="32"/>
        </w:rPr>
        <w:t>。</w:t>
      </w:r>
    </w:p>
    <w:p w:rsidRPr="003C684F" w:rsidR="009730C1" w:rsidRDefault="00C530F2" w14:paraId="12BF97B9" w14:textId="48F58A6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w:t>
      </w:r>
      <w:r w:rsidRPr="003C684F" w:rsidR="00A315B9">
        <w:rPr>
          <w:rFonts w:hint="eastAsia" w:ascii="仿宋" w:hAnsi="仿宋" w:eastAsia="仿宋"/>
          <w:color w:val="000000"/>
          <w:sz w:val="32"/>
          <w:szCs w:val="32"/>
        </w:rPr>
        <w:t>.因可能干扰本品药效学活性，应避免在开始本品治疗前使用全身性糖皮质激素及其他免疫抑制剂。但是如果为了治疗免疫相关性不良反应，可在开始本品治疗后使用全身性糖皮质激素及其他免疫抑制剂。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9730C1" w:rsidP="0037660B" w:rsidRDefault="00A315B9" w14:paraId="5B2C48C5"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三、卡瑞利珠单抗 Camrelizumab</w:t>
      </w:r>
    </w:p>
    <w:p w:rsidRPr="003C684F" w:rsidR="009730C1" w:rsidRDefault="00A315B9" w14:paraId="4CF0845F"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粉针剂：200mg/瓶</w:t>
      </w:r>
    </w:p>
    <w:p w:rsidRPr="003C684F" w:rsidR="009730C1" w:rsidRDefault="00A315B9" w14:paraId="421307BA"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6F1C54E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1.本品用于既往接受过二线及以上化疗后疾病进展或不可耐受的晚期鼻咽癌患者的治疗。</w:t>
      </w:r>
    </w:p>
    <w:p w:rsidRPr="003C684F" w:rsidR="009730C1" w:rsidRDefault="00A315B9" w14:paraId="2CF1A55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2.本品联合顺铂和吉西他滨用于局部复发或转移性鼻咽癌患者的一线治疗。</w:t>
      </w:r>
    </w:p>
    <w:p w:rsidRPr="003C684F" w:rsidR="009730C1" w:rsidRDefault="00A315B9" w14:paraId="4D61C869"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3B524600" w14:textId="02B4B38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1.对于局部复发或转移性鼻咽癌的推荐剂量为200mg/</w:t>
      </w:r>
      <w:r w:rsidRPr="003C684F">
        <w:rPr>
          <w:rFonts w:hint="eastAsia" w:ascii="仿宋" w:hAnsi="仿宋" w:eastAsia="仿宋"/>
          <w:color w:val="000000"/>
          <w:sz w:val="32"/>
          <w:szCs w:val="32"/>
        </w:rPr>
        <w:lastRenderedPageBreak/>
        <w:t>次，每3周一次，</w:t>
      </w:r>
      <w:r w:rsidRPr="003C684F" w:rsidR="00C44000">
        <w:rPr>
          <w:rFonts w:hint="eastAsia" w:ascii="仿宋" w:hAnsi="仿宋" w:eastAsia="仿宋"/>
          <w:color w:val="000000"/>
          <w:sz w:val="32"/>
          <w:szCs w:val="32"/>
        </w:rPr>
        <w:t>静脉输注，</w:t>
      </w:r>
      <w:r w:rsidRPr="003C684F" w:rsidR="00703498">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5E545061" w14:textId="3BFE132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2.有可能观察到非典型反应。如果患者临床症状稳定或持续减轻，即使影像学有疾病进展的初步证据，医生可基于对患者总体临床获益的判断，考虑是否继续应用本品治疗，直至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639C8608" w14:textId="71764BB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3.当卡瑞利珠单抗联合化疗给药时，应首先给予卡瑞利珠单抗</w:t>
      </w:r>
      <w:r w:rsidRPr="003C684F" w:rsidR="00FC21CC">
        <w:rPr>
          <w:rFonts w:hint="eastAsia" w:ascii="仿宋" w:hAnsi="仿宋" w:eastAsia="仿宋"/>
          <w:color w:val="000000"/>
          <w:sz w:val="32"/>
          <w:szCs w:val="32"/>
        </w:rPr>
        <w:t>静脉输注</w:t>
      </w:r>
      <w:r w:rsidRPr="003C684F">
        <w:rPr>
          <w:rFonts w:hint="eastAsia" w:ascii="仿宋" w:hAnsi="仿宋" w:eastAsia="仿宋"/>
          <w:color w:val="000000"/>
          <w:sz w:val="32"/>
          <w:szCs w:val="32"/>
        </w:rPr>
        <w:t>，间隔至少30分钟后再给予化疗。</w:t>
      </w:r>
    </w:p>
    <w:p w:rsidRPr="003C684F" w:rsidR="009730C1" w:rsidRDefault="00A315B9" w14:paraId="06CED73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最常见的不良反应是：反应性毛细血管增生症、AST升高、ALT升高、甲状腺功能减退、乏力、蛋白尿、发热和白细胞减少症。单药治疗所报告的大多数不良反应的严重程度为1级或2级，最常见的＞3级不良反应是：贫血、低钠血症、γ-谷氨酰转移酶升高、AST升高等。</w:t>
      </w:r>
    </w:p>
    <w:p w:rsidRPr="003C684F" w:rsidR="009730C1" w:rsidRDefault="00A315B9" w14:paraId="482351EA"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对于疑似免疫相关性不良反应，应进行充分的评估以排除其他病因。大多数免疫相关性不良反应是可逆的，且可通过中断卡瑞利珠单抗并使用糖皮质激素支持治疗。对于大部分3～4级及某些特定的2级免疫相关性不良反应需暂停给药，并给予1～2mg/（kg</w:t>
      </w:r>
      <w:r w:rsidRPr="003C684F">
        <w:rPr>
          <w:rFonts w:hint="eastAsia" w:ascii="宋体" w:hAnsi="宋体" w:cs="宋体"/>
          <w:color w:val="000000"/>
          <w:sz w:val="32"/>
          <w:szCs w:val="32"/>
        </w:rPr>
        <w:t>•</w:t>
      </w:r>
      <w:r w:rsidRPr="003C684F">
        <w:rPr>
          <w:rFonts w:hint="eastAsia" w:ascii="仿宋" w:hAnsi="仿宋" w:eastAsia="仿宋"/>
          <w:color w:val="000000"/>
          <w:sz w:val="32"/>
          <w:szCs w:val="32"/>
        </w:rPr>
        <w:t>d）强的松等效剂量及其他治疗，直至免疫相关性不良反应改善到≤1级。糖皮质激素需至少一个月的时间逐渐减量直至停药，快速减量可能引起免疫相关性不良反应的反复。如果不良反应在糖皮质激素治疗后继续恶化或无改善，则应增加糖皮质激素以外的免疫抑制剂治</w:t>
      </w:r>
      <w:r w:rsidRPr="003C684F">
        <w:rPr>
          <w:rFonts w:hint="eastAsia" w:ascii="仿宋" w:hAnsi="仿宋" w:eastAsia="仿宋"/>
          <w:color w:val="000000"/>
          <w:sz w:val="32"/>
          <w:szCs w:val="32"/>
        </w:rPr>
        <w:lastRenderedPageBreak/>
        <w:t>疗。</w:t>
      </w:r>
    </w:p>
    <w:p w:rsidRPr="003C684F" w:rsidR="009730C1" w:rsidRDefault="00A315B9" w14:paraId="0E0A5E4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w:t>
      </w:r>
    </w:p>
    <w:p w:rsidRPr="003C684F" w:rsidR="009730C1" w:rsidRDefault="00A315B9" w14:paraId="3ED02662" w14:textId="6ED4177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对于4级及某些特定的3级免疫相关性不良反应，及任何复发性3级免疫相关性不良反应，末次给药后12周内2～3级免疫相关性不良反应未改善到0～1级（除外内分泌疾病），以及末次给药12周内糖皮质激素未能降至≤10mg/d强的松等效剂量，应</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w:t>
      </w:r>
    </w:p>
    <w:p w:rsidRPr="003C684F" w:rsidR="009730C1" w:rsidRDefault="00A315B9" w14:paraId="525D4DD9"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8.因可能干扰本品药效学活性，应避免在开始本品治疗前使用全身性糖皮质激素及其他免疫抑制剂。但是如果为了治疗免疫相关性不良反应，可在开始本品治疗后使用全身性糖皮质激素及其他免疫抑制剂。</w:t>
      </w:r>
    </w:p>
    <w:p w:rsidRPr="003C684F" w:rsidR="009730C1" w:rsidP="0037660B" w:rsidRDefault="00A315B9" w14:paraId="60806C46" w14:textId="77777777">
      <w:pPr>
        <w:ind w:firstLine="640" w:firstLineChars="200"/>
        <w:outlineLvl w:val="0"/>
        <w:rPr>
          <w:rFonts w:ascii="仿宋" w:hAnsi="仿宋" w:eastAsia="仿宋"/>
          <w:color w:val="000000"/>
          <w:sz w:val="32"/>
          <w:szCs w:val="32"/>
        </w:rPr>
      </w:pPr>
      <w:r w:rsidRPr="003C684F">
        <w:rPr>
          <w:rFonts w:hint="eastAsia" w:ascii="黑体" w:hAnsi="黑体" w:eastAsia="黑体"/>
          <w:color w:val="000000"/>
          <w:sz w:val="32"/>
          <w:szCs w:val="32"/>
        </w:rPr>
        <w:t>四、索拉非尼 Sorafenib</w:t>
      </w:r>
    </w:p>
    <w:p w:rsidRPr="003C684F" w:rsidR="009730C1" w:rsidRDefault="00A315B9" w14:paraId="39C6AF9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片剂：200mg</w:t>
      </w:r>
    </w:p>
    <w:p w:rsidRPr="003C684F" w:rsidR="009730C1" w:rsidRDefault="00A315B9" w14:paraId="164B1EDB"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治疗局部复发或转移的进展性的放射性碘难治性分化型甲状腺癌。</w:t>
      </w:r>
    </w:p>
    <w:p w:rsidRPr="003C684F" w:rsidR="009730C1" w:rsidRDefault="00A315B9" w14:paraId="5AEB79B8"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6A97099" w14:textId="77042A2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1.空腹给药，用药前无需进行基因检测。若长期病情稳定，</w:t>
      </w:r>
      <w:r w:rsidRPr="003C684F" w:rsidR="00C03193">
        <w:rPr>
          <w:rFonts w:hint="eastAsia" w:ascii="仿宋" w:hAnsi="仿宋" w:eastAsia="仿宋"/>
          <w:color w:val="000000"/>
          <w:sz w:val="32"/>
          <w:szCs w:val="32"/>
        </w:rPr>
        <w:t>无需</w:t>
      </w:r>
      <w:r w:rsidRPr="003C684F">
        <w:rPr>
          <w:rFonts w:hint="eastAsia" w:ascii="仿宋" w:hAnsi="仿宋" w:eastAsia="仿宋"/>
          <w:color w:val="000000"/>
          <w:sz w:val="32"/>
          <w:szCs w:val="32"/>
        </w:rPr>
        <w:t>服用此类药物。</w:t>
      </w:r>
    </w:p>
    <w:p w:rsidRPr="003C684F" w:rsidR="009730C1" w:rsidRDefault="00A315B9" w14:paraId="7D514E82"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2.存在可疑的药物不良反应时，可能需要暂停和/或减少索拉非尼剂量。</w:t>
      </w:r>
    </w:p>
    <w:p w:rsidRPr="003C684F" w:rsidR="009730C1" w:rsidRDefault="00A315B9" w14:paraId="333DC285"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3.最常见的不良反应有腹泻、乏力、脱发、感染、手足皮肤反应、皮疹。</w:t>
      </w:r>
    </w:p>
    <w:p w:rsidRPr="003C684F" w:rsidR="009730C1" w:rsidRDefault="00A315B9" w14:paraId="6351E1FF" w14:textId="78BDD9B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4.与UGT1A1途径代谢/清除的药物联合应用时，需谨慎；与多西他赛联合应用时，需谨慎；与CYP3A4诱导剂联合应用时可导致索拉非尼的药物浓度降低；与新霉素联合应用可导致索拉非尼的暴露量下降。</w:t>
      </w:r>
    </w:p>
    <w:p w:rsidRPr="003C684F" w:rsidR="009730C1" w:rsidRDefault="00A315B9" w14:paraId="5757EA66" w14:textId="77777777">
      <w:pPr>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五、仑伐替尼 Lenvatinib</w:t>
      </w:r>
    </w:p>
    <w:p w:rsidRPr="003C684F" w:rsidR="009730C1" w:rsidRDefault="00A315B9" w14:paraId="62C82112"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胶囊：4mg、10mg</w:t>
      </w:r>
    </w:p>
    <w:p w:rsidRPr="003C684F" w:rsidR="009730C1" w:rsidRDefault="00A315B9" w14:paraId="32A99D76"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进展性、局部晚期或转移性放射性碘难治分化型甲状腺癌患者。</w:t>
      </w:r>
    </w:p>
    <w:p w:rsidRPr="003C684F" w:rsidR="009730C1" w:rsidRDefault="00A315B9" w14:paraId="300A7D41"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D73E1BC" w14:textId="1D30DEB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1.推荐剂量为24mg</w:t>
      </w:r>
      <w:r w:rsidRPr="003C684F" w:rsidR="00C65545">
        <w:rPr>
          <w:rFonts w:hint="eastAsia" w:ascii="仿宋" w:hAnsi="仿宋" w:eastAsia="仿宋"/>
          <w:color w:val="000000"/>
          <w:sz w:val="32"/>
          <w:szCs w:val="32"/>
        </w:rPr>
        <w:t>/次</w:t>
      </w:r>
      <w:r w:rsidRPr="003C684F">
        <w:rPr>
          <w:rFonts w:hint="eastAsia" w:ascii="仿宋" w:hAnsi="仿宋" w:eastAsia="仿宋"/>
          <w:color w:val="000000"/>
          <w:sz w:val="32"/>
          <w:szCs w:val="32"/>
        </w:rPr>
        <w:t>，每天一次，</w:t>
      </w:r>
      <w:r w:rsidRPr="003C684F" w:rsidR="00C65545">
        <w:rPr>
          <w:rFonts w:hint="eastAsia" w:ascii="仿宋" w:hAnsi="仿宋" w:eastAsia="仿宋"/>
          <w:color w:val="000000"/>
          <w:sz w:val="32"/>
          <w:szCs w:val="32"/>
        </w:rPr>
        <w:t>口服，</w:t>
      </w:r>
      <w:r w:rsidRPr="003C684F">
        <w:rPr>
          <w:rFonts w:hint="eastAsia" w:ascii="仿宋" w:hAnsi="仿宋" w:eastAsia="仿宋"/>
          <w:color w:val="000000"/>
          <w:sz w:val="32"/>
          <w:szCs w:val="32"/>
        </w:rPr>
        <w:t>应持续治疗</w:t>
      </w:r>
      <w:r w:rsidRPr="003C684F" w:rsidR="00C65545">
        <w:rPr>
          <w:rFonts w:hint="eastAsia" w:ascii="仿宋" w:hAnsi="仿宋" w:eastAsia="仿宋"/>
          <w:color w:val="000000"/>
          <w:sz w:val="32"/>
          <w:szCs w:val="32"/>
        </w:rPr>
        <w:t>直</w:t>
      </w:r>
      <w:r w:rsidRPr="003C684F">
        <w:rPr>
          <w:rFonts w:hint="eastAsia" w:ascii="仿宋" w:hAnsi="仿宋" w:eastAsia="仿宋"/>
          <w:color w:val="000000"/>
          <w:sz w:val="32"/>
          <w:szCs w:val="32"/>
        </w:rPr>
        <w:t>至疾病进展或</w:t>
      </w:r>
      <w:r w:rsidRPr="003C684F" w:rsidR="00614A26">
        <w:rPr>
          <w:rFonts w:hint="eastAsia" w:ascii="仿宋" w:hAnsi="仿宋" w:eastAsia="仿宋"/>
          <w:color w:val="000000"/>
          <w:sz w:val="32"/>
          <w:szCs w:val="32"/>
        </w:rPr>
        <w:t>出现</w:t>
      </w:r>
      <w:r w:rsidRPr="003C684F" w:rsidR="004B304F">
        <w:rPr>
          <w:rFonts w:hint="eastAsia" w:ascii="仿宋" w:hAnsi="仿宋" w:eastAsia="仿宋"/>
          <w:color w:val="000000"/>
          <w:sz w:val="32"/>
          <w:szCs w:val="32"/>
        </w:rPr>
        <w:t>不可耐受的毒性</w:t>
      </w:r>
      <w:r w:rsidRPr="003C684F">
        <w:rPr>
          <w:rFonts w:hint="eastAsia" w:ascii="仿宋" w:hAnsi="仿宋" w:eastAsia="仿宋"/>
          <w:color w:val="000000"/>
          <w:sz w:val="32"/>
          <w:szCs w:val="32"/>
        </w:rPr>
        <w:t>。</w:t>
      </w:r>
    </w:p>
    <w:p w:rsidRPr="003C684F" w:rsidR="009730C1" w:rsidRDefault="00A315B9" w14:paraId="01A7A8D7"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2.在接受仑伐替尼的患者中，应谨慎使用己知具有较窄治疗指数的CYP3A4底物（例如阿司咪唑、特非那定、西沙必利、匹莫齐特、奎尼丁、苄普地尔）或麦角生物碱（麦角胺、二氢麦角胺）。</w:t>
      </w:r>
    </w:p>
    <w:p w:rsidRPr="003C684F" w:rsidR="009730C1" w:rsidRDefault="00A315B9" w14:paraId="1804F4C8" w14:textId="2B4FF60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3.用药过程需密切监测不良反应的发生。在甲状腺癌治疗中，最常见的不良反应（＞30%）为高血压、疲乏、腹泻、关节痛/肌痛、食欲下降、体重减轻、恶心、口腔黏膜炎、</w:t>
      </w:r>
      <w:r w:rsidRPr="003C684F">
        <w:rPr>
          <w:rFonts w:hint="eastAsia" w:ascii="仿宋" w:hAnsi="仿宋" w:eastAsia="仿宋"/>
          <w:color w:val="000000"/>
          <w:sz w:val="32"/>
          <w:szCs w:val="32"/>
        </w:rPr>
        <w:lastRenderedPageBreak/>
        <w:t>头痛、呕吐、蛋白尿等。必要时减量、暂停用药或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w:t>
      </w:r>
    </w:p>
    <w:p w:rsidRPr="003C684F" w:rsidR="009730C1" w:rsidRDefault="00A315B9" w14:paraId="112F6ABC"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4.一旦出现持续性或不可耐受的2～3级不良反应，应当暂停给药，直至缓解至0～1级或基线水平，按调整后减量推荐：20mg→14mg→10mg的日剂量减量。</w:t>
      </w:r>
    </w:p>
    <w:p w:rsidRPr="003C684F" w:rsidR="009730C1" w:rsidRDefault="00A315B9" w14:paraId="631E779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5.严重肾功能损伤和肝功能损伤的患者，仑伐替尼的剂量应改为10mg。</w:t>
      </w:r>
    </w:p>
    <w:p w:rsidRPr="003C684F" w:rsidR="009730C1" w:rsidRDefault="00A315B9" w14:paraId="22DFA4E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6.仑伐替尼应在每天固定时间服用，空腹或与食物同服均可。如果患者遗漏一次用药且无法在12小时内服用，无需补服，应按常规用药时间进行下一次服药。</w:t>
      </w:r>
    </w:p>
    <w:p w:rsidRPr="003C684F" w:rsidR="009730C1" w:rsidP="0037660B" w:rsidRDefault="00A315B9" w14:paraId="78C6126C"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六、安罗替尼 Anlotinib</w:t>
      </w:r>
    </w:p>
    <w:p w:rsidRPr="003C684F" w:rsidR="009730C1" w:rsidRDefault="00A315B9" w14:paraId="61BDB7A3"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胶囊：8mg、10mg、12mg</w:t>
      </w:r>
    </w:p>
    <w:p w:rsidRPr="003C684F" w:rsidR="00F12ED6" w:rsidRDefault="00A315B9" w14:paraId="463AD28A"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P="00F12ED6" w:rsidRDefault="00F12ED6" w14:paraId="59ABC84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sidR="00A315B9">
        <w:rPr>
          <w:rFonts w:hint="eastAsia" w:ascii="仿宋" w:hAnsi="仿宋" w:eastAsia="仿宋"/>
          <w:color w:val="000000"/>
          <w:sz w:val="32"/>
          <w:szCs w:val="32"/>
        </w:rPr>
        <w:t>用于具有临床症状或明确疾病进展的、不可切除的局部晚期或转移性甲状腺髓样癌患者的治疗。</w:t>
      </w:r>
    </w:p>
    <w:p w:rsidRPr="003C684F" w:rsidR="00F12ED6" w:rsidP="00F12ED6" w:rsidRDefault="00F12ED6" w14:paraId="2E303FD0"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2.用于进展性、局部晚期或转移性放射性碘难治性分化型甲状腺癌患者。</w:t>
      </w:r>
    </w:p>
    <w:p w:rsidRPr="003C684F" w:rsidR="009730C1" w:rsidRDefault="00A315B9" w14:paraId="0C0CE27C"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559734E" w14:textId="2FF1759D">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1.安罗替尼的推荐剂量为12mg/次，每天一次，早餐前口服。连续服药2周，停药1周，即3周（21天）为一个疗程。直至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用药期间如出现漏服，确认距下次用药时间短于12小时，则不再补服。</w:t>
      </w:r>
    </w:p>
    <w:p w:rsidRPr="003C684F" w:rsidR="009730C1" w:rsidRDefault="00A315B9" w14:paraId="33A96362"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2.本品使用过程中应密切监测不良反应，并根据不良反</w:t>
      </w:r>
      <w:r w:rsidRPr="003C684F">
        <w:rPr>
          <w:rFonts w:hint="eastAsia" w:ascii="仿宋" w:hAnsi="仿宋" w:eastAsia="仿宋"/>
          <w:color w:val="000000"/>
          <w:sz w:val="32"/>
          <w:szCs w:val="32"/>
        </w:rPr>
        <w:lastRenderedPageBreak/>
        <w:t>应情况进行调整以使患者能够耐受治疗。本品所致的不良反应可通过对症治疗、暂停用药和/或调整剂量等方式处理。</w:t>
      </w:r>
    </w:p>
    <w:p w:rsidRPr="003C684F" w:rsidR="009730C1" w:rsidRDefault="00A315B9" w14:paraId="04567D99" w14:textId="4544653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3.根据不良反应程度分级管理（非出血相关不良反应）。如出现3级不良反应需暂停用药，直至不良反应恢复至＜2级后下调一个剂量（12mg→10mg→8mg）继续用药，若不良反应持续超过2周</w:t>
      </w:r>
      <w:r w:rsidRPr="003C684F" w:rsidR="00373DC1">
        <w:rPr>
          <w:rFonts w:hint="eastAsia" w:ascii="仿宋" w:hAnsi="仿宋" w:eastAsia="仿宋"/>
          <w:color w:val="000000"/>
          <w:sz w:val="32"/>
          <w:szCs w:val="32"/>
        </w:rPr>
        <w:t>应永久停用</w:t>
      </w:r>
      <w:r w:rsidRPr="003C684F">
        <w:rPr>
          <w:rFonts w:hint="eastAsia" w:ascii="仿宋" w:hAnsi="仿宋" w:eastAsia="仿宋"/>
          <w:color w:val="000000"/>
          <w:sz w:val="32"/>
          <w:szCs w:val="32"/>
        </w:rPr>
        <w:t>。如出现4级不良反应应考虑</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w:t>
      </w:r>
    </w:p>
    <w:p w:rsidRPr="003C684F" w:rsidR="009730C1" w:rsidRDefault="00A315B9" w14:paraId="051D05A4"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4.安罗替尼的重要不良反应包括：出血、高血压、蛋白尿、手足综合征、腹泻、心肌缺血等。</w:t>
      </w:r>
    </w:p>
    <w:p w:rsidRPr="003C684F" w:rsidR="009730C1" w:rsidRDefault="00A315B9" w14:paraId="456E1AC0" w14:textId="3F0DEF8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5.在治疗期间应对患者的出血相关体征和症状进行监测。具有出血风险、凝血功能异常的患者应慎用，服用期间应严密监测血小板、凝血酶原时间。出现2级出血事件的患者应暂停安罗替尼治疗，如</w:t>
      </w:r>
      <w:r w:rsidRPr="003C684F" w:rsidR="009B5B90">
        <w:rPr>
          <w:rFonts w:hint="eastAsia" w:ascii="仿宋" w:hAnsi="仿宋" w:eastAsia="仿宋"/>
          <w:color w:val="000000"/>
          <w:sz w:val="32"/>
          <w:szCs w:val="32"/>
        </w:rPr>
        <w:t>2周</w:t>
      </w:r>
      <w:r w:rsidRPr="003C684F">
        <w:rPr>
          <w:rFonts w:hint="eastAsia" w:ascii="仿宋" w:hAnsi="仿宋" w:eastAsia="仿宋"/>
          <w:color w:val="000000"/>
          <w:sz w:val="32"/>
          <w:szCs w:val="32"/>
        </w:rPr>
        <w:t>内恢复至＜2级，则下调一个剂量继续用药。如再次出血，应</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。一旦出现3级或以上的出血事件，</w:t>
      </w:r>
      <w:r w:rsidRPr="003C684F" w:rsidR="00373DC1">
        <w:rPr>
          <w:rFonts w:hint="eastAsia" w:ascii="仿宋" w:hAnsi="仿宋" w:eastAsia="仿宋"/>
          <w:color w:val="000000"/>
          <w:sz w:val="32"/>
          <w:szCs w:val="32"/>
        </w:rPr>
        <w:t>应永久停用</w:t>
      </w:r>
      <w:r w:rsidRPr="003C684F">
        <w:rPr>
          <w:rFonts w:hint="eastAsia" w:ascii="仿宋" w:hAnsi="仿宋" w:eastAsia="仿宋"/>
          <w:color w:val="000000"/>
          <w:sz w:val="32"/>
          <w:szCs w:val="32"/>
        </w:rPr>
        <w:t>。</w:t>
      </w:r>
    </w:p>
    <w:p w:rsidRPr="003C684F" w:rsidR="009730C1" w:rsidRDefault="00A315B9" w14:paraId="2C051E1B"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6.因临床试验排除了存在出血体质迹象或病史，用药前4周内出现≥3级的任何出血事件、存在未愈合创口、溃疡或骨折，具有以上风险的患者应在医师指导下使用。</w:t>
      </w:r>
    </w:p>
    <w:p w:rsidRPr="003C684F" w:rsidR="009730C1" w:rsidP="0037660B" w:rsidRDefault="00A315B9" w14:paraId="5B60A9EE"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七、纳武利尤单抗 Nivolumab</w:t>
      </w:r>
    </w:p>
    <w:p w:rsidRPr="003C684F" w:rsidR="009730C1" w:rsidRDefault="00A315B9" w14:paraId="2663EB2D"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：40mg（4ml）/瓶、100mg（10ml）/瓶</w:t>
      </w:r>
    </w:p>
    <w:p w:rsidRPr="003C684F" w:rsidR="009730C1" w:rsidRDefault="00A315B9" w14:paraId="6241DD69"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本品适用于治疗接受含铂类方案治疗期间或之</w:t>
      </w:r>
      <w:r w:rsidRPr="003C684F">
        <w:rPr>
          <w:rFonts w:hint="eastAsia" w:ascii="仿宋" w:hAnsi="仿宋" w:eastAsia="仿宋"/>
          <w:color w:val="000000"/>
          <w:sz w:val="32"/>
          <w:szCs w:val="32"/>
        </w:rPr>
        <w:lastRenderedPageBreak/>
        <w:t>后出现疾病进展且肿瘤PD-L1表达阳性（定义为表达PD-L1的肿瘤细胞≥1%）的复发性或转移性头颈部鳞癌患者。</w:t>
      </w:r>
    </w:p>
    <w:p w:rsidRPr="003C684F" w:rsidR="009730C1" w:rsidRDefault="00A315B9" w14:paraId="13D7EA9A"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D4FC72C" w14:textId="09CCADDE">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1.对于接受含铂类方案治疗期间或之后出现疾病进展且肿瘤PD-L1表达阳性（定义为表达PD-L1的肿瘤细胞≥1%）的复发性或转移性头颈部鳞癌患者推荐给药方案为</w:t>
      </w:r>
      <w:r w:rsidRPr="003C684F" w:rsidR="00B35D20">
        <w:rPr>
          <w:rFonts w:hint="eastAsia" w:ascii="仿宋" w:hAnsi="仿宋" w:eastAsia="仿宋"/>
          <w:color w:val="000000"/>
          <w:sz w:val="32"/>
          <w:szCs w:val="32"/>
        </w:rPr>
        <w:t>3mg/kg或240mg/次固定剂量，每2周一次，30分钟静脉输注，</w:t>
      </w:r>
      <w:r w:rsidRPr="003C684F">
        <w:rPr>
          <w:rFonts w:hint="eastAsia" w:ascii="仿宋" w:hAnsi="仿宋" w:eastAsia="仿宋"/>
          <w:color w:val="000000"/>
          <w:sz w:val="32"/>
          <w:szCs w:val="32"/>
        </w:rPr>
        <w:t>直至疾病进展或</w:t>
      </w:r>
      <w:r w:rsidRPr="003C684F" w:rsidR="00C16C06">
        <w:rPr>
          <w:rFonts w:hint="eastAsia" w:ascii="仿宋" w:hAnsi="仿宋" w:eastAsia="仿宋"/>
          <w:color w:val="000000"/>
          <w:sz w:val="32"/>
          <w:szCs w:val="32"/>
        </w:rPr>
        <w:t>出现</w:t>
      </w:r>
      <w:r w:rsidRPr="003C684F">
        <w:rPr>
          <w:rFonts w:hint="eastAsia" w:ascii="仿宋" w:hAnsi="仿宋" w:eastAsia="仿宋"/>
          <w:color w:val="000000"/>
          <w:sz w:val="32"/>
          <w:szCs w:val="32"/>
        </w:rPr>
        <w:t>不可耐受的毒性。只要观察到临床获益，应继续本品治疗，直至患者不能耐受。有可能观察到非典型反应。如果患者临床症状稳定或持续减轻，即使有疾病进展的初步证据，基于总体临床获益的判断，可考虑继续应用本品治疗，直至证实疾病进展。根据个体患者的安全性和耐受性，可能需要暂停给药或</w:t>
      </w:r>
      <w:r w:rsidRPr="003C684F" w:rsidR="009D63EE">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5898C9C9" w14:textId="48294ED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纳武利尤单抗可引起免疫相关性不良反应，应持续进行患者监测（至少至末次给药后5个月），因为不良反应可能在纳武利尤单抗治疗期间或纳武利尤单抗治疗停止后的任何时间发生。对于疑似免疫相关性不良反应，应进行充分的评估以确认病因或排除其他病因。根据不良反应的严重程度，应暂停纳武利尤单抗治疗并给予糖皮质激素。若使用糖皮质激素免疫抑制疗法治疗不良反应，症状改善后，需至少1个月的时间逐渐减量至停药。快速减量可能引起不良反应恶化或复发。如果虽使用了糖皮质激素但仍恶化或无改善，</w:t>
      </w:r>
      <w:r w:rsidRPr="003C684F">
        <w:rPr>
          <w:rFonts w:hint="eastAsia" w:ascii="仿宋" w:hAnsi="仿宋" w:eastAsia="仿宋"/>
          <w:color w:val="000000"/>
          <w:sz w:val="32"/>
          <w:szCs w:val="32"/>
        </w:rPr>
        <w:lastRenderedPageBreak/>
        <w:t>则应增加非糖皮质激素免疫抑制剂治疗。在患者接受免疫抑制剂量的糖皮质激素或其他免疫抑制剂治疗期间，不可重新使用纳武利尤单抗治疗。在接受免疫抑制剂治疗的患者中，应使用预防性抗生素预防机会性感染。若出现任何重度、复发的免疫相关性不良反应以及任何危及生命的免疫相关性不良反应，必须永久停</w:t>
      </w:r>
      <w:r w:rsidRPr="003C684F" w:rsidR="00D90505">
        <w:rPr>
          <w:rFonts w:hint="eastAsia" w:ascii="仿宋" w:hAnsi="仿宋" w:eastAsia="仿宋"/>
          <w:color w:val="000000"/>
          <w:sz w:val="32"/>
          <w:szCs w:val="32"/>
        </w:rPr>
        <w:t>用</w:t>
      </w:r>
      <w:r w:rsidRPr="003C684F">
        <w:rPr>
          <w:rFonts w:hint="eastAsia" w:ascii="仿宋" w:hAnsi="仿宋" w:eastAsia="仿宋"/>
          <w:color w:val="000000"/>
          <w:sz w:val="32"/>
          <w:szCs w:val="32"/>
        </w:rPr>
        <w:t>纳武利尤单抗。</w:t>
      </w:r>
    </w:p>
    <w:p w:rsidRPr="003C684F" w:rsidR="009730C1" w:rsidRDefault="00A315B9" w14:paraId="788205F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3.出现轻中度输液反应的患者在接受纳武利尤单抗治疗时应密切监测，并依照输液反应的治疗指南预防用药。如果出现重度或危及生命的输液反应，必须停止纳武利尤单抗治疗，给予适当的药物治疗。</w:t>
      </w:r>
    </w:p>
    <w:p w:rsidRPr="003C684F" w:rsidR="009730C1" w:rsidRDefault="00A315B9" w14:paraId="2F2B24A1" w14:textId="37AFEF0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4.纳武利尤单抗有可能会经母体</w:t>
      </w:r>
      <w:r w:rsidR="002504D2">
        <w:rPr>
          <w:rFonts w:hint="eastAsia" w:ascii="仿宋" w:hAnsi="仿宋" w:eastAsia="仿宋"/>
          <w:color w:val="000000"/>
          <w:sz w:val="32"/>
          <w:szCs w:val="32"/>
        </w:rPr>
        <w:t>转运</w:t>
      </w:r>
      <w:r w:rsidRPr="003C684F">
        <w:rPr>
          <w:rFonts w:hint="eastAsia" w:ascii="仿宋" w:hAnsi="仿宋" w:eastAsia="仿宋"/>
          <w:color w:val="000000"/>
          <w:sz w:val="32"/>
          <w:szCs w:val="32"/>
        </w:rPr>
        <w:t>至发育中的胎儿。不建议在妊娠期间、在不采用有效避孕措施的育龄期女性中使用纳武利尤单抗，除非临床获益大于潜在风险。应在最后一次应用纳武利尤单抗后至少5个月内采用有效避孕措施。无法排除会对新生儿/婴儿造成风险，在考虑母乳喂养对孩子的益处以及治疗对妇女的益处后，必须做出是停止母乳喂养还是停止纳武利尤单抗治疗的决定。</w:t>
      </w:r>
    </w:p>
    <w:p w:rsidRPr="003C684F" w:rsidR="009730C1" w:rsidRDefault="00A315B9" w14:paraId="2528F6F4" w14:textId="0E19A64F">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5.尚未确</w:t>
      </w:r>
      <w:r w:rsidRPr="003C684F" w:rsidR="00242E9A">
        <w:rPr>
          <w:rFonts w:hint="eastAsia" w:ascii="仿宋" w:hAnsi="仿宋" w:eastAsia="仿宋"/>
          <w:color w:val="000000"/>
          <w:sz w:val="32"/>
          <w:szCs w:val="32"/>
        </w:rPr>
        <w:t>定</w:t>
      </w:r>
      <w:r w:rsidRPr="003C684F">
        <w:rPr>
          <w:rFonts w:hint="eastAsia" w:ascii="仿宋" w:hAnsi="仿宋" w:eastAsia="仿宋"/>
          <w:color w:val="000000"/>
          <w:sz w:val="32"/>
          <w:szCs w:val="32"/>
        </w:rPr>
        <w:t>本品在</w:t>
      </w:r>
      <w:r w:rsidRPr="003C684F" w:rsidR="006E6B54">
        <w:rPr>
          <w:rFonts w:hint="eastAsia" w:ascii="仿宋" w:hAnsi="仿宋" w:eastAsia="仿宋"/>
          <w:color w:val="000000"/>
          <w:sz w:val="32"/>
          <w:szCs w:val="32"/>
        </w:rPr>
        <w:t>18岁以下儿童和青少年患者</w:t>
      </w:r>
      <w:r w:rsidRPr="003C684F">
        <w:rPr>
          <w:rFonts w:hint="eastAsia" w:ascii="仿宋" w:hAnsi="仿宋" w:eastAsia="仿宋"/>
          <w:color w:val="000000"/>
          <w:sz w:val="32"/>
          <w:szCs w:val="32"/>
        </w:rPr>
        <w:t>的安全性和有效性，在</w:t>
      </w:r>
      <w:r w:rsidRPr="003C684F" w:rsidR="00F908A1">
        <w:rPr>
          <w:rFonts w:hint="eastAsia" w:ascii="仿宋" w:hAnsi="仿宋" w:eastAsia="仿宋"/>
          <w:color w:val="000000"/>
          <w:sz w:val="32"/>
          <w:szCs w:val="32"/>
        </w:rPr>
        <w:t>老年患者</w:t>
      </w:r>
      <w:r w:rsidRPr="003C684F">
        <w:rPr>
          <w:rFonts w:hint="eastAsia" w:ascii="仿宋" w:hAnsi="仿宋" w:eastAsia="仿宋"/>
          <w:color w:val="000000"/>
          <w:sz w:val="32"/>
          <w:szCs w:val="32"/>
        </w:rPr>
        <w:t>中无需调整剂量。</w:t>
      </w:r>
    </w:p>
    <w:p w:rsidRPr="003C684F" w:rsidR="009730C1" w:rsidRDefault="00A315B9" w14:paraId="2F96A68A"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6.轻中度肾功能损伤患者无需调整剂量。重度肾功能损伤患者的数据有限。轻中度肝功能损伤患者无需调整剂量，没有对重度肝功能损伤患者进行本品的相关研究，重度（总</w:t>
      </w:r>
      <w:r w:rsidRPr="003C684F">
        <w:rPr>
          <w:rFonts w:hint="eastAsia" w:ascii="仿宋" w:hAnsi="仿宋" w:eastAsia="仿宋"/>
          <w:color w:val="000000"/>
          <w:sz w:val="32"/>
          <w:szCs w:val="32"/>
        </w:rPr>
        <w:lastRenderedPageBreak/>
        <w:t>胆红素＞3倍ULN）肝功能损伤患者必须慎用本品。</w:t>
      </w:r>
    </w:p>
    <w:p w:rsidRPr="003C684F" w:rsidR="009730C1" w:rsidRDefault="00A315B9" w14:paraId="417FC2F1"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7.应避免在基线开始纳武利尤单抗治疗前使用全身性糖皮质激素及其他免疫抑制剂。</w:t>
      </w:r>
    </w:p>
    <w:p w:rsidRPr="003C684F" w:rsidR="009730C1" w:rsidRDefault="00A315B9" w14:paraId="5D6663FA" w14:textId="77777777">
      <w:pPr>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八、西妥昔单抗 Cetuximab</w:t>
      </w:r>
    </w:p>
    <w:p w:rsidRPr="003C684F" w:rsidR="009730C1" w:rsidRDefault="00A315B9" w14:paraId="3C165226"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：100mg（20ml）/瓶</w:t>
      </w:r>
    </w:p>
    <w:p w:rsidRPr="003C684F" w:rsidR="009730C1" w:rsidRDefault="00A315B9" w14:paraId="3F5A5DF6"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08D37E43" w14:textId="7D1FC2AC">
      <w:pPr>
        <w:ind w:firstLine="640" w:firstLineChars="200"/>
        <w:rPr>
          <w:rFonts w:ascii="仿宋" w:hAnsi="仿宋" w:eastAsia="仿宋"/>
          <w:color w:val="000000"/>
          <w:sz w:val="32"/>
          <w:szCs w:val="32"/>
        </w:rPr>
      </w:pPr>
      <w:r w:rsidRPr="003C684F">
        <w:rPr>
          <w:rFonts w:ascii="仿宋" w:hAnsi="仿宋" w:eastAsia="仿宋"/>
          <w:color w:val="000000"/>
          <w:sz w:val="32"/>
          <w:szCs w:val="32"/>
        </w:rPr>
        <w:t>1.</w:t>
      </w:r>
      <w:r w:rsidRPr="003C684F">
        <w:rPr>
          <w:rFonts w:hint="eastAsia" w:ascii="仿宋" w:hAnsi="仿宋" w:eastAsia="仿宋"/>
          <w:color w:val="000000"/>
          <w:sz w:val="32"/>
          <w:szCs w:val="32"/>
        </w:rPr>
        <w:t>与铂类和氟尿嘧啶化疗</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于一线治疗复发和</w:t>
      </w:r>
      <w:r w:rsidRPr="003C684F">
        <w:rPr>
          <w:rFonts w:ascii="仿宋" w:hAnsi="仿宋" w:eastAsia="仿宋"/>
          <w:color w:val="000000"/>
          <w:sz w:val="32"/>
          <w:szCs w:val="32"/>
        </w:rPr>
        <w:t>/或转移性头颈部</w:t>
      </w:r>
      <w:r w:rsidRPr="003C684F">
        <w:rPr>
          <w:rFonts w:hint="eastAsia" w:ascii="仿宋" w:hAnsi="仿宋" w:eastAsia="仿宋"/>
          <w:color w:val="000000"/>
          <w:sz w:val="32"/>
          <w:szCs w:val="32"/>
        </w:rPr>
        <w:t>鳞癌。</w:t>
      </w:r>
    </w:p>
    <w:p w:rsidRPr="003C684F" w:rsidR="009730C1" w:rsidRDefault="00A315B9" w14:paraId="349F864A" w14:textId="263803CB">
      <w:pPr>
        <w:ind w:firstLine="640" w:firstLineChars="200"/>
        <w:rPr>
          <w:rFonts w:ascii="仿宋" w:hAnsi="仿宋" w:eastAsia="仿宋"/>
          <w:color w:val="000000"/>
          <w:sz w:val="32"/>
          <w:szCs w:val="32"/>
        </w:rPr>
      </w:pPr>
      <w:r w:rsidRPr="003C684F">
        <w:rPr>
          <w:rFonts w:ascii="仿宋" w:hAnsi="仿宋" w:eastAsia="仿宋"/>
          <w:color w:val="000000"/>
          <w:sz w:val="32"/>
          <w:szCs w:val="32"/>
        </w:rPr>
        <w:t>2.</w:t>
      </w:r>
      <w:r w:rsidRPr="003C684F">
        <w:rPr>
          <w:rFonts w:hint="eastAsia" w:ascii="仿宋" w:hAnsi="仿宋" w:eastAsia="仿宋"/>
          <w:color w:val="000000"/>
          <w:sz w:val="32"/>
          <w:szCs w:val="32"/>
        </w:rPr>
        <w:t>与放疗</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于治疗局部晚期头颈部鳞癌。</w:t>
      </w:r>
    </w:p>
    <w:p w:rsidRPr="003C684F" w:rsidR="009730C1" w:rsidRDefault="00A315B9" w14:paraId="66EF9654"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1066FF5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1.本品必须在有抗肿瘤药物使用经验的医师指导下使用。在用药过程中及用药结束后1小时内，需密切监测患者的状况，并必须配备复苏设备。</w:t>
      </w:r>
    </w:p>
    <w:p w:rsidRPr="003C684F" w:rsidR="009730C1" w:rsidRDefault="00A315B9" w14:paraId="19F3C682" w14:textId="0662C281">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2.在首次滴注本品之前至少1小时，患者必须接受</w:t>
      </w:r>
      <w:r w:rsidR="00033474">
        <w:rPr>
          <w:rFonts w:hint="eastAsia" w:ascii="仿宋" w:hAnsi="仿宋" w:eastAsia="仿宋"/>
          <w:color w:val="000000"/>
          <w:sz w:val="32"/>
          <w:szCs w:val="32"/>
        </w:rPr>
        <w:t>H</w:t>
      </w:r>
      <w:r w:rsidRPr="00033474" w:rsidR="00033474">
        <w:rPr>
          <w:rFonts w:hint="eastAsia" w:ascii="仿宋" w:hAnsi="仿宋" w:eastAsia="仿宋"/>
          <w:color w:val="000000"/>
          <w:sz w:val="32"/>
          <w:szCs w:val="32"/>
          <w:vertAlign w:val="subscript"/>
        </w:rPr>
        <w:t>1</w:t>
      </w:r>
      <w:r w:rsidR="00033474">
        <w:rPr>
          <w:rFonts w:hint="eastAsia" w:ascii="仿宋" w:hAnsi="仿宋" w:eastAsia="仿宋"/>
          <w:color w:val="000000"/>
          <w:sz w:val="32"/>
          <w:szCs w:val="32"/>
        </w:rPr>
        <w:t>受体阻滞剂</w:t>
      </w:r>
      <w:r w:rsidRPr="003C684F">
        <w:rPr>
          <w:rFonts w:hint="eastAsia" w:ascii="仿宋" w:hAnsi="仿宋" w:eastAsia="仿宋"/>
          <w:color w:val="000000"/>
          <w:sz w:val="32"/>
          <w:szCs w:val="32"/>
        </w:rPr>
        <w:t>和/或糖皮质激素药物的预防用药。建议在后续治疗中，每次使用本品前都给予患者上述预防用药。</w:t>
      </w:r>
    </w:p>
    <w:p w:rsidRPr="003C684F" w:rsidR="009730C1" w:rsidRDefault="005E4B40" w14:paraId="38131968" w14:textId="57C4AEE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w:t>
      </w:r>
      <w:r w:rsidRPr="003C684F" w:rsidR="00A315B9">
        <w:rPr>
          <w:rFonts w:hint="eastAsia" w:ascii="仿宋" w:hAnsi="仿宋" w:eastAsia="仿宋"/>
          <w:color w:val="000000"/>
          <w:sz w:val="32"/>
          <w:szCs w:val="32"/>
        </w:rPr>
        <w:t>.所有适应证，初始剂量按体表面积为400mg/㎡，之后每周给药剂量按体表面积为250mg/㎡</w:t>
      </w:r>
      <w:r w:rsidRPr="003C684F" w:rsidR="00B10B49">
        <w:rPr>
          <w:rFonts w:hint="eastAsia" w:ascii="仿宋" w:hAnsi="仿宋" w:eastAsia="仿宋"/>
          <w:color w:val="000000"/>
          <w:sz w:val="32"/>
          <w:szCs w:val="32"/>
        </w:rPr>
        <w:t>，每周一次，静脉输注</w:t>
      </w:r>
      <w:r w:rsidRPr="003C684F" w:rsidR="00A315B9">
        <w:rPr>
          <w:rFonts w:hint="eastAsia" w:ascii="仿宋" w:hAnsi="仿宋" w:eastAsia="仿宋"/>
          <w:color w:val="000000"/>
          <w:sz w:val="32"/>
          <w:szCs w:val="32"/>
        </w:rPr>
        <w:t>。</w:t>
      </w:r>
    </w:p>
    <w:p w:rsidRPr="003C684F" w:rsidR="009730C1" w:rsidRDefault="005E4B40" w14:paraId="4FC27CC1" w14:textId="1784C61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w:t>
      </w:r>
      <w:r w:rsidRPr="003C684F" w:rsidR="00A315B9">
        <w:rPr>
          <w:rFonts w:hint="eastAsia" w:ascii="仿宋" w:hAnsi="仿宋" w:eastAsia="仿宋"/>
          <w:color w:val="000000"/>
          <w:sz w:val="32"/>
          <w:szCs w:val="32"/>
        </w:rPr>
        <w:t>.本品与铂类化合物为基础的化疗药物联合应用于复发和/或转移性头颈部鳞癌的治疗，随后继续使用本品进行维持治疗，直至疾病进展。化疗药物的使用必须在本品滴注结束1小时之后开始。</w:t>
      </w:r>
    </w:p>
    <w:p w:rsidRPr="003C684F" w:rsidR="009730C1" w:rsidRDefault="005E4B40" w14:paraId="7338C703" w14:textId="26A0BC6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lastRenderedPageBreak/>
        <w:t>5</w:t>
      </w:r>
      <w:r w:rsidRPr="003C684F" w:rsidR="00A315B9">
        <w:rPr>
          <w:rFonts w:hint="eastAsia" w:ascii="仿宋" w:hAnsi="仿宋" w:eastAsia="仿宋"/>
          <w:color w:val="000000"/>
          <w:sz w:val="32"/>
          <w:szCs w:val="32"/>
        </w:rPr>
        <w:t>.无论EGFR的表达状况如何，所有有效性终点均证实有临床获益。尚无证据证实EGFR表达等相关标志物检测能预测本品在头颈部鳞癌患者中的疗效。</w:t>
      </w:r>
    </w:p>
    <w:p w:rsidRPr="003C684F" w:rsidR="009730C1" w:rsidRDefault="005E4B40" w14:paraId="6437A231" w14:textId="781F3648">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w:t>
      </w:r>
      <w:r w:rsidRPr="003C684F" w:rsidR="00A315B9">
        <w:rPr>
          <w:rFonts w:hint="eastAsia" w:ascii="仿宋" w:hAnsi="仿宋" w:eastAsia="仿宋"/>
          <w:color w:val="000000"/>
          <w:sz w:val="32"/>
          <w:szCs w:val="32"/>
        </w:rPr>
        <w:t>.全球研究（EXTREME）是一项纳入442例局部复发和/或转移性头颈部鳞癌患者的多中心Ⅲ期研究。中国研究（CHANGE2）是一线治疗中国头颈部复发性和/或转移性鳞癌患者的疗效和安全性的Ⅲ期研究。CHANGE2的有效性结果与EXTREME结果一致。</w:t>
      </w:r>
    </w:p>
    <w:p w:rsidRPr="003C684F" w:rsidR="009730C1" w:rsidRDefault="005E4B40" w14:paraId="4556256A" w14:textId="1EDE316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w:t>
      </w:r>
      <w:r w:rsidRPr="003C684F" w:rsidR="00A315B9">
        <w:rPr>
          <w:rFonts w:hint="eastAsia" w:ascii="仿宋" w:hAnsi="仿宋" w:eastAsia="仿宋"/>
          <w:color w:val="000000"/>
          <w:sz w:val="32"/>
          <w:szCs w:val="32"/>
        </w:rPr>
        <w:t>.本品可使用输液泵、重力滴注或注射泵进行静脉给药。首次给药应缓慢，滴注速度不得超过5mg/min。建议滴注时间为120分钟，随后每周给药的滴注时间为60分钟，滴注速度不得超过10mg/min。</w:t>
      </w:r>
    </w:p>
    <w:p w:rsidRPr="003C684F" w:rsidR="009730C1" w:rsidRDefault="005E4B40" w14:paraId="14E637C4" w14:textId="714118FB">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w:t>
      </w:r>
      <w:r w:rsidRPr="003C684F" w:rsidR="00A315B9">
        <w:rPr>
          <w:rFonts w:hint="eastAsia" w:ascii="仿宋" w:hAnsi="仿宋" w:eastAsia="仿宋"/>
          <w:color w:val="000000"/>
          <w:sz w:val="32"/>
          <w:szCs w:val="32"/>
        </w:rPr>
        <w:t>.本品的主要不良反应有皮肤反应，发生率约80%以上，约超过10%的患者发生低镁血症，10%以上患者发生轻中度的输液反应，1%以上的患者会发生重度输液反应。</w:t>
      </w:r>
    </w:p>
    <w:p w:rsidRPr="003C684F" w:rsidR="009730C1" w:rsidRDefault="005E4B40" w14:paraId="5EF60F07" w14:textId="612239D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9</w:t>
      </w:r>
      <w:r w:rsidRPr="003C684F" w:rsidR="00A315B9">
        <w:rPr>
          <w:rFonts w:hint="eastAsia" w:ascii="仿宋" w:hAnsi="仿宋" w:eastAsia="仿宋"/>
          <w:color w:val="000000"/>
          <w:sz w:val="32"/>
          <w:szCs w:val="32"/>
        </w:rPr>
        <w:t>.尚无儿童患者的用药经验，未确</w:t>
      </w:r>
      <w:r w:rsidRPr="003C684F" w:rsidR="00242E9A">
        <w:rPr>
          <w:rFonts w:hint="eastAsia" w:ascii="仿宋" w:hAnsi="仿宋" w:eastAsia="仿宋"/>
          <w:color w:val="000000"/>
          <w:sz w:val="32"/>
          <w:szCs w:val="32"/>
        </w:rPr>
        <w:t>定</w:t>
      </w:r>
      <w:r w:rsidRPr="003C684F" w:rsidR="00A315B9">
        <w:rPr>
          <w:rFonts w:hint="eastAsia" w:ascii="仿宋" w:hAnsi="仿宋" w:eastAsia="仿宋"/>
          <w:color w:val="000000"/>
          <w:sz w:val="32"/>
          <w:szCs w:val="32"/>
        </w:rPr>
        <w:t>本品在</w:t>
      </w:r>
      <w:r w:rsidRPr="003C684F" w:rsidR="006E6B54">
        <w:rPr>
          <w:rFonts w:hint="eastAsia" w:ascii="仿宋" w:hAnsi="仿宋" w:eastAsia="仿宋"/>
          <w:color w:val="000000"/>
          <w:sz w:val="32"/>
          <w:szCs w:val="32"/>
        </w:rPr>
        <w:t>18岁以下儿童和青少年</w:t>
      </w:r>
      <w:r w:rsidRPr="003C684F" w:rsidR="00A315B9">
        <w:rPr>
          <w:rFonts w:hint="eastAsia" w:ascii="仿宋" w:hAnsi="仿宋" w:eastAsia="仿宋"/>
          <w:color w:val="000000"/>
          <w:sz w:val="32"/>
          <w:szCs w:val="32"/>
        </w:rPr>
        <w:t>患者的</w:t>
      </w:r>
      <w:r w:rsidRPr="003C684F" w:rsidR="007F3658">
        <w:rPr>
          <w:rFonts w:hint="eastAsia" w:ascii="仿宋" w:hAnsi="仿宋" w:eastAsia="仿宋"/>
          <w:color w:val="000000"/>
          <w:sz w:val="32"/>
          <w:szCs w:val="32"/>
        </w:rPr>
        <w:t>安全性和有效性</w:t>
      </w:r>
      <w:r w:rsidRPr="003C684F" w:rsidR="00A315B9">
        <w:rPr>
          <w:rFonts w:hint="eastAsia" w:ascii="仿宋" w:hAnsi="仿宋" w:eastAsia="仿宋"/>
          <w:color w:val="000000"/>
          <w:sz w:val="32"/>
          <w:szCs w:val="32"/>
        </w:rPr>
        <w:t>。老年患者无需调整剂量。75岁以上患者的用药经验有限。</w:t>
      </w:r>
    </w:p>
    <w:p w:rsidRPr="003C684F" w:rsidR="009730C1" w:rsidRDefault="00A315B9" w14:paraId="20AB5B8F" w14:textId="5DF66272">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w:t>
      </w:r>
      <w:r w:rsidRPr="003C684F" w:rsidR="005E4B40">
        <w:rPr>
          <w:rFonts w:hint="eastAsia" w:ascii="仿宋" w:hAnsi="仿宋" w:eastAsia="仿宋"/>
          <w:color w:val="000000"/>
          <w:sz w:val="32"/>
          <w:szCs w:val="32"/>
        </w:rPr>
        <w:t>0</w:t>
      </w:r>
      <w:r w:rsidRPr="003C684F">
        <w:rPr>
          <w:rFonts w:hint="eastAsia" w:ascii="仿宋" w:hAnsi="仿宋" w:eastAsia="仿宋"/>
          <w:color w:val="000000"/>
          <w:sz w:val="32"/>
          <w:szCs w:val="32"/>
        </w:rPr>
        <w:t>.本品的药代动力学不会受种族、年龄、性别、肝肾状况的影响。到目前为止，仅对肝肾功能正常的患者进行过本品的相关研究。</w:t>
      </w:r>
    </w:p>
    <w:p w:rsidRPr="003C684F" w:rsidR="009730C1" w:rsidP="0037660B" w:rsidRDefault="00A315B9" w14:paraId="68E43285"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t>九、帕博利珠单抗 Pembrolizumab</w:t>
      </w:r>
    </w:p>
    <w:p w:rsidRPr="003C684F" w:rsidR="009730C1" w:rsidRDefault="00A315B9" w14:paraId="157313A7"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lastRenderedPageBreak/>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：100mg（4ml）/瓶</w:t>
      </w:r>
    </w:p>
    <w:p w:rsidRPr="003C684F" w:rsidR="009730C1" w:rsidRDefault="00A315B9" w14:paraId="7AC5A064"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用于通过充分验证的检测评估肿瘤表达PD-L1（综合阳性评分≥20）的转移性或不可切除的复发性头颈部鳞癌患者的一线治疗。</w:t>
      </w:r>
    </w:p>
    <w:p w:rsidRPr="003C684F" w:rsidR="009730C1" w:rsidRDefault="00A315B9" w14:paraId="0AA71B69"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7D34105" w14:textId="0E4AFAB1">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1.帕博利珠单抗治疗复发或转移头颈部鳞癌一线适应证是基于全球Ⅲ期KEYNOTE-048临床研究的结果。帕博利珠单抗</w:t>
      </w:r>
      <w:r w:rsidRPr="003C684F" w:rsidR="00E124B8">
        <w:rPr>
          <w:rFonts w:hint="eastAsia" w:ascii="仿宋" w:hAnsi="仿宋" w:eastAsia="仿宋"/>
          <w:color w:val="000000"/>
          <w:sz w:val="32"/>
          <w:szCs w:val="32"/>
        </w:rPr>
        <w:t>推荐剂量是200mg/次，每3周一次，</w:t>
      </w:r>
      <w:r w:rsidRPr="003C684F">
        <w:rPr>
          <w:rFonts w:hint="eastAsia" w:ascii="仿宋" w:hAnsi="仿宋" w:eastAsia="仿宋"/>
          <w:color w:val="000000"/>
          <w:sz w:val="32"/>
          <w:szCs w:val="32"/>
        </w:rPr>
        <w:t>静脉输注30分钟以上，直至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帕博利珠单抗单药方案已获得中国国家药品监督管理局和FDA批准，帕博利珠单抗联合化疗方案已获得美国FDA批准。</w:t>
      </w:r>
    </w:p>
    <w:p w:rsidRPr="003C684F" w:rsidR="009730C1" w:rsidRDefault="00A315B9" w14:paraId="0E72274C" w14:textId="30ECE8A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2.如果患者临床症状稳定，即使有疾病进展的初步证据，但基于总体临床获益的判断，可考虑继续应用本品治疗，直至证实疾病进展。根据个体患者的安全性和耐受性，可能需要暂停给药或</w:t>
      </w:r>
      <w:r w:rsidRPr="003C684F" w:rsidR="009D63EE">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4C5A5737" w14:textId="75F10C93">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主要不良反应是疲劳、瘙痒、腹泻和皮疹。接受帕博利珠单抗治疗的患者可发生免疫相关性不良反应，包括严重和致死病例。免疫相关性不良反应可同时发生在多个器官系统，需要对于疑似病例进行充分的评估以确定病因或排除其他病因。根据不良反应的严重程度，应暂时停用帕博利珠单抗，并</w:t>
      </w:r>
      <w:r w:rsidRPr="003C684F" w:rsidR="00C06C4C">
        <w:rPr>
          <w:rFonts w:hint="eastAsia" w:ascii="仿宋" w:hAnsi="仿宋" w:eastAsia="仿宋"/>
          <w:color w:val="000000"/>
          <w:sz w:val="32"/>
          <w:szCs w:val="32"/>
        </w:rPr>
        <w:t>使</w:t>
      </w:r>
      <w:r w:rsidRPr="003C684F">
        <w:rPr>
          <w:rFonts w:hint="eastAsia" w:ascii="仿宋" w:hAnsi="仿宋" w:eastAsia="仿宋"/>
          <w:color w:val="000000"/>
          <w:sz w:val="32"/>
          <w:szCs w:val="32"/>
        </w:rPr>
        <w:t>用糖皮质激素治疗。当免疫相关性不良反应改善至≤1级时，需至少一个月的时间逐步减少糖皮质激素的用量</w:t>
      </w:r>
      <w:r w:rsidRPr="003C684F">
        <w:rPr>
          <w:rFonts w:hint="eastAsia" w:ascii="仿宋" w:hAnsi="仿宋" w:eastAsia="仿宋"/>
          <w:color w:val="000000"/>
          <w:sz w:val="32"/>
          <w:szCs w:val="32"/>
        </w:rPr>
        <w:lastRenderedPageBreak/>
        <w:t>直至停药。倘若发生糖皮质激素无法控制的免疫相关性不良反应时，可以考虑使用其他全身性免疫抑制剂。如果不良反应保持在≤1级，且糖皮质激素剂量已降至≤10mg泼尼松或等效剂量，可在最后一次使用帕博利珠单抗给药后12周内重新开始帕博利珠单抗治疗。对于任何复发性3级免疫相关性不良反应以及任何4级免疫相关性不良反应，应永久停用帕博利珠单抗。</w:t>
      </w:r>
    </w:p>
    <w:p w:rsidRPr="003C684F" w:rsidR="009730C1" w:rsidRDefault="00A315B9" w14:paraId="40D0B332" w14:textId="5A92334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4.出现轻中度输液反应的患者在密切监测下可继续接受帕博利珠单抗治疗，可考虑用解热镇痛类抗炎药和</w:t>
      </w:r>
      <w:r w:rsidR="00033474">
        <w:rPr>
          <w:rFonts w:hint="eastAsia" w:ascii="仿宋" w:hAnsi="仿宋" w:eastAsia="仿宋"/>
          <w:color w:val="000000"/>
          <w:sz w:val="32"/>
          <w:szCs w:val="32"/>
        </w:rPr>
        <w:t>H</w:t>
      </w:r>
      <w:r w:rsidRPr="00033474" w:rsidR="00033474">
        <w:rPr>
          <w:rFonts w:hint="eastAsia" w:ascii="仿宋" w:hAnsi="仿宋" w:eastAsia="仿宋"/>
          <w:color w:val="000000"/>
          <w:sz w:val="32"/>
          <w:szCs w:val="32"/>
          <w:vertAlign w:val="subscript"/>
        </w:rPr>
        <w:t>1</w:t>
      </w:r>
      <w:r w:rsidR="00033474">
        <w:rPr>
          <w:rFonts w:hint="eastAsia" w:ascii="仿宋" w:hAnsi="仿宋" w:eastAsia="仿宋"/>
          <w:color w:val="000000"/>
          <w:sz w:val="32"/>
          <w:szCs w:val="32"/>
        </w:rPr>
        <w:t>受体阻滞剂</w:t>
      </w:r>
      <w:r w:rsidRPr="003C684F">
        <w:rPr>
          <w:rFonts w:hint="eastAsia" w:ascii="仿宋" w:hAnsi="仿宋" w:eastAsia="仿宋"/>
          <w:color w:val="000000"/>
          <w:sz w:val="32"/>
          <w:szCs w:val="32"/>
        </w:rPr>
        <w:t>预防。对于重度的输液反应，必须停止输液并永久停用帕博利珠单抗。</w:t>
      </w:r>
    </w:p>
    <w:p w:rsidRPr="003C684F" w:rsidR="009730C1" w:rsidRDefault="00A315B9" w14:paraId="21775351" w14:textId="7D0C30E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孕妇在妊娠期使用可能会对胎儿造成伤害，除非孕妇的临床疾病需要，妊娠期不得用药。建议育龄女性在用药期间采用高效避孕方法，并在最后一次用药后四个月内持续避孕。不能排除本品对新生儿的风险，应权衡本品治疗对女性患者的获益来决策。</w:t>
      </w:r>
    </w:p>
    <w:p w:rsidRPr="003C684F" w:rsidR="009730C1" w:rsidRDefault="00A315B9" w14:paraId="79C40F35" w14:textId="78A14B54">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6.尚未确定</w:t>
      </w:r>
      <w:r w:rsidRPr="003C684F" w:rsidR="006F648C">
        <w:rPr>
          <w:rFonts w:hint="eastAsia" w:ascii="仿宋" w:hAnsi="仿宋" w:eastAsia="仿宋"/>
          <w:color w:val="000000"/>
          <w:sz w:val="32"/>
          <w:szCs w:val="32"/>
        </w:rPr>
        <w:t>本品在18岁以下儿童和青少年患者的安全性和有效性</w:t>
      </w:r>
      <w:r w:rsidRPr="003C684F">
        <w:rPr>
          <w:rFonts w:hint="eastAsia" w:ascii="仿宋" w:hAnsi="仿宋" w:eastAsia="仿宋"/>
          <w:color w:val="000000"/>
          <w:sz w:val="32"/>
          <w:szCs w:val="32"/>
        </w:rPr>
        <w:t>，在</w:t>
      </w:r>
      <w:r w:rsidRPr="003C684F" w:rsidR="00F908A1">
        <w:rPr>
          <w:rFonts w:hint="eastAsia" w:ascii="仿宋" w:hAnsi="仿宋" w:eastAsia="仿宋"/>
          <w:color w:val="000000"/>
          <w:sz w:val="32"/>
          <w:szCs w:val="32"/>
        </w:rPr>
        <w:t>老年患者</w:t>
      </w:r>
      <w:r w:rsidRPr="003C684F">
        <w:rPr>
          <w:rFonts w:hint="eastAsia" w:ascii="仿宋" w:hAnsi="仿宋" w:eastAsia="仿宋"/>
          <w:color w:val="000000"/>
          <w:sz w:val="32"/>
          <w:szCs w:val="32"/>
        </w:rPr>
        <w:t>中</w:t>
      </w:r>
      <w:r w:rsidRPr="003C684F" w:rsidR="007811E9">
        <w:rPr>
          <w:rFonts w:hint="eastAsia" w:ascii="仿宋" w:hAnsi="仿宋" w:eastAsia="仿宋"/>
          <w:color w:val="000000"/>
          <w:sz w:val="32"/>
          <w:szCs w:val="32"/>
        </w:rPr>
        <w:t>无需</w:t>
      </w:r>
      <w:r w:rsidRPr="003C684F">
        <w:rPr>
          <w:rFonts w:hint="eastAsia" w:ascii="仿宋" w:hAnsi="仿宋" w:eastAsia="仿宋"/>
          <w:color w:val="000000"/>
          <w:sz w:val="32"/>
          <w:szCs w:val="32"/>
        </w:rPr>
        <w:t>进行剂量调整。</w:t>
      </w:r>
    </w:p>
    <w:p w:rsidRPr="003C684F" w:rsidR="009730C1" w:rsidRDefault="00A315B9" w14:paraId="71885AB6"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7.轻度肝功能损伤患者无需调整剂量，尚未在中重度肝功能损伤患者中进行本品的相关研究。</w:t>
      </w:r>
    </w:p>
    <w:p w:rsidRPr="003C684F" w:rsidR="009730C1" w:rsidRDefault="00A315B9" w14:paraId="170CFF11"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8.在使用该药前避免使用全身性糖皮质激素或其他免疫抑制剂。</w:t>
      </w:r>
    </w:p>
    <w:p w:rsidRPr="003C684F" w:rsidR="009730C1" w:rsidP="0037660B" w:rsidRDefault="00A315B9" w14:paraId="68A1E7E5" w14:textId="77777777">
      <w:pPr>
        <w:ind w:firstLine="640" w:firstLineChars="200"/>
        <w:outlineLvl w:val="0"/>
        <w:rPr>
          <w:rFonts w:ascii="黑体" w:hAnsi="黑体" w:eastAsia="黑体"/>
          <w:color w:val="000000"/>
          <w:sz w:val="32"/>
          <w:szCs w:val="32"/>
        </w:rPr>
      </w:pPr>
      <w:r w:rsidRPr="003C684F">
        <w:rPr>
          <w:rFonts w:hint="eastAsia" w:ascii="黑体" w:hAnsi="黑体" w:eastAsia="黑体"/>
          <w:color w:val="000000"/>
          <w:sz w:val="32"/>
          <w:szCs w:val="32"/>
        </w:rPr>
        <w:lastRenderedPageBreak/>
        <w:t>十、替雷利珠单抗 Tislelizumab</w:t>
      </w:r>
    </w:p>
    <w:p w:rsidRPr="003C684F" w:rsidR="009730C1" w:rsidRDefault="00A315B9" w14:paraId="264A294A"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093E4F">
        <w:rPr>
          <w:rFonts w:hint="eastAsia" w:ascii="仿宋" w:hAnsi="仿宋" w:eastAsia="仿宋"/>
          <w:color w:val="000000"/>
          <w:sz w:val="32"/>
          <w:szCs w:val="32"/>
        </w:rPr>
        <w:t>剂</w:t>
      </w:r>
      <w:r w:rsidRPr="003C684F">
        <w:rPr>
          <w:rFonts w:hint="eastAsia" w:ascii="仿宋" w:hAnsi="仿宋" w:eastAsia="仿宋"/>
          <w:color w:val="000000"/>
          <w:sz w:val="32"/>
          <w:szCs w:val="32"/>
        </w:rPr>
        <w:t>：100mg（10ml）/瓶</w:t>
      </w:r>
    </w:p>
    <w:p w:rsidRPr="003C684F" w:rsidR="009730C1" w:rsidRDefault="00A315B9" w14:paraId="061EC158" w14:textId="77777777">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用于复发或转移性鼻咽癌</w:t>
      </w:r>
      <w:r w:rsidRPr="003C684F" w:rsidR="00666E4D">
        <w:rPr>
          <w:rFonts w:hint="eastAsia" w:ascii="仿宋" w:hAnsi="仿宋" w:eastAsia="仿宋"/>
          <w:color w:val="000000"/>
          <w:sz w:val="32"/>
          <w:szCs w:val="32"/>
        </w:rPr>
        <w:t>一线</w:t>
      </w:r>
      <w:r w:rsidRPr="003C684F">
        <w:rPr>
          <w:rFonts w:hint="eastAsia" w:ascii="仿宋" w:hAnsi="仿宋" w:eastAsia="仿宋"/>
          <w:color w:val="000000"/>
          <w:sz w:val="32"/>
          <w:szCs w:val="32"/>
        </w:rPr>
        <w:t>的治疗。</w:t>
      </w:r>
    </w:p>
    <w:p w:rsidRPr="003C684F" w:rsidR="009730C1" w:rsidRDefault="00A315B9" w14:paraId="64EC0F0E"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4F0A6DDE" w14:textId="611BEA3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1.推荐剂量为200mg</w:t>
      </w:r>
      <w:r w:rsidRPr="003C684F" w:rsidR="00130370">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71399F">
        <w:rPr>
          <w:rFonts w:hint="eastAsia" w:ascii="仿宋" w:hAnsi="仿宋" w:eastAsia="仿宋"/>
          <w:color w:val="000000"/>
          <w:sz w:val="32"/>
          <w:szCs w:val="32"/>
        </w:rPr>
        <w:t>每3周一次</w:t>
      </w:r>
      <w:r w:rsidRPr="003C684F">
        <w:rPr>
          <w:rFonts w:hint="eastAsia" w:ascii="仿宋" w:hAnsi="仿宋" w:eastAsia="仿宋"/>
          <w:color w:val="000000"/>
          <w:sz w:val="32"/>
          <w:szCs w:val="32"/>
        </w:rPr>
        <w:t>，</w:t>
      </w:r>
      <w:r w:rsidRPr="003C684F" w:rsidR="00130370">
        <w:rPr>
          <w:rFonts w:hint="eastAsia" w:ascii="仿宋" w:hAnsi="仿宋" w:eastAsia="仿宋"/>
          <w:color w:val="000000"/>
          <w:sz w:val="32"/>
          <w:szCs w:val="32"/>
        </w:rPr>
        <w:t>静脉输注，</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5E25B90F"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2.有可能观察到非典型反应。如果患者临床症状稳定或持续减轻，即使有疾病进展的初步证据，基于总体临床获益的判断，可考虑继续应用本品治疗，直至证实疾病进展。</w:t>
      </w:r>
    </w:p>
    <w:p w:rsidRPr="003C684F" w:rsidR="009730C1" w:rsidRDefault="00A315B9" w14:paraId="6839655D" w14:textId="409917B0">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3.对于疑似免疫相关性不良反应，应进行充分的评估以确认病因或排除其他病因，根据个体患者的安全性和耐受性，可能需要暂停给药或</w:t>
      </w:r>
      <w:r w:rsidRPr="003C684F" w:rsidR="00373DC1">
        <w:rPr>
          <w:rFonts w:hint="eastAsia" w:ascii="仿宋" w:hAnsi="仿宋" w:eastAsia="仿宋"/>
          <w:color w:val="000000"/>
          <w:sz w:val="32"/>
          <w:szCs w:val="32"/>
        </w:rPr>
        <w:t>永久停用</w:t>
      </w:r>
      <w:r w:rsidRPr="003C684F">
        <w:rPr>
          <w:rFonts w:hint="eastAsia" w:ascii="仿宋" w:hAnsi="仿宋" w:eastAsia="仿宋"/>
          <w:color w:val="000000"/>
          <w:sz w:val="32"/>
          <w:szCs w:val="32"/>
        </w:rPr>
        <w:t>。不建议增加或减少剂量。</w:t>
      </w:r>
    </w:p>
    <w:p w:rsidRPr="003C684F" w:rsidR="009730C1" w:rsidRDefault="00A315B9" w14:paraId="7CF296B8"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4.目前尚无针对重度肝肾功能损伤患者的研究数据，中重度肝功能损伤以及重度肾功能损伤患者不推荐使用。轻度肝功能损伤及轻中度肾功能损伤的患者应在医生指导下谨慎使用，如需使用，无需进行剂量调整。</w:t>
      </w:r>
    </w:p>
    <w:p w:rsidRPr="003C684F" w:rsidR="009730C1" w:rsidRDefault="00A315B9" w14:paraId="018D0D4E"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5.建议哺乳期妇女在接受本品治疗期间及末次给药后至少5个月内停止哺乳。育龄期妇女在接受本品治疗期间，以及最后一次本品给药后至少5个月内应采用有效避孕措施。</w:t>
      </w:r>
    </w:p>
    <w:p w:rsidRPr="003C684F" w:rsidR="009730C1" w:rsidRDefault="00A315B9" w14:paraId="1B441193"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6.因可能干扰本品药效学活性，应避免在开始本品治疗前使用全身性糖皮质激素及其他免疫抑制剂。但是如果为了治疗免疫相关性不良反应，可在开始本品治疗后使用全身性</w:t>
      </w:r>
      <w:r w:rsidRPr="003C684F">
        <w:rPr>
          <w:rFonts w:hint="eastAsia" w:ascii="仿宋" w:hAnsi="仿宋" w:eastAsia="仿宋"/>
          <w:color w:val="000000"/>
          <w:sz w:val="32"/>
          <w:szCs w:val="32"/>
        </w:rPr>
        <w:lastRenderedPageBreak/>
        <w:t>糖皮质激素及其他免疫抑制剂。</w:t>
      </w:r>
    </w:p>
    <w:p w:rsidRPr="003C684F" w:rsidR="00A04F2E" w:rsidP="00A04F2E" w:rsidRDefault="00A04F2E" w14:paraId="2EE000DE" w14:textId="51DB00E1">
      <w:pPr>
        <w:ind w:firstLine="640" w:firstLineChars="200"/>
        <w:rPr>
          <w:rFonts w:ascii="黑体" w:hAnsi="黑体" w:eastAsia="黑体"/>
          <w:color w:val="000000"/>
          <w:sz w:val="32"/>
          <w:szCs w:val="32"/>
        </w:rPr>
      </w:pPr>
      <w:r w:rsidRPr="003C684F">
        <w:rPr>
          <w:rFonts w:hint="eastAsia" w:ascii="黑体" w:hAnsi="黑体" w:eastAsia="黑体"/>
          <w:color w:val="000000"/>
          <w:sz w:val="32"/>
          <w:szCs w:val="32"/>
        </w:rPr>
        <w:t>十一、普拉替尼</w:t>
      </w:r>
      <w:r w:rsidRPr="003C684F" w:rsidR="00F9044F">
        <w:rPr>
          <w:rFonts w:hint="eastAsia" w:ascii="黑体" w:hAnsi="黑体" w:eastAsia="黑体"/>
          <w:color w:val="000000"/>
          <w:sz w:val="32"/>
          <w:szCs w:val="32"/>
        </w:rPr>
        <w:t xml:space="preserve"> </w:t>
      </w:r>
      <w:r w:rsidRPr="003C684F">
        <w:rPr>
          <w:rFonts w:hint="eastAsia" w:ascii="黑体" w:hAnsi="黑体" w:eastAsia="黑体"/>
          <w:color w:val="000000"/>
          <w:sz w:val="32"/>
          <w:szCs w:val="32"/>
        </w:rPr>
        <w:t>Pralsetinib</w:t>
      </w:r>
    </w:p>
    <w:p w:rsidRPr="003C684F" w:rsidR="00A04F2E" w:rsidP="00A04F2E" w:rsidRDefault="00A04F2E" w14:paraId="628E0503" w14:textId="39BB0D52">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 xml:space="preserve">胶囊：100mg </w:t>
      </w:r>
    </w:p>
    <w:p w:rsidRPr="003C684F" w:rsidR="00A04F2E" w:rsidP="00A04F2E" w:rsidRDefault="00A04F2E" w14:paraId="7D631F0D" w14:textId="5CA6A155">
      <w:pPr>
        <w:ind w:firstLine="643" w:firstLineChars="200"/>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本品适用于需要系统性治疗的晚期或转移性RET突变型甲状腺髓样癌（MTC）</w:t>
      </w:r>
      <w:r w:rsidRPr="003C684F" w:rsidR="00D60029">
        <w:rPr>
          <w:rFonts w:hint="eastAsia" w:ascii="仿宋" w:hAnsi="仿宋" w:eastAsia="仿宋"/>
          <w:color w:val="000000"/>
          <w:sz w:val="32"/>
          <w:szCs w:val="32"/>
        </w:rPr>
        <w:t>的</w:t>
      </w:r>
      <w:r w:rsidRPr="003C684F">
        <w:rPr>
          <w:rFonts w:hint="eastAsia" w:ascii="仿宋" w:hAnsi="仿宋" w:eastAsia="仿宋"/>
          <w:color w:val="000000"/>
          <w:sz w:val="32"/>
          <w:szCs w:val="32"/>
        </w:rPr>
        <w:t>成人和12岁及以上儿童患者的治疗，以及需要系统性治疗且放射性碘难治（如果放射性碘适用）的晚期或转移性RET融合阳性甲状腺癌成人和12岁及以上儿童患者的治疗。</w:t>
      </w:r>
    </w:p>
    <w:p w:rsidRPr="003C684F" w:rsidR="00A04F2E" w:rsidP="00A04F2E" w:rsidRDefault="00A04F2E" w14:paraId="5EAB2331" w14:textId="77777777">
      <w:pPr>
        <w:ind w:firstLine="643" w:firstLineChars="200"/>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A04F2E" w:rsidP="00A04F2E" w:rsidRDefault="00A04F2E" w14:paraId="6671F72D" w14:textId="77777777">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1.推荐剂量为400mg/次，每天一次，口服，直至疾病进展或出现不可耐受的毒性。</w:t>
      </w:r>
    </w:p>
    <w:p w:rsidRPr="003C684F" w:rsidR="00A04F2E" w:rsidP="00A04F2E" w:rsidRDefault="00A04F2E" w14:paraId="3D245429" w14:textId="4673FA19">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2.使用本品治疗前必须明确有经充分验证的检测方法检测到RET基因融合</w:t>
      </w:r>
      <w:r w:rsidRPr="003C684F" w:rsidR="001543C4">
        <w:rPr>
          <w:rFonts w:hint="eastAsia" w:ascii="仿宋" w:hAnsi="仿宋" w:eastAsia="仿宋"/>
          <w:color w:val="000000"/>
          <w:sz w:val="32"/>
          <w:szCs w:val="32"/>
        </w:rPr>
        <w:t>（</w:t>
      </w:r>
      <w:r w:rsidRPr="003C684F">
        <w:rPr>
          <w:rFonts w:hint="eastAsia" w:ascii="仿宋" w:hAnsi="仿宋" w:eastAsia="仿宋"/>
          <w:color w:val="000000"/>
          <w:sz w:val="32"/>
          <w:szCs w:val="32"/>
        </w:rPr>
        <w:t>甲状腺癌</w:t>
      </w:r>
      <w:r w:rsidRPr="003C684F" w:rsidR="001543C4">
        <w:rPr>
          <w:rFonts w:hint="eastAsia" w:ascii="仿宋" w:hAnsi="仿宋" w:eastAsia="仿宋"/>
          <w:color w:val="000000"/>
          <w:sz w:val="32"/>
          <w:szCs w:val="32"/>
        </w:rPr>
        <w:t>）</w:t>
      </w:r>
      <w:r w:rsidRPr="003C684F">
        <w:rPr>
          <w:rFonts w:hint="eastAsia" w:ascii="仿宋" w:hAnsi="仿宋" w:eastAsia="仿宋"/>
          <w:color w:val="000000"/>
          <w:sz w:val="32"/>
          <w:szCs w:val="32"/>
        </w:rPr>
        <w:t>或突变</w:t>
      </w:r>
      <w:r w:rsidRPr="003C684F" w:rsidR="001543C4">
        <w:rPr>
          <w:rFonts w:hint="eastAsia" w:ascii="仿宋" w:hAnsi="仿宋" w:eastAsia="仿宋"/>
          <w:color w:val="000000"/>
          <w:sz w:val="32"/>
          <w:szCs w:val="32"/>
        </w:rPr>
        <w:t>（</w:t>
      </w:r>
      <w:r w:rsidRPr="003C684F">
        <w:rPr>
          <w:rFonts w:hint="eastAsia" w:ascii="仿宋" w:hAnsi="仿宋" w:eastAsia="仿宋"/>
          <w:color w:val="000000"/>
          <w:sz w:val="32"/>
          <w:szCs w:val="32"/>
        </w:rPr>
        <w:t>甲状腺髓样癌</w:t>
      </w:r>
      <w:r w:rsidRPr="003C684F" w:rsidR="001543C4">
        <w:rPr>
          <w:rFonts w:hint="eastAsia" w:ascii="仿宋" w:hAnsi="仿宋" w:eastAsia="仿宋"/>
          <w:color w:val="000000"/>
          <w:sz w:val="32"/>
          <w:szCs w:val="32"/>
        </w:rPr>
        <w:t>）</w:t>
      </w:r>
      <w:r w:rsidRPr="003C684F">
        <w:rPr>
          <w:rFonts w:hint="eastAsia" w:ascii="仿宋" w:hAnsi="仿宋" w:eastAsia="仿宋"/>
          <w:color w:val="000000"/>
          <w:sz w:val="32"/>
          <w:szCs w:val="32"/>
        </w:rPr>
        <w:t>。</w:t>
      </w:r>
    </w:p>
    <w:p w:rsidRPr="003C684F" w:rsidR="00A04F2E" w:rsidP="00A04F2E" w:rsidRDefault="00A04F2E" w14:paraId="35BD886E" w14:textId="460F32F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3.空腹状态下口服</w:t>
      </w:r>
      <w:r w:rsidRPr="003C684F" w:rsidR="00D024F8">
        <w:rPr>
          <w:rFonts w:hint="eastAsia" w:ascii="仿宋" w:hAnsi="仿宋" w:eastAsia="仿宋"/>
          <w:color w:val="000000"/>
          <w:sz w:val="32"/>
          <w:szCs w:val="32"/>
        </w:rPr>
        <w:t>，即</w:t>
      </w:r>
      <w:r w:rsidRPr="003C684F">
        <w:rPr>
          <w:rFonts w:hint="eastAsia" w:ascii="仿宋" w:hAnsi="仿宋" w:eastAsia="仿宋"/>
          <w:color w:val="000000"/>
          <w:sz w:val="32"/>
          <w:szCs w:val="32"/>
        </w:rPr>
        <w:t>服用本品前至少2小时以及服用本品后至少1小时请勿进食。如果漏服本品，应在当天尽快补服。在第二天重新恢复本品的常规日剂量服药计划。若在服用本品后发生呕吐请勿补服额外剂量，但可按计划继续服用下个剂量。</w:t>
      </w:r>
    </w:p>
    <w:p w:rsidRPr="003C684F" w:rsidR="00A04F2E" w:rsidP="00A04F2E" w:rsidRDefault="00A04F2E" w14:paraId="4327AE24" w14:textId="02BC221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4.避免本品与CYP3A强效诱导剂联合用药。若无法避免，应从本品与CYP3A强效诱导剂联合用药的第7天开始，将本品的起始剂量增至当前剂量的两倍。在停用诱导剂至少14天后，按与CYP3A强效诱导剂联合治疗之前的剂量重新恢复</w:t>
      </w:r>
      <w:r w:rsidRPr="003C684F">
        <w:rPr>
          <w:rFonts w:hint="eastAsia" w:ascii="仿宋" w:hAnsi="仿宋" w:eastAsia="仿宋"/>
          <w:color w:val="000000"/>
          <w:sz w:val="32"/>
          <w:szCs w:val="32"/>
        </w:rPr>
        <w:lastRenderedPageBreak/>
        <w:t>本品用药。</w:t>
      </w:r>
    </w:p>
    <w:p w:rsidRPr="003C684F" w:rsidR="00A04F2E" w:rsidP="00A04F2E" w:rsidRDefault="00A04F2E" w14:paraId="64506E2C" w14:textId="47C1DAC5">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5.尚无中重度肝损伤患者的研究数据。轻度肝损伤患者</w:t>
      </w:r>
      <w:r w:rsidRPr="003C684F" w:rsidR="00E6410F">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调整剂量。尚未确定本品在重度肝损伤患者中的安全性和有效性，不建议使用。</w:t>
      </w:r>
    </w:p>
    <w:p w:rsidRPr="003C684F" w:rsidR="00A04F2E" w:rsidP="00A04F2E" w:rsidRDefault="00A04F2E" w14:paraId="7C9F78AE" w14:textId="3F4CC09A">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6.基于动物研究结果及本品的作用机制，妊娠女性服用本品可能对胎儿造成伤害。尚无妊娠女性服用本品的相关数据提示存在药物相关风险。妊娠大鼠在器官形成期经口给予普拉替尼，母体暴露水平低于人体400mg每日一次临床剂量给药的暴露量时，可导致畸形和胚胎致死。妊娠期女性禁用。</w:t>
      </w:r>
    </w:p>
    <w:p w:rsidRPr="003C684F" w:rsidR="00A04F2E" w:rsidP="00A04F2E" w:rsidRDefault="00A04F2E" w14:paraId="0CE59E3B" w14:textId="7CA38C7C">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尚无普拉替尼或其代谢产物是否通过乳汁分泌，或对母乳喂养婴儿或乳汁量产生影响的数据。由于本品可能导致母乳喂养婴儿发生严重不良反应，因此建议哺乳期女性在服用本品期间及末次服用本品后3周内不要母乳喂养。</w:t>
      </w:r>
    </w:p>
    <w:p w:rsidRPr="003C684F" w:rsidR="00A04F2E" w:rsidP="00A04F2E" w:rsidRDefault="00A04F2E" w14:paraId="459643B8" w14:textId="295165B6">
      <w:pPr>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8.已在RET突变型MTC和RET融合甲状腺癌儿童患者（12岁及以上）中确定本品的安全性和有效性。在成人患者中开展的一项关于本品的充分、严格的对照研究以及额外的群体药代动力学数据，支持本品在12岁及以上儿童患者中的使用。群体药代动力学数据显示，年龄和体重对普拉替尼的药代动力学不存在具有临床意义的影响，预计普拉替尼在成人和12岁及以上儿童患者中的暴露量相似，且因为RET突变型MTC和RET融合甲状腺癌病程在成人和儿童患者中足够相似，故可将成人数据外推至儿童患者。</w:t>
      </w:r>
    </w:p>
    <w:p w:rsidRPr="003C684F" w:rsidR="009730C1" w:rsidRDefault="00A315B9" w14:paraId="7982BC16" w14:textId="77777777">
      <w:pPr>
        <w:ind w:firstLine="883" w:firstLineChars="200"/>
        <w:jc w:val="center"/>
        <w:rPr>
          <w:rFonts w:ascii="宋体" w:hAnsi="宋体" w:cs="宋体"/>
          <w:b/>
          <w:bCs/>
          <w:sz w:val="44"/>
          <w:szCs w:val="44"/>
        </w:rPr>
      </w:pPr>
      <w:r w:rsidRPr="003C684F">
        <w:rPr>
          <w:rFonts w:hint="eastAsia" w:ascii="宋体" w:hAnsi="宋体" w:cs="宋体"/>
          <w:b/>
          <w:bCs/>
          <w:sz w:val="44"/>
          <w:szCs w:val="44"/>
        </w:rPr>
        <w:lastRenderedPageBreak/>
        <w:t>生殖系统肿瘤用药</w:t>
      </w:r>
    </w:p>
    <w:p w:rsidRPr="003C684F" w:rsidR="009730C1" w:rsidRDefault="009730C1" w14:paraId="27768966" w14:textId="77777777">
      <w:pPr>
        <w:ind w:firstLine="883" w:firstLineChars="200"/>
        <w:jc w:val="center"/>
        <w:rPr>
          <w:rFonts w:ascii="宋体" w:hAnsi="宋体" w:cs="宋体"/>
          <w:b/>
          <w:bCs/>
          <w:sz w:val="44"/>
          <w:szCs w:val="44"/>
        </w:rPr>
      </w:pPr>
    </w:p>
    <w:p w:rsidRPr="003C684F" w:rsidR="009730C1" w:rsidRDefault="00A315B9" w14:paraId="0981D16B" w14:textId="77777777">
      <w:pPr>
        <w:snapToGrid w:val="0"/>
        <w:spacing w:line="360" w:lineRule="auto"/>
        <w:ind w:firstLine="640" w:firstLineChars="200"/>
        <w:contextualSpacing/>
        <w:rPr>
          <w:rFonts w:ascii="黑体" w:hAnsi="黑体" w:eastAsia="黑体"/>
          <w:color w:val="000000"/>
          <w:sz w:val="32"/>
          <w:szCs w:val="32"/>
        </w:rPr>
      </w:pPr>
      <w:r w:rsidRPr="003C684F">
        <w:rPr>
          <w:rFonts w:hint="eastAsia" w:ascii="黑体" w:hAnsi="黑体" w:eastAsia="黑体"/>
          <w:color w:val="000000"/>
          <w:sz w:val="32"/>
          <w:szCs w:val="32"/>
        </w:rPr>
        <w:t>一、奥拉帕利 Olaparib</w:t>
      </w:r>
    </w:p>
    <w:p w:rsidRPr="003C684F" w:rsidR="009730C1" w:rsidRDefault="00A315B9" w14:paraId="544BB4A9"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片剂：100mg、150mg</w:t>
      </w:r>
    </w:p>
    <w:p w:rsidRPr="003C684F" w:rsidR="009730C1" w:rsidRDefault="00A315B9" w14:paraId="775E9979"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0332AE3F"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1.携带胚系或体细胞BRCA突变晚期上皮性卵巢癌、输卵管癌或原发性腹膜癌初治成人患者在一线含铂化疗达到完全缓解或部分缓解后的维持治疗。</w:t>
      </w:r>
    </w:p>
    <w:p w:rsidRPr="003C684F" w:rsidR="009730C1" w:rsidRDefault="00A315B9" w14:paraId="4A5360F5"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2.铂敏感的复发性上皮性卵巢癌、输卵管癌或原发性腹膜癌成人患者在含铂化疗达到完全缓解或部分缓解后的维持治疗。</w:t>
      </w:r>
    </w:p>
    <w:p w:rsidRPr="003C684F" w:rsidR="00555056" w:rsidP="00555056" w:rsidRDefault="00555056" w14:paraId="76050E8A" w14:textId="2442264D">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3.奥拉帕利联合贝伐珠单抗用于同源重组修复缺陷阳性的晚期上皮性卵巢癌、输卵管癌或原发性腹膜癌成人患者在一线含铂化疗联合贝伐珠单抗治疗达到完全缓解或部分缓解后的维持治疗。</w:t>
      </w:r>
    </w:p>
    <w:p w:rsidRPr="003C684F" w:rsidR="009730C1" w:rsidRDefault="00A315B9" w14:paraId="64BBB18E"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0F978488" w14:textId="2EEAC82A">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1.奥拉帕利联合贝伐珠单抗方案用于一线维持治疗的适应证基于Ⅲ期PAOLA-1研究结果。</w:t>
      </w:r>
    </w:p>
    <w:p w:rsidRPr="003C684F" w:rsidR="009730C1" w:rsidRDefault="00A315B9" w14:paraId="42C4171E" w14:textId="5CA5635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2.推荐剂量为正常成人300mg/次，每天两次，</w:t>
      </w:r>
      <w:r w:rsidRPr="003C684F" w:rsidR="00130370">
        <w:rPr>
          <w:rFonts w:hint="eastAsia" w:ascii="仿宋" w:hAnsi="仿宋" w:eastAsia="仿宋"/>
          <w:color w:val="000000"/>
          <w:sz w:val="32"/>
          <w:szCs w:val="32"/>
        </w:rPr>
        <w:t>口服</w:t>
      </w:r>
      <w:r w:rsidRPr="003C684F">
        <w:rPr>
          <w:rFonts w:hint="eastAsia" w:ascii="仿宋" w:hAnsi="仿宋" w:eastAsia="仿宋"/>
          <w:color w:val="000000"/>
          <w:sz w:val="32"/>
          <w:szCs w:val="32"/>
        </w:rPr>
        <w:t>。应在含铂化疗结束后的8周内开始本品治疗。推荐疗程：BRCA突变的晚期卵巢癌的一线维持治疗可持续治疗</w:t>
      </w:r>
      <w:r w:rsidRPr="003C684F" w:rsidR="004B304F">
        <w:rPr>
          <w:rFonts w:hint="eastAsia" w:ascii="仿宋" w:hAnsi="仿宋" w:eastAsia="仿宋"/>
          <w:color w:val="000000"/>
          <w:sz w:val="32"/>
          <w:szCs w:val="32"/>
        </w:rPr>
        <w:t>直</w:t>
      </w:r>
      <w:r w:rsidRPr="003C684F">
        <w:rPr>
          <w:rFonts w:hint="eastAsia" w:ascii="仿宋" w:hAnsi="仿宋" w:eastAsia="仿宋"/>
          <w:color w:val="000000"/>
          <w:sz w:val="32"/>
          <w:szCs w:val="32"/>
        </w:rPr>
        <w:t>至疾病进展或</w:t>
      </w:r>
      <w:r w:rsidRPr="003C684F" w:rsidR="004B304F">
        <w:rPr>
          <w:rFonts w:hint="eastAsia" w:ascii="仿宋" w:hAnsi="仿宋" w:eastAsia="仿宋"/>
          <w:color w:val="000000"/>
          <w:sz w:val="32"/>
          <w:szCs w:val="32"/>
        </w:rPr>
        <w:t>出现不可耐受的毒性</w:t>
      </w:r>
      <w:r w:rsidRPr="003C684F">
        <w:rPr>
          <w:rFonts w:hint="eastAsia" w:ascii="仿宋" w:hAnsi="仿宋" w:eastAsia="仿宋"/>
          <w:color w:val="000000"/>
          <w:sz w:val="32"/>
          <w:szCs w:val="32"/>
        </w:rPr>
        <w:t>，或完成2年治疗。2年治疗后，</w:t>
      </w:r>
      <w:r w:rsidRPr="003C684F">
        <w:rPr>
          <w:rFonts w:hint="eastAsia" w:ascii="仿宋" w:hAnsi="仿宋" w:eastAsia="仿宋"/>
          <w:color w:val="000000"/>
          <w:sz w:val="32"/>
          <w:szCs w:val="32"/>
        </w:rPr>
        <w:lastRenderedPageBreak/>
        <w:t>完全缓解（影像学无肿瘤证据）的患者应停止治疗，影像学显示有肿瘤且临床医生认为患者能从持续治疗中进一步获益的情况下可以继续治疗超过2年。铂敏感的复发性卵巢癌的维持治疗可持续治疗直至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77B7BF33"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3.应整片吞服，不应咀嚼、压碎、溶解或掰断药片。在进餐或空腹时均可服用。</w:t>
      </w:r>
    </w:p>
    <w:p w:rsidRPr="003C684F" w:rsidR="009730C1" w:rsidRDefault="00A315B9" w14:paraId="5F2EF78B"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4.如果患者漏服一剂药物，无需补服，仍按计划时间正常服用下一剂量，并不影响整体疗效。</w:t>
      </w:r>
    </w:p>
    <w:p w:rsidRPr="003C684F" w:rsidR="009730C1" w:rsidRDefault="00A315B9" w14:paraId="27DB7E9E"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5.患者应在既往抗肿瘤治疗引起的血液学毒性恢复之后（血红蛋白、血小板和中性粒细胞水平应恢复至≤CTCAE 1级），才开始本品治疗。在治疗最初的12个月内，推荐在基线进行全血细胞检测，随后每月监测一次，之后定期监测治疗期间出现的具有临床意义的参数变化。</w:t>
      </w:r>
    </w:p>
    <w:p w:rsidRPr="003C684F" w:rsidR="009730C1" w:rsidRDefault="00A315B9" w14:paraId="2A953530"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6.用药期间常见的各类不良反应为贫血、</w:t>
      </w:r>
      <w:r w:rsidRPr="003C684F" w:rsidR="00701C08">
        <w:rPr>
          <w:rFonts w:hint="eastAsia" w:ascii="仿宋" w:hAnsi="仿宋" w:eastAsia="仿宋"/>
          <w:color w:val="000000"/>
          <w:sz w:val="32"/>
          <w:szCs w:val="32"/>
        </w:rPr>
        <w:t>血小板减少症</w:t>
      </w:r>
      <w:r w:rsidRPr="003C684F">
        <w:rPr>
          <w:rFonts w:hint="eastAsia" w:ascii="仿宋" w:hAnsi="仿宋" w:eastAsia="仿宋"/>
          <w:color w:val="000000"/>
          <w:sz w:val="32"/>
          <w:szCs w:val="32"/>
        </w:rPr>
        <w:t>、</w:t>
      </w:r>
      <w:r w:rsidRPr="003C684F" w:rsidR="00821C69">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、恶心、呕吐、腹泻、上呼吸道感染、疲乏、食欲下降、关节痛、肌痛、味觉障碍和头痛等，其中发生率最高的不良反应依次为恶心、疲乏和贫血，大多为1～2级不良反应，3～4级的贫血发生率约为20%。</w:t>
      </w:r>
    </w:p>
    <w:p w:rsidRPr="003C684F" w:rsidR="009730C1" w:rsidRDefault="00A315B9" w14:paraId="39263859"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7.3～4级不良反应可通过治疗中断来管理。待症状恢复至≤1级时，重新开始原剂量或减量治疗。</w:t>
      </w:r>
    </w:p>
    <w:p w:rsidRPr="003C684F" w:rsidR="009730C1" w:rsidRDefault="00A315B9" w14:paraId="0A4C73DE"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8.如果需要减量，推荐剂量减至250mg/次，每天两次，</w:t>
      </w:r>
      <w:r w:rsidRPr="003C684F">
        <w:rPr>
          <w:rFonts w:hint="eastAsia" w:ascii="仿宋" w:hAnsi="仿宋" w:eastAsia="仿宋"/>
          <w:color w:val="000000"/>
          <w:sz w:val="32"/>
          <w:szCs w:val="32"/>
        </w:rPr>
        <w:lastRenderedPageBreak/>
        <w:t>即每天总剂量为500mg。如果需要进一步减量，则推荐剂量减至200mg/次，每天两次，即每天总剂量为400mg。</w:t>
      </w:r>
    </w:p>
    <w:p w:rsidRPr="003C684F" w:rsidR="009730C1" w:rsidRDefault="00A315B9" w14:paraId="3205D4B4" w14:textId="487E37F2">
      <w:pPr>
        <w:snapToGrid w:val="0"/>
        <w:spacing w:line="360" w:lineRule="auto"/>
        <w:ind w:firstLine="640" w:firstLineChars="200"/>
        <w:contextualSpacing/>
        <w:rPr>
          <w:rFonts w:ascii="仿宋" w:hAnsi="仿宋" w:eastAsia="仿宋"/>
          <w:color w:val="000000"/>
          <w:sz w:val="32"/>
          <w:szCs w:val="32"/>
        </w:rPr>
      </w:pPr>
      <w:r w:rsidRPr="003C684F">
        <w:rPr>
          <w:rFonts w:ascii="仿宋" w:hAnsi="仿宋" w:eastAsia="仿宋"/>
          <w:color w:val="000000"/>
          <w:sz w:val="32"/>
          <w:szCs w:val="32"/>
        </w:rPr>
        <w:t>9.不推荐本品与CYP3A</w:t>
      </w:r>
      <w:r w:rsidRPr="003C684F" w:rsidR="0029486A">
        <w:rPr>
          <w:rFonts w:hint="eastAsia" w:ascii="仿宋" w:hAnsi="仿宋" w:eastAsia="仿宋"/>
          <w:color w:val="000000"/>
          <w:sz w:val="32"/>
          <w:szCs w:val="32"/>
        </w:rPr>
        <w:t>强效或中效</w:t>
      </w:r>
      <w:r w:rsidRPr="003C684F">
        <w:rPr>
          <w:rFonts w:hint="eastAsia" w:ascii="仿宋" w:hAnsi="仿宋" w:eastAsia="仿宋"/>
          <w:color w:val="000000"/>
          <w:sz w:val="32"/>
          <w:szCs w:val="32"/>
        </w:rPr>
        <w:t>抑制剂</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使用，如果必须</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w:t>
      </w:r>
      <w:r w:rsidRPr="003C684F" w:rsidR="000679FC">
        <w:rPr>
          <w:rFonts w:hint="eastAsia" w:ascii="仿宋" w:hAnsi="仿宋" w:eastAsia="仿宋"/>
          <w:color w:val="000000"/>
          <w:sz w:val="32"/>
          <w:szCs w:val="32"/>
        </w:rPr>
        <w:t>CYP3A强效</w:t>
      </w:r>
      <w:r w:rsidRPr="003C684F">
        <w:rPr>
          <w:rFonts w:hint="eastAsia" w:ascii="仿宋" w:hAnsi="仿宋" w:eastAsia="仿宋"/>
          <w:color w:val="000000"/>
          <w:sz w:val="32"/>
          <w:szCs w:val="32"/>
        </w:rPr>
        <w:t>抑制剂，推荐将本品剂量减至</w:t>
      </w:r>
      <w:r w:rsidRPr="003C684F">
        <w:rPr>
          <w:rFonts w:ascii="仿宋" w:hAnsi="仿宋" w:eastAsia="仿宋"/>
          <w:color w:val="000000"/>
          <w:sz w:val="32"/>
          <w:szCs w:val="32"/>
        </w:rPr>
        <w:t>100mg/次，每天两次，如果必须</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w:t>
      </w:r>
      <w:r w:rsidRPr="003C684F">
        <w:rPr>
          <w:rFonts w:ascii="仿宋" w:hAnsi="仿宋" w:eastAsia="仿宋"/>
          <w:color w:val="000000"/>
          <w:sz w:val="32"/>
          <w:szCs w:val="32"/>
        </w:rPr>
        <w:t>CYP3A</w:t>
      </w:r>
      <w:r w:rsidRPr="003C684F" w:rsidR="0029486A">
        <w:rPr>
          <w:rFonts w:hint="eastAsia" w:ascii="仿宋" w:hAnsi="仿宋" w:eastAsia="仿宋"/>
          <w:color w:val="000000"/>
          <w:sz w:val="32"/>
          <w:szCs w:val="32"/>
        </w:rPr>
        <w:t>中效</w:t>
      </w:r>
      <w:r w:rsidRPr="003C684F">
        <w:rPr>
          <w:rFonts w:hint="eastAsia" w:ascii="仿宋" w:hAnsi="仿宋" w:eastAsia="仿宋"/>
          <w:color w:val="000000"/>
          <w:sz w:val="32"/>
          <w:szCs w:val="32"/>
        </w:rPr>
        <w:t>抑制剂，推荐将本品剂量减至</w:t>
      </w:r>
      <w:r w:rsidRPr="003C684F">
        <w:rPr>
          <w:rFonts w:ascii="仿宋" w:hAnsi="仿宋" w:eastAsia="仿宋"/>
          <w:color w:val="000000"/>
          <w:sz w:val="32"/>
          <w:szCs w:val="32"/>
        </w:rPr>
        <w:t>150mg/次，每天两次。</w:t>
      </w:r>
    </w:p>
    <w:p w:rsidRPr="003C684F" w:rsidR="009730C1" w:rsidRDefault="00A315B9" w14:paraId="24BDDB0E" w14:textId="77777777">
      <w:pPr>
        <w:snapToGrid w:val="0"/>
        <w:spacing w:line="360" w:lineRule="auto"/>
        <w:ind w:firstLine="640" w:firstLineChars="200"/>
        <w:contextualSpacing/>
        <w:rPr>
          <w:rFonts w:ascii="黑体" w:hAnsi="黑体" w:eastAsia="黑体"/>
          <w:color w:val="000000"/>
          <w:sz w:val="32"/>
          <w:szCs w:val="32"/>
        </w:rPr>
      </w:pPr>
      <w:r w:rsidRPr="003C684F">
        <w:rPr>
          <w:rFonts w:hint="eastAsia" w:ascii="黑体" w:hAnsi="黑体" w:eastAsia="黑体"/>
          <w:color w:val="000000"/>
          <w:sz w:val="32"/>
          <w:szCs w:val="32"/>
        </w:rPr>
        <w:t>二、尼拉帕利</w:t>
      </w:r>
      <w:r w:rsidRPr="003C684F">
        <w:rPr>
          <w:rFonts w:ascii="黑体" w:hAnsi="黑体" w:eastAsia="黑体"/>
          <w:color w:val="000000"/>
          <w:sz w:val="32"/>
          <w:szCs w:val="32"/>
        </w:rPr>
        <w:t xml:space="preserve"> Niraparib</w:t>
      </w:r>
    </w:p>
    <w:p w:rsidRPr="003C684F" w:rsidR="009730C1" w:rsidRDefault="00A315B9" w14:paraId="22895D83"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胶囊：100mg</w:t>
      </w:r>
    </w:p>
    <w:p w:rsidRPr="003C684F" w:rsidR="009730C1" w:rsidRDefault="00A315B9" w14:paraId="0AD531A0"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2FDD8218"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1.本品适用于晚期上皮性卵巢癌、输卵管癌或原发性腹膜癌成人患者对一线含铂化疗达到完全缓解或部分缓解后的维持治疗。</w:t>
      </w:r>
    </w:p>
    <w:p w:rsidRPr="003C684F" w:rsidR="009730C1" w:rsidRDefault="00A315B9" w14:paraId="5FD4AAAF"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2.本品适用于铂敏感的复发性上皮性卵巢癌、输卵管癌或原发性腹膜癌成人患者在含铂化疗达到完全缓解或部分缓解后的维持治疗。</w:t>
      </w:r>
    </w:p>
    <w:p w:rsidRPr="003C684F" w:rsidR="009730C1" w:rsidRDefault="00A315B9" w14:paraId="5C0644E2"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778D7D52" w14:textId="162E389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1.推荐剂量介绍：（1）卵巢癌一线维持治疗：对于体重＜77kg</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基线血小板计数＜</w:t>
      </w:r>
      <w:r w:rsidRPr="003C684F">
        <w:rPr>
          <w:rFonts w:ascii="仿宋" w:hAnsi="仿宋" w:eastAsia="仿宋"/>
          <w:color w:val="000000"/>
          <w:sz w:val="32"/>
          <w:szCs w:val="32"/>
        </w:rPr>
        <w:t>150</w:t>
      </w:r>
      <w:r w:rsidRPr="003C684F">
        <w:rPr>
          <w:rFonts w:hint="eastAsia" w:ascii="仿宋" w:hAnsi="仿宋" w:eastAsia="仿宋"/>
          <w:color w:val="000000"/>
          <w:sz w:val="32"/>
          <w:szCs w:val="32"/>
        </w:rPr>
        <w:t>×10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/L的患者，本品推荐剂量为200mg</w:t>
      </w:r>
      <w:r w:rsidRPr="003C684F" w:rsidR="005B6DD7">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；对于体重≥77kg且基线血小板计数≥</w:t>
      </w:r>
      <w:r w:rsidRPr="003C684F">
        <w:rPr>
          <w:rFonts w:ascii="仿宋" w:hAnsi="仿宋" w:eastAsia="仿宋"/>
          <w:color w:val="000000"/>
          <w:sz w:val="32"/>
          <w:szCs w:val="32"/>
        </w:rPr>
        <w:t>150</w:t>
      </w:r>
      <w:r w:rsidRPr="003C684F">
        <w:rPr>
          <w:rFonts w:hint="eastAsia" w:ascii="仿宋" w:hAnsi="仿宋" w:eastAsia="仿宋"/>
          <w:color w:val="000000"/>
          <w:sz w:val="32"/>
          <w:szCs w:val="32"/>
        </w:rPr>
        <w:t>×10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/L的患者，本品推荐剂量为300mg</w:t>
      </w:r>
      <w:r w:rsidRPr="003C684F" w:rsidR="005B6DD7">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患者应在含铂化疗结束后的12周内开始本品治疗。（2）复</w:t>
      </w:r>
      <w:r w:rsidRPr="003C684F">
        <w:rPr>
          <w:rFonts w:hint="eastAsia" w:ascii="仿宋" w:hAnsi="仿宋" w:eastAsia="仿宋"/>
          <w:color w:val="000000"/>
          <w:sz w:val="32"/>
          <w:szCs w:val="32"/>
        </w:rPr>
        <w:lastRenderedPageBreak/>
        <w:t>发性卵巢癌维持治疗：对于体重＜77kg</w:t>
      </w:r>
      <w:r w:rsidRPr="003C684F" w:rsidR="00DB4978">
        <w:rPr>
          <w:rFonts w:hint="eastAsia" w:ascii="仿宋" w:hAnsi="仿宋" w:eastAsia="仿宋"/>
          <w:color w:val="000000"/>
          <w:sz w:val="32"/>
          <w:szCs w:val="32"/>
        </w:rPr>
        <w:t>或</w:t>
      </w:r>
      <w:r w:rsidRPr="003C684F">
        <w:rPr>
          <w:rFonts w:hint="eastAsia" w:ascii="仿宋" w:hAnsi="仿宋" w:eastAsia="仿宋"/>
          <w:color w:val="000000"/>
          <w:sz w:val="32"/>
          <w:szCs w:val="32"/>
        </w:rPr>
        <w:t>基线血小板计数＜</w:t>
      </w:r>
      <w:r w:rsidRPr="003C684F">
        <w:rPr>
          <w:rFonts w:ascii="仿宋" w:hAnsi="仿宋" w:eastAsia="仿宋"/>
          <w:color w:val="000000"/>
          <w:sz w:val="32"/>
          <w:szCs w:val="32"/>
        </w:rPr>
        <w:t>150</w:t>
      </w:r>
      <w:r w:rsidRPr="003C684F">
        <w:rPr>
          <w:rFonts w:hint="eastAsia" w:ascii="仿宋" w:hAnsi="仿宋" w:eastAsia="仿宋"/>
          <w:color w:val="000000"/>
          <w:sz w:val="32"/>
          <w:szCs w:val="32"/>
        </w:rPr>
        <w:t>×10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/L的患者，本品推荐剂量为200mg</w:t>
      </w:r>
      <w:r w:rsidRPr="003C684F" w:rsidR="00023B79">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；对于体重≥77kg且基线血小板计数≥</w:t>
      </w:r>
      <w:r w:rsidRPr="003C684F">
        <w:rPr>
          <w:rFonts w:ascii="仿宋" w:hAnsi="仿宋" w:eastAsia="仿宋"/>
          <w:color w:val="000000"/>
          <w:sz w:val="32"/>
          <w:szCs w:val="32"/>
        </w:rPr>
        <w:t>150</w:t>
      </w:r>
      <w:r w:rsidRPr="003C684F">
        <w:rPr>
          <w:rFonts w:hint="eastAsia" w:ascii="仿宋" w:hAnsi="仿宋" w:eastAsia="仿宋"/>
          <w:color w:val="000000"/>
          <w:sz w:val="32"/>
          <w:szCs w:val="32"/>
        </w:rPr>
        <w:t>×10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/L的患者，本品推荐剂量为300mg</w:t>
      </w:r>
      <w:r w:rsidRPr="003C684F" w:rsidR="00023B79">
        <w:rPr>
          <w:rFonts w:hint="eastAsia" w:ascii="仿宋" w:hAnsi="仿宋" w:eastAsia="仿宋"/>
          <w:color w:val="000000"/>
          <w:sz w:val="32"/>
          <w:szCs w:val="32"/>
        </w:rPr>
        <w:t>/次</w:t>
      </w:r>
      <w:r w:rsidRPr="003C684F">
        <w:rPr>
          <w:rFonts w:hint="eastAsia" w:ascii="仿宋" w:hAnsi="仿宋" w:eastAsia="仿宋"/>
          <w:color w:val="000000"/>
          <w:sz w:val="32"/>
          <w:szCs w:val="32"/>
        </w:rPr>
        <w:t>，</w:t>
      </w:r>
      <w:r w:rsidRPr="003C684F" w:rsidR="00023B79">
        <w:rPr>
          <w:rFonts w:hint="eastAsia" w:ascii="仿宋" w:hAnsi="仿宋" w:eastAsia="仿宋"/>
          <w:color w:val="000000"/>
          <w:sz w:val="32"/>
          <w:szCs w:val="32"/>
        </w:rPr>
        <w:t>每天一次，口服，</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患者应在含铂化疗结束后的8周内开始本品治疗。（3）经过三次或三次以上化疗后的卵巢癌治疗：推荐剂量为300mg</w:t>
      </w:r>
      <w:r w:rsidRPr="003C684F" w:rsidR="00023B79">
        <w:rPr>
          <w:rFonts w:hint="eastAsia" w:ascii="仿宋" w:hAnsi="仿宋" w:eastAsia="仿宋"/>
          <w:color w:val="000000"/>
          <w:sz w:val="32"/>
          <w:szCs w:val="32"/>
        </w:rPr>
        <w:t>/次，每天一次，口服</w:t>
      </w:r>
      <w:r w:rsidRPr="003C684F">
        <w:rPr>
          <w:rFonts w:hint="eastAsia" w:ascii="仿宋" w:hAnsi="仿宋" w:eastAsia="仿宋"/>
          <w:color w:val="000000"/>
          <w:sz w:val="32"/>
          <w:szCs w:val="32"/>
        </w:rPr>
        <w:t>，直至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0A0DB039" w14:textId="1D0DB69A">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2.在每天大致相同时间服用，应整粒吞服，不应溶解或打开胶囊。在进餐或空腹时均可服用。睡前给药可能会</w:t>
      </w:r>
      <w:r w:rsidR="002272D0">
        <w:rPr>
          <w:rFonts w:hint="eastAsia" w:ascii="仿宋" w:hAnsi="仿宋" w:eastAsia="仿宋"/>
          <w:color w:val="000000"/>
          <w:sz w:val="32"/>
          <w:szCs w:val="32"/>
        </w:rPr>
        <w:t>减少</w:t>
      </w:r>
      <w:r w:rsidRPr="003C684F">
        <w:rPr>
          <w:rFonts w:hint="eastAsia" w:ascii="仿宋" w:hAnsi="仿宋" w:eastAsia="仿宋"/>
          <w:color w:val="000000"/>
          <w:sz w:val="32"/>
          <w:szCs w:val="32"/>
        </w:rPr>
        <w:t>恶心。</w:t>
      </w:r>
    </w:p>
    <w:p w:rsidRPr="003C684F" w:rsidR="009730C1" w:rsidRDefault="00A315B9" w14:paraId="4A2E30E1"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3.如果患者呕吐或漏服一剂药物，不应追加剂量，而应在第2天的常规时间服用下一次处方剂量。</w:t>
      </w:r>
    </w:p>
    <w:p w:rsidRPr="003C684F" w:rsidR="009730C1" w:rsidRDefault="00A315B9" w14:paraId="69160E17"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4.患者应在既往抗肿瘤治疗引起的血液学毒性恢复之后（基线血液学参数必须符合以下标准：中性粒细胞绝对数≥1.5×10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/L，血小板≥100×10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且血红蛋白≥90g/L），才开始本品治疗。在治疗最初的12个月内，推荐第1个月内每周检测一次全血细胞计数，在接下来11个月的治疗中每月检测一次，1年后定期检测。如果患者发生重度持续性血液学毒性反应，且在暂停用药后28天内仍未好转，应停用本品，并转诊患者至血液科，进行进一步检查，包括骨髓分析和血液样本遗传学分析。</w:t>
      </w:r>
    </w:p>
    <w:p w:rsidRPr="003C684F" w:rsidR="009730C1" w:rsidRDefault="00A315B9" w14:paraId="0E2766D8"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lastRenderedPageBreak/>
        <w:t>5.用药期间常见的各类不良反应为贫血、</w:t>
      </w:r>
      <w:r w:rsidRPr="003C684F" w:rsidR="00AA068D">
        <w:rPr>
          <w:rFonts w:hint="eastAsia" w:ascii="仿宋" w:hAnsi="仿宋" w:eastAsia="仿宋"/>
          <w:color w:val="000000"/>
          <w:sz w:val="32"/>
          <w:szCs w:val="32"/>
        </w:rPr>
        <w:t>血小板减少症</w:t>
      </w:r>
      <w:r w:rsidRPr="003C684F">
        <w:rPr>
          <w:rFonts w:hint="eastAsia" w:ascii="仿宋" w:hAnsi="仿宋" w:eastAsia="仿宋"/>
          <w:color w:val="000000"/>
          <w:sz w:val="32"/>
          <w:szCs w:val="32"/>
        </w:rPr>
        <w:t>、</w:t>
      </w:r>
      <w:r w:rsidRPr="003C684F" w:rsidR="00AA068D">
        <w:rPr>
          <w:rFonts w:hint="eastAsia" w:ascii="仿宋" w:hAnsi="仿宋" w:eastAsia="仿宋"/>
          <w:color w:val="000000"/>
          <w:sz w:val="32"/>
          <w:szCs w:val="32"/>
        </w:rPr>
        <w:t>中性粒细胞减少症</w:t>
      </w:r>
      <w:r w:rsidRPr="003C684F">
        <w:rPr>
          <w:rFonts w:hint="eastAsia" w:ascii="仿宋" w:hAnsi="仿宋" w:eastAsia="仿宋"/>
          <w:color w:val="000000"/>
          <w:sz w:val="32"/>
          <w:szCs w:val="32"/>
        </w:rPr>
        <w:t>、恶心、呕吐、腹泻、便秘、腹痛/腹胀、消化不良、口干、疲乏、食欲减退、泌尿系统感染、AST/ALT水平升高、关节痛、肌痛、头痛、头晕、味觉障碍、失眠等。尼拉帕利用于中国铂敏感复发卵巢癌维持治疗的NORA研究和中国晚期卵巢癌一线维持治疗的PRIME研究数据显示发生率最高的不良反应包括</w:t>
      </w:r>
      <w:r w:rsidRPr="003C684F" w:rsidR="00AA068D">
        <w:rPr>
          <w:rFonts w:hint="eastAsia" w:ascii="仿宋" w:hAnsi="仿宋" w:eastAsia="仿宋"/>
          <w:color w:val="000000"/>
          <w:sz w:val="32"/>
          <w:szCs w:val="32"/>
        </w:rPr>
        <w:t>白细胞减少症</w:t>
      </w:r>
      <w:r w:rsidRPr="003C684F">
        <w:rPr>
          <w:rFonts w:hint="eastAsia" w:ascii="仿宋" w:hAnsi="仿宋" w:eastAsia="仿宋"/>
          <w:color w:val="000000"/>
          <w:sz w:val="32"/>
          <w:szCs w:val="32"/>
        </w:rPr>
        <w:t>、</w:t>
      </w:r>
      <w:r w:rsidRPr="003C684F" w:rsidR="00AA068D">
        <w:rPr>
          <w:rFonts w:hint="eastAsia" w:ascii="仿宋" w:hAnsi="仿宋" w:eastAsia="仿宋"/>
          <w:color w:val="000000"/>
          <w:sz w:val="32"/>
          <w:szCs w:val="32"/>
        </w:rPr>
        <w:t>中性粒细胞减少症</w:t>
      </w:r>
      <w:r w:rsidRPr="003C684F" w:rsidR="00457DF3">
        <w:rPr>
          <w:rFonts w:hint="eastAsia" w:ascii="仿宋" w:hAnsi="仿宋" w:eastAsia="仿宋"/>
          <w:color w:val="000000"/>
          <w:sz w:val="32"/>
          <w:szCs w:val="32"/>
        </w:rPr>
        <w:t>、</w:t>
      </w:r>
      <w:r w:rsidRPr="003C684F" w:rsidR="00AA068D">
        <w:rPr>
          <w:rFonts w:hint="eastAsia" w:ascii="仿宋" w:hAnsi="仿宋" w:eastAsia="仿宋"/>
          <w:color w:val="000000"/>
          <w:sz w:val="32"/>
          <w:szCs w:val="32"/>
        </w:rPr>
        <w:t>血小板减少症</w:t>
      </w:r>
      <w:r w:rsidRPr="003C684F">
        <w:rPr>
          <w:rFonts w:hint="eastAsia" w:ascii="仿宋" w:hAnsi="仿宋" w:eastAsia="仿宋"/>
          <w:color w:val="000000"/>
          <w:sz w:val="32"/>
          <w:szCs w:val="32"/>
        </w:rPr>
        <w:t>和贫血，大多为1～2级不良反应，3～4级的发生率为6.7%～20.3%。</w:t>
      </w:r>
    </w:p>
    <w:p w:rsidRPr="003C684F" w:rsidR="009730C1" w:rsidRDefault="00A315B9" w14:paraId="18A121D2"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6.3～4级不良反应可通过治疗中断和对症处理来管理。对于非血液学毒性，待症状恢复至≤1级时，重新开始原剂量或减量治疗。对于血液学毒性，当中性粒细胞绝对数恢复至≥1.5×10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/L，血小板计数恢复至≥100×10</w:t>
      </w:r>
      <w:r w:rsidRPr="003C684F">
        <w:rPr>
          <w:rFonts w:hint="eastAsia" w:ascii="仿宋" w:hAnsi="仿宋" w:eastAsia="仿宋"/>
          <w:color w:val="000000"/>
          <w:sz w:val="32"/>
          <w:szCs w:val="32"/>
          <w:vertAlign w:val="superscript"/>
        </w:rPr>
        <w:t>9</w:t>
      </w:r>
      <w:r w:rsidRPr="003C684F">
        <w:rPr>
          <w:rFonts w:hint="eastAsia" w:ascii="仿宋" w:hAnsi="仿宋" w:eastAsia="仿宋"/>
          <w:color w:val="000000"/>
          <w:sz w:val="32"/>
          <w:szCs w:val="32"/>
        </w:rPr>
        <w:t>/L，且血红蛋白恢复至≥90g/L时，重新开始原剂量或减量治疗。</w:t>
      </w:r>
    </w:p>
    <w:p w:rsidRPr="003C684F" w:rsidR="009730C1" w:rsidRDefault="00A315B9" w14:paraId="789B355A"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7.如果需要减量，推荐按照下表执行。</w:t>
      </w:r>
    </w:p>
    <w:p w:rsidRPr="003C684F" w:rsidR="009730C1" w:rsidRDefault="00A315B9" w14:paraId="755AA325" w14:textId="6F7C7589">
      <w:pPr>
        <w:snapToGrid w:val="0"/>
        <w:spacing w:line="360" w:lineRule="auto"/>
        <w:ind w:firstLine="422" w:firstLineChars="200"/>
        <w:contextualSpacing/>
        <w:jc w:val="center"/>
        <w:rPr>
          <w:rFonts w:ascii="仿宋" w:hAnsi="仿宋" w:eastAsia="仿宋"/>
          <w:b/>
          <w:color w:val="000000"/>
        </w:rPr>
      </w:pPr>
      <w:r w:rsidRPr="003C684F">
        <w:rPr>
          <w:rFonts w:hint="eastAsia" w:ascii="仿宋" w:hAnsi="仿宋" w:eastAsia="仿宋"/>
          <w:b/>
          <w:color w:val="000000"/>
        </w:rPr>
        <w:t>表1</w:t>
      </w:r>
      <w:r w:rsidRPr="003C684F" w:rsidR="00F403F6">
        <w:rPr>
          <w:rFonts w:hint="eastAsia" w:ascii="仿宋" w:hAnsi="仿宋" w:eastAsia="仿宋"/>
          <w:b/>
          <w:color w:val="000000"/>
        </w:rPr>
        <w:t>7</w:t>
      </w:r>
      <w:r w:rsidRPr="003C684F">
        <w:rPr>
          <w:rFonts w:hint="eastAsia" w:ascii="仿宋" w:hAnsi="仿宋" w:eastAsia="仿宋"/>
          <w:b/>
          <w:color w:val="000000"/>
        </w:rPr>
        <w:t xml:space="preserve">　尼拉帕利剂量调整</w:t>
      </w:r>
    </w:p>
    <w:tbl>
      <w:tblPr>
        <w:tblStyle w:val="ac"/>
        <w:tblW w:w="0" w:type="auto"/>
        <w:tblLook w:val="04A0" w:firstRow="1" w:lastRow="0" w:firstColumn="1" w:lastColumn="0" w:noHBand="0" w:noVBand="1"/>
      </w:tblPr>
      <w:tblGrid>
        <w:gridCol w:w="2765"/>
        <w:gridCol w:w="2765"/>
        <w:gridCol w:w="2658"/>
      </w:tblGrid>
      <w:tr w:rsidRPr="003C684F" w:rsidR="009730C1" w14:paraId="15047C5C" w14:textId="77777777">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3131C08C" w14:textId="77777777">
            <w:pPr>
              <w:snapToGrid w:val="0"/>
              <w:spacing w:line="360" w:lineRule="auto"/>
              <w:contextualSpacing/>
              <w:jc w:val="left"/>
              <w:rPr>
                <w:rFonts w:ascii="仿宋" w:hAnsi="仿宋" w:eastAsia="仿宋"/>
                <w:b/>
                <w:color w:val="000000"/>
                <w:kern w:val="0"/>
                <w:sz w:val="20"/>
              </w:rPr>
            </w:pPr>
            <w:r w:rsidRPr="003C684F">
              <w:rPr>
                <w:rFonts w:hint="eastAsia" w:ascii="仿宋" w:hAnsi="仿宋" w:eastAsia="仿宋"/>
                <w:b/>
                <w:color w:val="000000"/>
                <w:kern w:val="0"/>
                <w:sz w:val="20"/>
              </w:rPr>
              <w:t>剂量降低方案</w:t>
            </w:r>
          </w:p>
        </w:tc>
        <w:tc>
          <w:tcPr>
            <w:tcW w:w="5423" w:type="dxa"/>
            <w:gridSpan w:val="2"/>
            <w:tcBorders>
              <w:top w:val="single" w:color="auto" w:sz="4" w:space="0"/>
              <w:left w:val="single" w:color="auto" w:sz="4" w:space="0"/>
              <w:bottom w:val="single" w:color="auto" w:sz="4" w:space="0"/>
              <w:right w:val="single" w:color="auto" w:sz="4" w:space="0"/>
            </w:tcBorders>
          </w:tcPr>
          <w:p w:rsidRPr="003C684F" w:rsidR="009730C1" w:rsidRDefault="00A315B9" w14:paraId="5CB4894F" w14:textId="77777777">
            <w:pPr>
              <w:snapToGrid w:val="0"/>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剂量调整水平</w:t>
            </w:r>
          </w:p>
        </w:tc>
      </w:tr>
      <w:tr w:rsidRPr="003C684F" w:rsidR="009730C1" w14:paraId="55AF58F1" w14:textId="77777777">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68239509" w14:textId="77777777">
            <w:pPr>
              <w:snapToGrid w:val="0"/>
              <w:spacing w:line="360" w:lineRule="auto"/>
              <w:contextualSpacing/>
              <w:jc w:val="left"/>
              <w:rPr>
                <w:rFonts w:ascii="仿宋" w:hAnsi="仿宋" w:eastAsia="仿宋"/>
                <w:color w:val="000000"/>
                <w:kern w:val="0"/>
              </w:rPr>
            </w:pPr>
            <w:r w:rsidRPr="003C684F">
              <w:rPr>
                <w:rFonts w:hint="eastAsia" w:ascii="仿宋" w:hAnsi="仿宋" w:eastAsia="仿宋"/>
                <w:color w:val="000000"/>
                <w:kern w:val="0"/>
              </w:rPr>
              <w:t>起始剂量水平</w:t>
            </w:r>
          </w:p>
        </w:tc>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38195C47" w14:textId="774E2918">
            <w:pPr>
              <w:snapToGrid w:val="0"/>
              <w:spacing w:line="360" w:lineRule="auto"/>
              <w:contextualSpacing/>
              <w:rPr>
                <w:rFonts w:ascii="仿宋" w:hAnsi="仿宋" w:eastAsia="仿宋"/>
                <w:color w:val="000000"/>
                <w:kern w:val="0"/>
              </w:rPr>
            </w:pPr>
            <w:bookmarkStart w:name="OLE_LINK53" w:id="7"/>
            <w:bookmarkStart w:name="OLE_LINK52" w:id="8"/>
            <w:r w:rsidRPr="003C684F">
              <w:rPr>
                <w:rFonts w:hint="eastAsia" w:ascii="仿宋" w:hAnsi="仿宋" w:eastAsia="仿宋"/>
                <w:color w:val="000000"/>
                <w:kern w:val="0"/>
              </w:rPr>
              <w:t>200mg</w:t>
            </w:r>
            <w:r w:rsidRPr="003C684F" w:rsidR="00BF6726">
              <w:rPr>
                <w:rFonts w:hint="eastAsia" w:ascii="仿宋" w:hAnsi="仿宋" w:eastAsia="仿宋"/>
                <w:color w:val="000000"/>
                <w:kern w:val="0"/>
              </w:rPr>
              <w:t>/次，每天一次</w:t>
            </w:r>
            <w:bookmarkEnd w:id="7"/>
            <w:bookmarkEnd w:id="8"/>
          </w:p>
        </w:tc>
        <w:tc>
          <w:tcPr>
            <w:tcW w:w="2658" w:type="dxa"/>
            <w:tcBorders>
              <w:top w:val="single" w:color="auto" w:sz="4" w:space="0"/>
              <w:left w:val="single" w:color="auto" w:sz="4" w:space="0"/>
              <w:bottom w:val="single" w:color="auto" w:sz="4" w:space="0"/>
              <w:right w:val="single" w:color="auto" w:sz="4" w:space="0"/>
            </w:tcBorders>
          </w:tcPr>
          <w:p w:rsidRPr="003C684F" w:rsidR="009730C1" w:rsidRDefault="00A315B9" w14:paraId="3FF5D9BF" w14:textId="6DB99AA0">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300mg</w:t>
            </w:r>
            <w:r w:rsidRPr="003C684F" w:rsidR="00BF6726">
              <w:rPr>
                <w:rFonts w:hint="eastAsia" w:ascii="仿宋" w:hAnsi="仿宋" w:eastAsia="仿宋"/>
                <w:color w:val="000000"/>
                <w:kern w:val="0"/>
              </w:rPr>
              <w:t>/次，每天一次</w:t>
            </w:r>
          </w:p>
        </w:tc>
      </w:tr>
      <w:tr w:rsidRPr="003C684F" w:rsidR="009730C1" w14:paraId="2504CFD1" w14:textId="77777777">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42F3E640" w14:textId="77777777">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首次剂量下调</w:t>
            </w:r>
          </w:p>
        </w:tc>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21D4F0C8" w14:textId="4F235274">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100mg</w:t>
            </w:r>
            <w:r w:rsidRPr="003C684F" w:rsidR="00BF6726">
              <w:rPr>
                <w:rFonts w:hint="eastAsia" w:ascii="仿宋" w:hAnsi="仿宋" w:eastAsia="仿宋"/>
                <w:color w:val="000000"/>
                <w:kern w:val="0"/>
              </w:rPr>
              <w:t>/次，每天一次</w:t>
            </w:r>
          </w:p>
        </w:tc>
        <w:tc>
          <w:tcPr>
            <w:tcW w:w="2658" w:type="dxa"/>
            <w:tcBorders>
              <w:top w:val="single" w:color="auto" w:sz="4" w:space="0"/>
              <w:left w:val="single" w:color="auto" w:sz="4" w:space="0"/>
              <w:bottom w:val="single" w:color="auto" w:sz="4" w:space="0"/>
              <w:right w:val="single" w:color="auto" w:sz="4" w:space="0"/>
            </w:tcBorders>
          </w:tcPr>
          <w:p w:rsidRPr="003C684F" w:rsidR="009730C1" w:rsidRDefault="00A315B9" w14:paraId="0125DFBC" w14:textId="5FEAA0EB">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200mg</w:t>
            </w:r>
            <w:r w:rsidRPr="003C684F" w:rsidR="00BF6726">
              <w:rPr>
                <w:rFonts w:hint="eastAsia" w:ascii="仿宋" w:hAnsi="仿宋" w:eastAsia="仿宋"/>
                <w:color w:val="000000"/>
                <w:kern w:val="0"/>
              </w:rPr>
              <w:t>/次，每天一次</w:t>
            </w:r>
          </w:p>
        </w:tc>
      </w:tr>
      <w:tr w:rsidRPr="003C684F" w:rsidR="009730C1" w14:paraId="2E915246" w14:textId="77777777">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44A55852" w14:textId="77777777">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第2次剂量下调</w:t>
            </w:r>
          </w:p>
        </w:tc>
        <w:tc>
          <w:tcPr>
            <w:tcW w:w="2765" w:type="dxa"/>
            <w:tcBorders>
              <w:top w:val="single" w:color="auto" w:sz="4" w:space="0"/>
              <w:left w:val="single" w:color="auto" w:sz="4" w:space="0"/>
              <w:bottom w:val="single" w:color="auto" w:sz="4" w:space="0"/>
              <w:right w:val="single" w:color="auto" w:sz="4" w:space="0"/>
            </w:tcBorders>
          </w:tcPr>
          <w:p w:rsidRPr="003C684F" w:rsidR="009730C1" w:rsidRDefault="00A315B9" w14:paraId="163A2D80" w14:textId="77777777">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停用本品</w:t>
            </w:r>
          </w:p>
        </w:tc>
        <w:tc>
          <w:tcPr>
            <w:tcW w:w="2658" w:type="dxa"/>
            <w:tcBorders>
              <w:top w:val="single" w:color="auto" w:sz="4" w:space="0"/>
              <w:left w:val="single" w:color="auto" w:sz="4" w:space="0"/>
              <w:bottom w:val="single" w:color="auto" w:sz="4" w:space="0"/>
              <w:right w:val="single" w:color="auto" w:sz="4" w:space="0"/>
            </w:tcBorders>
          </w:tcPr>
          <w:p w:rsidRPr="003C684F" w:rsidR="009730C1" w:rsidRDefault="00A315B9" w14:paraId="50F05247" w14:textId="16F56938">
            <w:pPr>
              <w:snapToGrid w:val="0"/>
              <w:spacing w:line="360" w:lineRule="auto"/>
              <w:contextualSpacing/>
              <w:rPr>
                <w:rFonts w:ascii="仿宋" w:hAnsi="仿宋" w:eastAsia="仿宋"/>
                <w:color w:val="000000"/>
                <w:kern w:val="0"/>
              </w:rPr>
            </w:pPr>
            <w:r w:rsidRPr="003C684F">
              <w:rPr>
                <w:rFonts w:hint="eastAsia" w:ascii="仿宋" w:hAnsi="仿宋" w:eastAsia="仿宋"/>
                <w:color w:val="000000"/>
                <w:kern w:val="0"/>
              </w:rPr>
              <w:t>100mg</w:t>
            </w:r>
            <w:r w:rsidRPr="003C684F" w:rsidR="00BF6726">
              <w:rPr>
                <w:rFonts w:hint="eastAsia" w:ascii="仿宋" w:hAnsi="仿宋" w:eastAsia="仿宋"/>
                <w:color w:val="000000"/>
                <w:kern w:val="0"/>
              </w:rPr>
              <w:t>/次，每天一次</w:t>
            </w:r>
            <w:r w:rsidRPr="003C684F" w:rsidR="00BF6726">
              <w:rPr>
                <w:rFonts w:ascii="仿宋" w:hAnsi="仿宋" w:eastAsia="仿宋"/>
                <w:color w:val="000000"/>
                <w:sz w:val="18"/>
                <w:szCs w:val="18"/>
                <w:vertAlign w:val="superscript"/>
              </w:rPr>
              <w:t>a</w:t>
            </w:r>
          </w:p>
        </w:tc>
      </w:tr>
    </w:tbl>
    <w:p w:rsidRPr="003C684F" w:rsidR="009730C1" w:rsidRDefault="00A315B9" w14:paraId="180E1129" w14:textId="230D45EE">
      <w:pPr>
        <w:snapToGrid w:val="0"/>
        <w:spacing w:line="360" w:lineRule="auto"/>
        <w:ind w:firstLine="360" w:firstLineChars="200"/>
        <w:contextualSpacing/>
        <w:rPr>
          <w:rFonts w:ascii="仿宋" w:hAnsi="仿宋" w:eastAsia="仿宋"/>
          <w:color w:val="000000"/>
          <w:sz w:val="18"/>
          <w:szCs w:val="18"/>
        </w:rPr>
      </w:pPr>
      <w:r w:rsidRPr="003C684F">
        <w:rPr>
          <w:rFonts w:ascii="仿宋" w:hAnsi="仿宋" w:eastAsia="仿宋"/>
          <w:color w:val="000000"/>
          <w:sz w:val="18"/>
          <w:szCs w:val="18"/>
          <w:vertAlign w:val="superscript"/>
        </w:rPr>
        <w:t>a</w:t>
      </w:r>
      <w:r w:rsidRPr="003C684F">
        <w:rPr>
          <w:rFonts w:hint="eastAsia" w:ascii="仿宋" w:hAnsi="仿宋" w:eastAsia="仿宋"/>
          <w:color w:val="000000"/>
          <w:sz w:val="18"/>
          <w:szCs w:val="18"/>
        </w:rPr>
        <w:t>．如果需要进一步下调至100mg</w:t>
      </w:r>
      <w:r w:rsidRPr="003C684F" w:rsidR="00BF6726">
        <w:rPr>
          <w:rFonts w:hint="eastAsia" w:ascii="仿宋" w:hAnsi="仿宋" w:eastAsia="仿宋"/>
          <w:color w:val="000000"/>
          <w:kern w:val="0"/>
        </w:rPr>
        <w:t>/次，每天一次</w:t>
      </w:r>
      <w:r w:rsidRPr="003C684F">
        <w:rPr>
          <w:rFonts w:hint="eastAsia" w:ascii="仿宋" w:hAnsi="仿宋" w:eastAsia="仿宋"/>
          <w:color w:val="000000"/>
          <w:sz w:val="18"/>
          <w:szCs w:val="18"/>
        </w:rPr>
        <w:t>以下，则停用本品。</w:t>
      </w:r>
    </w:p>
    <w:p w:rsidRPr="003C684F" w:rsidR="009730C1" w:rsidRDefault="00A315B9" w14:paraId="6EB5218A" w14:textId="7F254C50">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8.本品通过羧酸酯酶进行代谢，在与CYP诱导剂和CYP抑制剂</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使用时，</w:t>
      </w:r>
      <w:r w:rsidRPr="003C684F" w:rsidR="007811E9">
        <w:rPr>
          <w:rFonts w:hint="eastAsia" w:ascii="仿宋" w:hAnsi="仿宋" w:eastAsia="仿宋"/>
          <w:color w:val="000000"/>
          <w:sz w:val="32"/>
          <w:szCs w:val="32"/>
        </w:rPr>
        <w:t>无需</w:t>
      </w:r>
      <w:r w:rsidRPr="003C684F">
        <w:rPr>
          <w:rFonts w:hint="eastAsia" w:ascii="仿宋" w:hAnsi="仿宋" w:eastAsia="仿宋"/>
          <w:color w:val="000000"/>
          <w:sz w:val="32"/>
          <w:szCs w:val="32"/>
        </w:rPr>
        <w:t>调整剂量。</w:t>
      </w:r>
    </w:p>
    <w:p w:rsidRPr="003C684F" w:rsidR="009730C1" w:rsidRDefault="00A315B9" w14:paraId="35D4AE8F" w14:textId="38B6478B">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9.特殊人群用药：对于轻中度肝功能损伤的患者，</w:t>
      </w:r>
      <w:r w:rsidRPr="003C684F" w:rsidR="007811E9">
        <w:rPr>
          <w:rFonts w:hint="eastAsia" w:ascii="仿宋" w:hAnsi="仿宋" w:eastAsia="仿宋"/>
          <w:color w:val="000000"/>
          <w:sz w:val="32"/>
          <w:szCs w:val="32"/>
        </w:rPr>
        <w:t>无需</w:t>
      </w:r>
      <w:r w:rsidRPr="003C684F">
        <w:rPr>
          <w:rFonts w:hint="eastAsia" w:ascii="仿宋" w:hAnsi="仿宋" w:eastAsia="仿宋"/>
          <w:color w:val="000000"/>
          <w:sz w:val="32"/>
          <w:szCs w:val="32"/>
        </w:rPr>
        <w:lastRenderedPageBreak/>
        <w:t>调整剂量</w:t>
      </w:r>
      <w:r w:rsidRPr="003C684F" w:rsidR="00517360">
        <w:rPr>
          <w:rFonts w:hint="eastAsia" w:ascii="仿宋" w:hAnsi="仿宋" w:eastAsia="仿宋"/>
          <w:color w:val="000000"/>
          <w:sz w:val="32"/>
          <w:szCs w:val="32"/>
        </w:rPr>
        <w:t>；</w:t>
      </w:r>
      <w:r w:rsidRPr="003C684F">
        <w:rPr>
          <w:rFonts w:hint="eastAsia" w:ascii="仿宋" w:hAnsi="仿宋" w:eastAsia="仿宋"/>
          <w:color w:val="000000"/>
          <w:sz w:val="32"/>
          <w:szCs w:val="32"/>
        </w:rPr>
        <w:t>目前尚无重度肝功能损伤患者的数据，这些患者应慎用；对于轻中度肾功能损伤的患者，无需调整剂量</w:t>
      </w:r>
      <w:r w:rsidRPr="003C684F" w:rsidR="00517360">
        <w:rPr>
          <w:rFonts w:hint="eastAsia" w:ascii="仿宋" w:hAnsi="仿宋" w:eastAsia="仿宋"/>
          <w:color w:val="000000"/>
          <w:sz w:val="32"/>
          <w:szCs w:val="32"/>
        </w:rPr>
        <w:t>；</w:t>
      </w:r>
      <w:r w:rsidRPr="003C684F">
        <w:rPr>
          <w:rFonts w:hint="eastAsia" w:ascii="仿宋" w:hAnsi="仿宋" w:eastAsia="仿宋"/>
          <w:color w:val="000000"/>
          <w:sz w:val="32"/>
          <w:szCs w:val="32"/>
        </w:rPr>
        <w:t>目前尚无重度</w:t>
      </w:r>
      <w:r w:rsidRPr="003C684F" w:rsidR="00517360">
        <w:rPr>
          <w:rFonts w:hint="eastAsia" w:ascii="仿宋" w:hAnsi="仿宋" w:eastAsia="仿宋"/>
          <w:color w:val="000000"/>
          <w:sz w:val="32"/>
          <w:szCs w:val="32"/>
        </w:rPr>
        <w:t>肾</w:t>
      </w:r>
      <w:r w:rsidRPr="003C684F">
        <w:rPr>
          <w:rFonts w:hint="eastAsia" w:ascii="仿宋" w:hAnsi="仿宋" w:eastAsia="仿宋"/>
          <w:color w:val="000000"/>
          <w:sz w:val="32"/>
          <w:szCs w:val="32"/>
        </w:rPr>
        <w:t>功能损伤或接受血液透析治疗的终末期肾病患者的数据，这些患者应慎用；尚</w:t>
      </w:r>
      <w:r w:rsidRPr="003C684F" w:rsidR="00517360">
        <w:rPr>
          <w:rFonts w:hint="eastAsia" w:ascii="仿宋" w:hAnsi="仿宋" w:eastAsia="仿宋"/>
          <w:color w:val="000000"/>
          <w:sz w:val="32"/>
          <w:szCs w:val="32"/>
        </w:rPr>
        <w:t>未</w:t>
      </w:r>
      <w:r w:rsidRPr="003C684F">
        <w:rPr>
          <w:rFonts w:hint="eastAsia" w:ascii="仿宋" w:hAnsi="仿宋" w:eastAsia="仿宋"/>
          <w:color w:val="000000"/>
          <w:sz w:val="32"/>
          <w:szCs w:val="32"/>
        </w:rPr>
        <w:t>确定本品在18岁以下儿童和青少年</w:t>
      </w:r>
      <w:r w:rsidRPr="003C684F" w:rsidR="006F648C">
        <w:rPr>
          <w:rFonts w:hint="eastAsia" w:ascii="仿宋" w:hAnsi="仿宋" w:eastAsia="仿宋"/>
          <w:color w:val="000000"/>
          <w:sz w:val="32"/>
          <w:szCs w:val="32"/>
        </w:rPr>
        <w:t>患者</w:t>
      </w:r>
      <w:r w:rsidRPr="003C684F">
        <w:rPr>
          <w:rFonts w:hint="eastAsia" w:ascii="仿宋" w:hAnsi="仿宋" w:eastAsia="仿宋"/>
          <w:color w:val="000000"/>
          <w:sz w:val="32"/>
          <w:szCs w:val="32"/>
        </w:rPr>
        <w:t>的</w:t>
      </w:r>
      <w:r w:rsidRPr="003C684F" w:rsidR="006F648C">
        <w:rPr>
          <w:rFonts w:hint="eastAsia" w:ascii="仿宋" w:hAnsi="仿宋" w:eastAsia="仿宋"/>
          <w:color w:val="000000"/>
          <w:sz w:val="32"/>
          <w:szCs w:val="32"/>
        </w:rPr>
        <w:t>安全性和有效性</w:t>
      </w:r>
      <w:r w:rsidRPr="003C684F">
        <w:rPr>
          <w:rFonts w:hint="eastAsia" w:ascii="仿宋" w:hAnsi="仿宋" w:eastAsia="仿宋"/>
          <w:color w:val="000000"/>
          <w:sz w:val="32"/>
          <w:szCs w:val="32"/>
        </w:rPr>
        <w:t>；对于老年患者（≥65岁），无需调整剂量。年龄≥75岁的患者临床数据有限。</w:t>
      </w:r>
    </w:p>
    <w:p w:rsidRPr="003C684F" w:rsidR="009730C1" w:rsidRDefault="00A315B9" w14:paraId="3B396E81" w14:textId="77777777">
      <w:pPr>
        <w:snapToGrid w:val="0"/>
        <w:spacing w:line="360" w:lineRule="auto"/>
        <w:ind w:firstLine="640" w:firstLineChars="200"/>
        <w:contextualSpacing/>
        <w:rPr>
          <w:rFonts w:ascii="黑体" w:hAnsi="黑体" w:eastAsia="黑体"/>
          <w:color w:val="000000"/>
          <w:sz w:val="32"/>
          <w:szCs w:val="32"/>
        </w:rPr>
      </w:pPr>
      <w:r w:rsidRPr="003C684F">
        <w:rPr>
          <w:rFonts w:hint="eastAsia" w:ascii="黑体" w:hAnsi="黑体" w:eastAsia="黑体"/>
          <w:color w:val="000000"/>
          <w:sz w:val="32"/>
          <w:szCs w:val="32"/>
        </w:rPr>
        <w:t>三、氟唑帕利 Fluzoparib</w:t>
      </w:r>
    </w:p>
    <w:p w:rsidRPr="003C684F" w:rsidR="009730C1" w:rsidRDefault="00A315B9" w14:paraId="25511A70"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胶囊：50mg</w:t>
      </w:r>
    </w:p>
    <w:p w:rsidRPr="003C684F" w:rsidR="009730C1" w:rsidRDefault="00A315B9" w14:paraId="337010C8"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适应证：</w:t>
      </w:r>
    </w:p>
    <w:p w:rsidRPr="003C684F" w:rsidR="009730C1" w:rsidRDefault="00A315B9" w14:paraId="6D40972E"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1.铂敏感的复发性上皮性卵巢癌、输卵管癌或原发性腹膜癌成人患者在含铂化疗达到完全缓解或部分缓解后的维持治疗。</w:t>
      </w:r>
    </w:p>
    <w:p w:rsidRPr="003C684F" w:rsidR="009730C1" w:rsidRDefault="00A315B9" w14:paraId="61F4A756"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2.既往经过二线及以上化疗的伴有胚系BRCA突变的铂敏感复发性卵巢癌、输卵管癌或原发性腹膜癌患者的治疗。</w:t>
      </w:r>
    </w:p>
    <w:p w:rsidRPr="003C684F" w:rsidR="009730C1" w:rsidRDefault="00A315B9" w14:paraId="01C4702D"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68103155" w14:textId="51E2A0E5">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1.推荐剂量为150mg/次，每天两次（早晚各一次），</w:t>
      </w:r>
      <w:r w:rsidRPr="003C684F" w:rsidR="00461E1C">
        <w:rPr>
          <w:rFonts w:hint="eastAsia" w:ascii="仿宋" w:hAnsi="仿宋" w:eastAsia="仿宋"/>
          <w:color w:val="000000"/>
          <w:sz w:val="32"/>
          <w:szCs w:val="32"/>
        </w:rPr>
        <w:t>口服</w:t>
      </w:r>
      <w:r w:rsidRPr="003C684F">
        <w:rPr>
          <w:rFonts w:hint="eastAsia" w:ascii="仿宋" w:hAnsi="仿宋" w:eastAsia="仿宋"/>
          <w:color w:val="000000"/>
          <w:sz w:val="32"/>
          <w:szCs w:val="32"/>
        </w:rPr>
        <w:t>。患者在开始接受本品治疗后，应持续治疗直至</w:t>
      </w:r>
      <w:r w:rsidRPr="003C684F" w:rsidR="00B95507">
        <w:rPr>
          <w:rFonts w:hint="eastAsia" w:ascii="仿宋" w:hAnsi="仿宋" w:eastAsia="仿宋"/>
          <w:color w:val="000000"/>
          <w:sz w:val="32"/>
          <w:szCs w:val="32"/>
        </w:rPr>
        <w:t>疾病进展或出现不可耐受的毒性。</w:t>
      </w:r>
      <w:r w:rsidRPr="003C684F">
        <w:rPr>
          <w:rFonts w:hint="eastAsia" w:ascii="仿宋" w:hAnsi="仿宋" w:eastAsia="仿宋"/>
          <w:color w:val="000000"/>
          <w:sz w:val="32"/>
          <w:szCs w:val="32"/>
        </w:rPr>
        <w:t>针对铂敏感复发性卵巢癌的维持治疗，患者应在含铂化疗结束后的4～8周内开始本品治疗。</w:t>
      </w:r>
    </w:p>
    <w:p w:rsidRPr="003C684F" w:rsidR="009730C1" w:rsidRDefault="00A315B9" w14:paraId="5041728E" w14:textId="7E435DC2">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2.应整粒吞服。在进餐或空腹时均可服用（推荐进餐后服用）。</w:t>
      </w:r>
    </w:p>
    <w:p w:rsidRPr="003C684F" w:rsidR="009730C1" w:rsidRDefault="00A315B9" w14:paraId="79D498E9"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3.如果患者漏服一剂药物，无需补服，仍按计划时间正</w:t>
      </w:r>
      <w:r w:rsidRPr="003C684F">
        <w:rPr>
          <w:rFonts w:hint="eastAsia" w:ascii="仿宋" w:hAnsi="仿宋" w:eastAsia="仿宋"/>
          <w:color w:val="000000"/>
          <w:sz w:val="32"/>
          <w:szCs w:val="32"/>
        </w:rPr>
        <w:lastRenderedPageBreak/>
        <w:t>常服用下一剂量。</w:t>
      </w:r>
    </w:p>
    <w:p w:rsidRPr="003C684F" w:rsidR="009730C1" w:rsidRDefault="00A315B9" w14:paraId="6BFB0EFD"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4.患者应在既往抗肿瘤治疗引起的血液学毒性恢复之后（血红蛋白、血小板和中性粒细胞水平应恢复至≤CTCAE 1级），才开始本品治疗。在治疗最初的3个月内，推荐在基线进行全血细胞检测，随后每2周监测一次，之后定期监测治疗期间出现的具有临床意义的参数变化。</w:t>
      </w:r>
    </w:p>
    <w:p w:rsidRPr="003C684F" w:rsidR="009730C1" w:rsidRDefault="00A315B9" w14:paraId="197AF2EE"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如果患者出现重度或输血依赖性的血液学毒性，应中断治疗，并且应进行相关的血液学检测。如果本品给药中断4周后血液指标仍存在临床异常，则推荐骨髓分析和/或血细胞遗传学分析。</w:t>
      </w:r>
    </w:p>
    <w:p w:rsidRPr="003C684F" w:rsidR="009730C1" w:rsidRDefault="00A315B9" w14:paraId="1CC6410C" w14:textId="322303FE">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5.用药期间常见的各类不良反应（发生率≥10%，按发生率高低排序）为贫血、恶心、白细胞减少症、乏力、血小板减少症、中性粒细胞减少症、</w:t>
      </w:r>
      <w:r w:rsidRPr="003C684F" w:rsidR="00457DF3">
        <w:rPr>
          <w:rFonts w:hint="eastAsia" w:ascii="仿宋" w:hAnsi="仿宋" w:eastAsia="仿宋"/>
          <w:color w:val="000000"/>
          <w:sz w:val="32"/>
          <w:szCs w:val="32"/>
        </w:rPr>
        <w:t>腹痛、</w:t>
      </w:r>
      <w:r w:rsidRPr="003C684F">
        <w:rPr>
          <w:rFonts w:hint="eastAsia" w:ascii="仿宋" w:hAnsi="仿宋" w:eastAsia="仿宋"/>
          <w:color w:val="000000"/>
          <w:sz w:val="32"/>
          <w:szCs w:val="32"/>
        </w:rPr>
        <w:t>呕吐、食欲减退、淋巴细胞减少症、血肌酐升高、</w:t>
      </w:r>
      <w:r w:rsidRPr="003C684F" w:rsidR="00457DF3">
        <w:rPr>
          <w:rFonts w:hint="eastAsia" w:ascii="仿宋" w:hAnsi="仿宋" w:eastAsia="仿宋"/>
          <w:color w:val="000000"/>
          <w:sz w:val="32"/>
          <w:szCs w:val="32"/>
        </w:rPr>
        <w:t>血脂异常、头晕</w:t>
      </w:r>
      <w:r w:rsidRPr="003C684F">
        <w:rPr>
          <w:rFonts w:hint="eastAsia" w:ascii="仿宋" w:hAnsi="仿宋" w:eastAsia="仿宋"/>
          <w:color w:val="000000"/>
          <w:sz w:val="32"/>
          <w:szCs w:val="32"/>
        </w:rPr>
        <w:t>。大多为1～2级不良反应，3级及以上不良反应（发生率≥2%）包括：贫血、血小板减少症、中性粒细胞减少症、白细胞减少症和淋巴细胞减少症。多数不良反应通过剂量暂停或纠正治疗均能恢复。</w:t>
      </w:r>
    </w:p>
    <w:p w:rsidRPr="003C684F" w:rsidR="009730C1" w:rsidRDefault="00A315B9" w14:paraId="7CBA1FC1"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6.3～4级不良反应可通过治疗中断来管理。待症状恢复至≤1级时，重新开始原剂量或减量治疗。</w:t>
      </w:r>
    </w:p>
    <w:p w:rsidRPr="003C684F" w:rsidR="009730C1" w:rsidRDefault="00A315B9" w14:paraId="0B612A60"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7.如果需要减量，推荐剂量减至100mg/次，每天两次，即每天总剂量为200mg。如果需要进一步减量，则推荐剂量</w:t>
      </w:r>
      <w:r w:rsidRPr="003C684F">
        <w:rPr>
          <w:rFonts w:hint="eastAsia" w:ascii="仿宋" w:hAnsi="仿宋" w:eastAsia="仿宋"/>
          <w:color w:val="000000"/>
          <w:sz w:val="32"/>
          <w:szCs w:val="32"/>
        </w:rPr>
        <w:lastRenderedPageBreak/>
        <w:t>减至50mg</w:t>
      </w:r>
      <w:r w:rsidRPr="003C684F">
        <w:rPr>
          <w:rFonts w:hint="eastAsia" w:ascii="仿宋" w:hAnsi="仿宋" w:eastAsia="仿宋" w:cs="黑体"/>
          <w:sz w:val="32"/>
          <w:szCs w:val="32"/>
        </w:rPr>
        <w:t>/次</w:t>
      </w:r>
      <w:r w:rsidRPr="003C684F">
        <w:rPr>
          <w:rFonts w:hint="eastAsia" w:ascii="仿宋" w:hAnsi="仿宋" w:eastAsia="仿宋"/>
          <w:color w:val="000000"/>
          <w:sz w:val="32"/>
          <w:szCs w:val="32"/>
        </w:rPr>
        <w:t>，每天两次，即每天总剂量为100mg。</w:t>
      </w:r>
    </w:p>
    <w:p w:rsidRPr="003C684F" w:rsidR="009730C1" w:rsidRDefault="00A315B9" w14:paraId="29A350B6" w14:textId="1F40B8A9">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8.本品治疗期间避免</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使用CYP3A4强效抑制剂。如必须使用，可以停用氟唑帕利；在停止</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使用CYP3A4强效抑制剂且至该药物清除5～7个半衰期后，可恢复氟唑帕利至原给药剂量和频率。如与CYP3A4中效抑制剂</w:t>
      </w:r>
      <w:r w:rsidRPr="003C684F" w:rsidR="00F92328">
        <w:rPr>
          <w:rFonts w:hint="eastAsia" w:ascii="仿宋" w:hAnsi="仿宋" w:eastAsia="仿宋"/>
          <w:color w:val="000000"/>
          <w:sz w:val="32"/>
          <w:szCs w:val="32"/>
        </w:rPr>
        <w:t>联合使用</w:t>
      </w:r>
      <w:r w:rsidRPr="003C684F">
        <w:rPr>
          <w:rFonts w:hint="eastAsia" w:ascii="仿宋" w:hAnsi="仿宋" w:eastAsia="仿宋"/>
          <w:color w:val="000000"/>
          <w:sz w:val="32"/>
          <w:szCs w:val="32"/>
        </w:rPr>
        <w:t>时，建议下调氟唑帕利剂量至50mg。</w:t>
      </w:r>
    </w:p>
    <w:p w:rsidRPr="003C684F" w:rsidR="009730C1" w:rsidP="0037660B" w:rsidRDefault="00A315B9" w14:paraId="795C138E" w14:textId="77777777">
      <w:pPr>
        <w:snapToGrid w:val="0"/>
        <w:spacing w:line="360" w:lineRule="auto"/>
        <w:ind w:firstLine="640" w:firstLineChars="200"/>
        <w:contextualSpacing/>
        <w:outlineLvl w:val="0"/>
        <w:rPr>
          <w:rFonts w:ascii="黑体" w:hAnsi="黑体" w:eastAsia="黑体"/>
          <w:color w:val="000000"/>
          <w:sz w:val="32"/>
          <w:szCs w:val="32"/>
        </w:rPr>
      </w:pPr>
      <w:r w:rsidRPr="003C684F">
        <w:rPr>
          <w:rFonts w:hint="eastAsia" w:ascii="黑体" w:hAnsi="黑体" w:eastAsia="黑体"/>
          <w:color w:val="000000"/>
          <w:sz w:val="32"/>
          <w:szCs w:val="32"/>
        </w:rPr>
        <w:t>四、帕米帕利 Pamiparib</w:t>
      </w:r>
    </w:p>
    <w:p w:rsidRPr="003C684F" w:rsidR="009730C1" w:rsidRDefault="00A315B9" w14:paraId="5C672CB0"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胶囊：20mg</w:t>
      </w:r>
    </w:p>
    <w:p w:rsidRPr="003C684F" w:rsidR="009730C1" w:rsidRDefault="00A315B9" w14:paraId="7D2A50BF"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帕米帕利适用于既往经过二线及以上化疗的伴有胚系BRCA（gBRCA）突变的复发性晚期卵巢癌、输卵管癌或原发性腹膜癌患者的治疗。</w:t>
      </w:r>
    </w:p>
    <w:p w:rsidRPr="003C684F" w:rsidR="009730C1" w:rsidRDefault="00A315B9" w14:paraId="5B68B668"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5B2A99E8" w14:textId="2C8203A0">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1.帕米帕利推荐剂量为60mg/次，每天两次，</w:t>
      </w:r>
      <w:r w:rsidRPr="003C684F" w:rsidR="00666BD9">
        <w:rPr>
          <w:rFonts w:hint="eastAsia" w:ascii="仿宋" w:hAnsi="仿宋" w:eastAsia="仿宋"/>
          <w:color w:val="000000"/>
          <w:sz w:val="32"/>
          <w:szCs w:val="32"/>
        </w:rPr>
        <w:t>口服，</w:t>
      </w:r>
      <w:r w:rsidRPr="003C684F">
        <w:rPr>
          <w:rFonts w:hint="eastAsia" w:ascii="仿宋" w:hAnsi="仿宋" w:eastAsia="仿宋"/>
          <w:color w:val="000000"/>
          <w:sz w:val="32"/>
          <w:szCs w:val="32"/>
        </w:rPr>
        <w:t>持续治疗直至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0C5F493A"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2.建议患者在每天大致相同时间点口服给药，本品应整粒吞服，不应咀嚼、压碎、溶解或打开胶囊。本品在进餐或空腹时均可服用。</w:t>
      </w:r>
    </w:p>
    <w:p w:rsidRPr="003C684F" w:rsidR="009730C1" w:rsidRDefault="00A315B9" w14:paraId="3E88F7C8"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3.如果患者发生呕吐或漏服一次药物，不应额外补服，应按计划时间正常服用下一次处方剂量。</w:t>
      </w:r>
    </w:p>
    <w:p w:rsidRPr="003C684F" w:rsidR="009730C1" w:rsidRDefault="00A315B9" w14:paraId="279698F6"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4.在接受本品治疗的317例患者中[BGB-290-102患者例数（N）=128、BGB-290-AU-002（N）=101和BGB-290-201（N）=88]，发生率≥10%的不良反应包括：贫血、恶心、白细胞</w:t>
      </w:r>
      <w:r w:rsidRPr="003C684F">
        <w:rPr>
          <w:rFonts w:hint="eastAsia" w:ascii="仿宋" w:hAnsi="仿宋" w:eastAsia="仿宋"/>
          <w:color w:val="000000"/>
          <w:sz w:val="32"/>
          <w:szCs w:val="32"/>
        </w:rPr>
        <w:lastRenderedPageBreak/>
        <w:t>减少症、中性粒细胞减少症、呕吐、疲乏、血小板减少症、食欲减退、腹泻、腹痛、AST升高、ALT升高、血胆红素升高以及淋巴细胞减少症。</w:t>
      </w:r>
    </w:p>
    <w:p w:rsidRPr="003C684F" w:rsidR="009730C1" w:rsidRDefault="00A315B9" w14:paraId="5776DF05"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5.为管理帕米帕利的血液学不良反应，需定期检测全血细胞计数。建议在治疗的前3个月内每周检测一次，之后定期监测治疗期间出现的具有临床意义的参数变化。</w:t>
      </w:r>
    </w:p>
    <w:p w:rsidRPr="003C684F" w:rsidR="009730C1" w:rsidRDefault="00A315B9" w14:paraId="0656B1DD" w14:textId="7F3318DD">
      <w:pPr>
        <w:spacing w:line="360" w:lineRule="auto"/>
        <w:ind w:firstLine="640" w:firstLineChars="200"/>
        <w:contextualSpacing/>
        <w:rPr>
          <w:rFonts w:ascii="仿宋" w:hAnsi="仿宋" w:eastAsia="仿宋"/>
          <w:b/>
          <w:color w:val="000000"/>
        </w:rPr>
      </w:pPr>
      <w:r w:rsidRPr="003C684F">
        <w:rPr>
          <w:rFonts w:hint="eastAsia" w:ascii="仿宋" w:hAnsi="仿宋" w:eastAsia="仿宋"/>
          <w:color w:val="000000"/>
          <w:sz w:val="32"/>
          <w:szCs w:val="32"/>
        </w:rPr>
        <w:t>6.为管理药物不良反应，可根据不良反应的严重程度考虑暂停治疗或减量。第1次推荐剂量减至40mg/次，每天两次。如果需要进一步减量，则推荐剂量减至20mg</w:t>
      </w:r>
      <w:r w:rsidRPr="003C684F">
        <w:rPr>
          <w:rFonts w:hint="eastAsia" w:ascii="仿宋" w:hAnsi="仿宋" w:eastAsia="仿宋" w:cs="黑体"/>
          <w:sz w:val="32"/>
          <w:szCs w:val="32"/>
        </w:rPr>
        <w:t>/次</w:t>
      </w:r>
      <w:r w:rsidRPr="003C684F">
        <w:rPr>
          <w:rFonts w:hint="eastAsia" w:ascii="仿宋" w:hAnsi="仿宋" w:eastAsia="仿宋"/>
          <w:color w:val="000000"/>
          <w:sz w:val="32"/>
          <w:szCs w:val="32"/>
        </w:rPr>
        <w:t>，每天两次参见表1</w:t>
      </w:r>
      <w:r w:rsidRPr="003C684F" w:rsidR="00F403F6">
        <w:rPr>
          <w:rFonts w:hint="eastAsia" w:ascii="仿宋" w:hAnsi="仿宋" w:eastAsia="仿宋"/>
          <w:color w:val="000000"/>
          <w:sz w:val="32"/>
          <w:szCs w:val="32"/>
        </w:rPr>
        <w:t>8</w:t>
      </w:r>
      <w:r w:rsidRPr="003C684F">
        <w:rPr>
          <w:rFonts w:hint="eastAsia" w:ascii="仿宋" w:hAnsi="仿宋" w:eastAsia="仿宋"/>
          <w:color w:val="000000"/>
          <w:sz w:val="32"/>
          <w:szCs w:val="32"/>
        </w:rPr>
        <w:t>。针对非血液学和血液学不良反应的剂量调整要求参见表1</w:t>
      </w:r>
      <w:r w:rsidRPr="003C684F" w:rsidR="00F403F6">
        <w:rPr>
          <w:rFonts w:hint="eastAsia" w:ascii="仿宋" w:hAnsi="仿宋" w:eastAsia="仿宋"/>
          <w:color w:val="000000"/>
          <w:sz w:val="32"/>
          <w:szCs w:val="32"/>
        </w:rPr>
        <w:t>9</w:t>
      </w:r>
      <w:r w:rsidRPr="003C684F">
        <w:rPr>
          <w:rFonts w:hint="eastAsia" w:ascii="仿宋" w:hAnsi="仿宋" w:eastAsia="仿宋"/>
          <w:color w:val="000000"/>
          <w:sz w:val="32"/>
          <w:szCs w:val="32"/>
        </w:rPr>
        <w:t>和表</w:t>
      </w:r>
      <w:r w:rsidRPr="003C684F" w:rsidR="00F403F6">
        <w:rPr>
          <w:rFonts w:hint="eastAsia" w:ascii="仿宋" w:hAnsi="仿宋" w:eastAsia="仿宋"/>
          <w:color w:val="000000"/>
          <w:sz w:val="32"/>
          <w:szCs w:val="32"/>
        </w:rPr>
        <w:t>20</w:t>
      </w:r>
      <w:r w:rsidRPr="003C684F">
        <w:rPr>
          <w:rFonts w:hint="eastAsia" w:ascii="仿宋" w:hAnsi="仿宋" w:eastAsia="仿宋"/>
          <w:color w:val="000000"/>
          <w:sz w:val="32"/>
          <w:szCs w:val="32"/>
        </w:rPr>
        <w:t>。</w:t>
      </w:r>
    </w:p>
    <w:p w:rsidRPr="003C684F" w:rsidR="009730C1" w:rsidRDefault="00A315B9" w14:paraId="46F2261B" w14:textId="6DFD2B46">
      <w:pPr>
        <w:spacing w:line="360" w:lineRule="auto"/>
        <w:ind w:firstLine="422" w:firstLineChars="200"/>
        <w:contextualSpacing/>
        <w:jc w:val="center"/>
        <w:rPr>
          <w:rFonts w:ascii="仿宋" w:hAnsi="仿宋" w:eastAsia="仿宋"/>
          <w:b/>
          <w:color w:val="000000"/>
        </w:rPr>
      </w:pPr>
      <w:r w:rsidRPr="003C684F">
        <w:rPr>
          <w:rFonts w:hint="eastAsia" w:ascii="仿宋" w:hAnsi="仿宋" w:eastAsia="仿宋"/>
          <w:b/>
          <w:color w:val="000000"/>
        </w:rPr>
        <w:t>表</w:t>
      </w:r>
      <w:r w:rsidRPr="003C684F">
        <w:rPr>
          <w:rFonts w:ascii="仿宋" w:hAnsi="仿宋" w:eastAsia="仿宋"/>
          <w:b/>
          <w:color w:val="000000"/>
        </w:rPr>
        <w:t>1</w:t>
      </w:r>
      <w:r w:rsidRPr="003C684F" w:rsidR="00F403F6">
        <w:rPr>
          <w:rFonts w:hint="eastAsia" w:ascii="仿宋" w:hAnsi="仿宋" w:eastAsia="仿宋"/>
          <w:b/>
          <w:color w:val="000000"/>
        </w:rPr>
        <w:t>8</w:t>
      </w:r>
      <w:r w:rsidRPr="003C684F">
        <w:rPr>
          <w:rFonts w:hint="eastAsia" w:ascii="仿宋" w:hAnsi="仿宋" w:eastAsia="仿宋"/>
          <w:b/>
          <w:color w:val="000000"/>
        </w:rPr>
        <w:t xml:space="preserve">　针对不良反应的剂量水平下调方案</w:t>
      </w:r>
    </w:p>
    <w:tbl>
      <w:tblPr>
        <w:tblStyle w:val="ac"/>
        <w:tblW w:w="0" w:type="auto"/>
        <w:tblLook w:val="04A0" w:firstRow="1" w:lastRow="0" w:firstColumn="1" w:lastColumn="0" w:noHBand="0" w:noVBand="1"/>
      </w:tblPr>
      <w:tblGrid>
        <w:gridCol w:w="4204"/>
        <w:gridCol w:w="4318"/>
      </w:tblGrid>
      <w:tr w:rsidRPr="003C684F" w:rsidR="009730C1" w14:paraId="22DFE148" w14:textId="77777777">
        <w:tc>
          <w:tcPr>
            <w:tcW w:w="4204" w:type="dxa"/>
          </w:tcPr>
          <w:p w:rsidRPr="003C684F" w:rsidR="009730C1" w:rsidRDefault="00A315B9" w14:paraId="52ACA3D6" w14:textId="77777777">
            <w:pPr>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剂量降低方案</w:t>
            </w:r>
          </w:p>
        </w:tc>
        <w:tc>
          <w:tcPr>
            <w:tcW w:w="4318" w:type="dxa"/>
          </w:tcPr>
          <w:p w:rsidRPr="003C684F" w:rsidR="009730C1" w:rsidRDefault="00A315B9" w14:paraId="44163444" w14:textId="77777777">
            <w:pPr>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剂量调整水平</w:t>
            </w:r>
          </w:p>
        </w:tc>
      </w:tr>
      <w:tr w:rsidRPr="003C684F" w:rsidR="009730C1" w14:paraId="4FB7086D" w14:textId="77777777">
        <w:tc>
          <w:tcPr>
            <w:tcW w:w="4204" w:type="dxa"/>
          </w:tcPr>
          <w:p w:rsidRPr="003C684F" w:rsidR="009730C1" w:rsidRDefault="00A315B9" w14:paraId="01D25310"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推荐起始剂量</w:t>
            </w:r>
          </w:p>
        </w:tc>
        <w:tc>
          <w:tcPr>
            <w:tcW w:w="4318" w:type="dxa"/>
          </w:tcPr>
          <w:p w:rsidRPr="003C684F" w:rsidR="009730C1" w:rsidP="00B60E5A" w:rsidRDefault="00A315B9" w14:paraId="7CC9405C" w14:textId="7D78AB24">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6</w:t>
            </w:r>
            <w:r w:rsidRPr="003C684F">
              <w:rPr>
                <w:rFonts w:ascii="仿宋" w:hAnsi="仿宋" w:eastAsia="仿宋"/>
                <w:color w:val="000000"/>
                <w:kern w:val="0"/>
                <w:sz w:val="20"/>
              </w:rPr>
              <w:t>0</w:t>
            </w:r>
            <w:r w:rsidRPr="003C684F">
              <w:rPr>
                <w:rFonts w:hint="eastAsia" w:ascii="仿宋" w:hAnsi="仿宋" w:eastAsia="仿宋"/>
                <w:color w:val="000000"/>
                <w:kern w:val="0"/>
                <w:sz w:val="20"/>
              </w:rPr>
              <w:t>mg</w:t>
            </w:r>
            <w:r w:rsidRPr="003C684F" w:rsidR="00B60E5A">
              <w:rPr>
                <w:rFonts w:hint="eastAsia" w:ascii="仿宋" w:hAnsi="仿宋" w:eastAsia="仿宋"/>
                <w:color w:val="000000"/>
                <w:kern w:val="0"/>
                <w:sz w:val="20"/>
              </w:rPr>
              <w:t>/次</w:t>
            </w:r>
            <w:r w:rsidRPr="003C684F">
              <w:rPr>
                <w:rFonts w:hint="eastAsia" w:ascii="仿宋" w:hAnsi="仿宋" w:eastAsia="仿宋"/>
                <w:color w:val="000000"/>
                <w:kern w:val="0"/>
                <w:sz w:val="20"/>
              </w:rPr>
              <w:t>，每天两次</w:t>
            </w:r>
          </w:p>
        </w:tc>
      </w:tr>
      <w:tr w:rsidRPr="003C684F" w:rsidR="009730C1" w14:paraId="5CD164EA" w14:textId="77777777">
        <w:tc>
          <w:tcPr>
            <w:tcW w:w="4204" w:type="dxa"/>
          </w:tcPr>
          <w:p w:rsidRPr="003C684F" w:rsidR="009730C1" w:rsidRDefault="00A315B9" w14:paraId="3BCB29DF"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第1次剂量下调</w:t>
            </w:r>
          </w:p>
        </w:tc>
        <w:tc>
          <w:tcPr>
            <w:tcW w:w="4318" w:type="dxa"/>
          </w:tcPr>
          <w:p w:rsidRPr="003C684F" w:rsidR="009730C1" w:rsidP="00B60E5A" w:rsidRDefault="00A315B9" w14:paraId="7C12158B" w14:textId="7EA714D0">
            <w:pPr>
              <w:spacing w:line="360" w:lineRule="auto"/>
              <w:contextualSpacing/>
              <w:rPr>
                <w:rFonts w:ascii="仿宋" w:hAnsi="仿宋" w:eastAsia="仿宋"/>
                <w:color w:val="000000"/>
                <w:kern w:val="0"/>
                <w:sz w:val="20"/>
              </w:rPr>
            </w:pPr>
            <w:r w:rsidRPr="003C684F">
              <w:rPr>
                <w:rFonts w:ascii="仿宋" w:hAnsi="仿宋" w:eastAsia="仿宋"/>
                <w:color w:val="000000"/>
                <w:kern w:val="0"/>
                <w:sz w:val="20"/>
              </w:rPr>
              <w:t>40</w:t>
            </w:r>
            <w:r w:rsidRPr="003C684F">
              <w:rPr>
                <w:rFonts w:hint="eastAsia" w:ascii="仿宋" w:hAnsi="仿宋" w:eastAsia="仿宋"/>
                <w:color w:val="000000"/>
                <w:kern w:val="0"/>
                <w:sz w:val="20"/>
              </w:rPr>
              <w:t>mg</w:t>
            </w:r>
            <w:r w:rsidRPr="003C684F" w:rsidR="00B60E5A">
              <w:rPr>
                <w:rFonts w:hint="eastAsia" w:ascii="仿宋" w:hAnsi="仿宋" w:eastAsia="仿宋"/>
                <w:color w:val="000000"/>
                <w:kern w:val="0"/>
                <w:sz w:val="20"/>
              </w:rPr>
              <w:t>/次</w:t>
            </w:r>
            <w:r w:rsidRPr="003C684F">
              <w:rPr>
                <w:rFonts w:hint="eastAsia" w:ascii="仿宋" w:hAnsi="仿宋" w:eastAsia="仿宋"/>
                <w:color w:val="000000"/>
                <w:kern w:val="0"/>
                <w:sz w:val="20"/>
              </w:rPr>
              <w:t>，每天两次</w:t>
            </w:r>
          </w:p>
        </w:tc>
      </w:tr>
      <w:tr w:rsidRPr="003C684F" w:rsidR="009730C1" w14:paraId="3C419C91" w14:textId="77777777">
        <w:tc>
          <w:tcPr>
            <w:tcW w:w="4204" w:type="dxa"/>
          </w:tcPr>
          <w:p w:rsidRPr="003C684F" w:rsidR="009730C1" w:rsidRDefault="00A315B9" w14:paraId="681942BE"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第2次剂量下调</w:t>
            </w:r>
          </w:p>
        </w:tc>
        <w:tc>
          <w:tcPr>
            <w:tcW w:w="4318" w:type="dxa"/>
          </w:tcPr>
          <w:p w:rsidRPr="003C684F" w:rsidR="009730C1" w:rsidP="00B60E5A" w:rsidRDefault="00A315B9" w14:paraId="2C2255C8" w14:textId="47209BA5">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2</w:t>
            </w:r>
            <w:r w:rsidRPr="003C684F">
              <w:rPr>
                <w:rFonts w:ascii="仿宋" w:hAnsi="仿宋" w:eastAsia="仿宋"/>
                <w:color w:val="000000"/>
                <w:kern w:val="0"/>
                <w:sz w:val="20"/>
              </w:rPr>
              <w:t>0</w:t>
            </w:r>
            <w:r w:rsidRPr="003C684F">
              <w:rPr>
                <w:rFonts w:hint="eastAsia" w:ascii="仿宋" w:hAnsi="仿宋" w:eastAsia="仿宋"/>
                <w:color w:val="000000"/>
                <w:kern w:val="0"/>
                <w:sz w:val="20"/>
              </w:rPr>
              <w:t>mg</w:t>
            </w:r>
            <w:r w:rsidRPr="003C684F" w:rsidR="00B60E5A">
              <w:rPr>
                <w:rFonts w:hint="eastAsia" w:ascii="仿宋" w:hAnsi="仿宋" w:eastAsia="仿宋"/>
                <w:color w:val="000000"/>
                <w:kern w:val="0"/>
                <w:sz w:val="20"/>
              </w:rPr>
              <w:t>/次</w:t>
            </w:r>
            <w:r w:rsidRPr="003C684F">
              <w:rPr>
                <w:rFonts w:hint="eastAsia" w:ascii="仿宋" w:hAnsi="仿宋" w:eastAsia="仿宋"/>
                <w:color w:val="000000"/>
                <w:kern w:val="0"/>
                <w:sz w:val="20"/>
              </w:rPr>
              <w:t>，每天两次</w:t>
            </w:r>
          </w:p>
        </w:tc>
      </w:tr>
    </w:tbl>
    <w:p w:rsidRPr="003C684F" w:rsidR="009730C1" w:rsidRDefault="00A315B9" w14:paraId="3C204862" w14:textId="77777777">
      <w:pPr>
        <w:spacing w:line="360" w:lineRule="auto"/>
        <w:ind w:firstLine="360" w:firstLineChars="200"/>
        <w:contextualSpacing/>
        <w:jc w:val="left"/>
        <w:rPr>
          <w:rFonts w:ascii="仿宋" w:hAnsi="仿宋" w:eastAsia="仿宋" w:cs="Times New Roman"/>
          <w:color w:val="000000" w:themeColor="text1"/>
          <w:sz w:val="18"/>
          <w:szCs w:val="18"/>
        </w:rPr>
      </w:pPr>
      <w:r w:rsidRPr="003C684F">
        <w:rPr>
          <w:rFonts w:hint="eastAsia" w:ascii="仿宋" w:hAnsi="仿宋" w:eastAsia="仿宋" w:cs="Times New Roman"/>
          <w:color w:val="000000" w:themeColor="text1"/>
          <w:sz w:val="18"/>
          <w:szCs w:val="18"/>
        </w:rPr>
        <w:t>注：本品最多可进行两次剂量水平的下调。</w:t>
      </w:r>
    </w:p>
    <w:p w:rsidRPr="003C684F" w:rsidR="009730C1" w:rsidRDefault="00A315B9" w14:paraId="3D85AC0C" w14:textId="43FB51D0">
      <w:pPr>
        <w:spacing w:line="360" w:lineRule="auto"/>
        <w:ind w:firstLine="422" w:firstLineChars="200"/>
        <w:contextualSpacing/>
        <w:jc w:val="center"/>
        <w:rPr>
          <w:rFonts w:ascii="仿宋" w:hAnsi="仿宋" w:eastAsia="仿宋"/>
          <w:b/>
          <w:color w:val="000000"/>
        </w:rPr>
      </w:pPr>
      <w:r w:rsidRPr="003C684F">
        <w:rPr>
          <w:rFonts w:hint="eastAsia" w:ascii="仿宋" w:hAnsi="仿宋" w:eastAsia="仿宋"/>
          <w:b/>
          <w:color w:val="000000"/>
        </w:rPr>
        <w:t>表</w:t>
      </w:r>
      <w:r w:rsidRPr="003C684F" w:rsidR="00F403F6">
        <w:rPr>
          <w:rFonts w:hint="eastAsia" w:ascii="仿宋" w:hAnsi="仿宋" w:eastAsia="仿宋"/>
          <w:b/>
          <w:color w:val="000000"/>
        </w:rPr>
        <w:t>19</w:t>
      </w:r>
      <w:r w:rsidRPr="003C684F">
        <w:rPr>
          <w:rFonts w:hint="eastAsia" w:ascii="仿宋" w:hAnsi="仿宋" w:eastAsia="仿宋"/>
          <w:b/>
          <w:color w:val="000000"/>
        </w:rPr>
        <w:t xml:space="preserve">　针对非血液学不良反应的剂量调整</w:t>
      </w:r>
    </w:p>
    <w:tbl>
      <w:tblPr>
        <w:tblStyle w:val="ac"/>
        <w:tblW w:w="0" w:type="auto"/>
        <w:tblLook w:val="04A0" w:firstRow="1" w:lastRow="0" w:firstColumn="1" w:lastColumn="0" w:noHBand="0" w:noVBand="1"/>
      </w:tblPr>
      <w:tblGrid>
        <w:gridCol w:w="4261"/>
        <w:gridCol w:w="4261"/>
      </w:tblGrid>
      <w:tr w:rsidRPr="003C684F" w:rsidR="009730C1" w14:paraId="1B166C36" w14:textId="77777777">
        <w:tc>
          <w:tcPr>
            <w:tcW w:w="4261" w:type="dxa"/>
          </w:tcPr>
          <w:p w:rsidRPr="003C684F" w:rsidR="009730C1" w:rsidRDefault="00A315B9" w14:paraId="4C261709" w14:textId="77777777">
            <w:pPr>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不良反应</w:t>
            </w:r>
          </w:p>
        </w:tc>
        <w:tc>
          <w:tcPr>
            <w:tcW w:w="4261" w:type="dxa"/>
          </w:tcPr>
          <w:p w:rsidRPr="003C684F" w:rsidR="009730C1" w:rsidRDefault="00A315B9" w14:paraId="6C4E8377" w14:textId="77777777">
            <w:pPr>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剂量调整</w:t>
            </w:r>
          </w:p>
        </w:tc>
      </w:tr>
      <w:tr w:rsidRPr="003C684F" w:rsidR="009730C1" w14:paraId="5CC0F849" w14:textId="77777777">
        <w:tc>
          <w:tcPr>
            <w:tcW w:w="4261" w:type="dxa"/>
          </w:tcPr>
          <w:p w:rsidRPr="003C684F" w:rsidR="009730C1" w:rsidRDefault="00A315B9" w14:paraId="46421062"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CTCAE</w:t>
            </w:r>
            <w:r w:rsidRPr="003C684F">
              <w:rPr>
                <w:rFonts w:hint="eastAsia" w:ascii="仿宋" w:hAnsi="仿宋" w:eastAsia="仿宋"/>
                <w:color w:val="000000"/>
                <w:kern w:val="0"/>
                <w:sz w:val="20"/>
                <w:vertAlign w:val="superscript"/>
              </w:rPr>
              <w:t>*</w:t>
            </w:r>
            <w:r w:rsidRPr="003C684F">
              <w:rPr>
                <w:rFonts w:hint="eastAsia" w:ascii="仿宋" w:hAnsi="仿宋" w:eastAsia="仿宋"/>
                <w:color w:val="000000"/>
                <w:kern w:val="0"/>
                <w:sz w:val="20"/>
              </w:rPr>
              <w:t>3级非血液学不良反应，不能通过预防治疗，或经过治疗不良反应仍持续存在</w:t>
            </w:r>
          </w:p>
        </w:tc>
        <w:tc>
          <w:tcPr>
            <w:tcW w:w="4261" w:type="dxa"/>
          </w:tcPr>
          <w:p w:rsidRPr="003C684F" w:rsidR="009730C1" w:rsidRDefault="00A315B9" w14:paraId="6F7B655A"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暂停服用本品不超过28天直至不良反应缓解</w:t>
            </w:r>
          </w:p>
          <w:p w:rsidRPr="003C684F" w:rsidR="009730C1" w:rsidRDefault="00A315B9" w14:paraId="6BEC2128"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在下调的剂量下恢复本品治疗</w:t>
            </w:r>
          </w:p>
        </w:tc>
      </w:tr>
      <w:tr w:rsidRPr="003C684F" w:rsidR="009730C1" w14:paraId="0D2106D7" w14:textId="77777777">
        <w:tc>
          <w:tcPr>
            <w:tcW w:w="4261" w:type="dxa"/>
          </w:tcPr>
          <w:p w:rsidRPr="003C684F" w:rsidR="009730C1" w:rsidRDefault="00A315B9" w14:paraId="7201F2FD"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治疗后持续存在的CTCAE 4级非血液学不良反应</w:t>
            </w:r>
          </w:p>
        </w:tc>
        <w:tc>
          <w:tcPr>
            <w:tcW w:w="4261" w:type="dxa"/>
          </w:tcPr>
          <w:p w:rsidRPr="003C684F" w:rsidR="009730C1" w:rsidRDefault="00373DC1" w14:paraId="4FD3D862" w14:textId="34057155">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永久停用</w:t>
            </w:r>
          </w:p>
        </w:tc>
      </w:tr>
    </w:tbl>
    <w:p w:rsidR="009730C1" w:rsidRDefault="00A315B9" w14:paraId="47101469" w14:textId="77777777">
      <w:pPr>
        <w:spacing w:line="360" w:lineRule="auto"/>
        <w:ind w:firstLine="360" w:firstLineChars="200"/>
        <w:rPr>
          <w:rFonts w:ascii="仿宋" w:hAnsi="仿宋" w:eastAsia="仿宋" w:cs="Times New Roman"/>
          <w:color w:val="000000" w:themeColor="text1"/>
          <w:sz w:val="18"/>
          <w:szCs w:val="18"/>
        </w:rPr>
      </w:pPr>
      <w:r w:rsidRPr="003C684F">
        <w:rPr>
          <w:rFonts w:ascii="仿宋" w:hAnsi="仿宋" w:eastAsia="仿宋" w:cs="Times New Roman"/>
          <w:color w:val="000000" w:themeColor="text1"/>
          <w:sz w:val="18"/>
          <w:szCs w:val="18"/>
          <w:vertAlign w:val="superscript"/>
        </w:rPr>
        <w:t>*</w:t>
      </w:r>
      <w:r w:rsidRPr="003C684F">
        <w:rPr>
          <w:rFonts w:ascii="仿宋" w:hAnsi="仿宋" w:eastAsia="仿宋" w:cs="Times New Roman"/>
          <w:color w:val="000000" w:themeColor="text1"/>
          <w:sz w:val="18"/>
          <w:szCs w:val="18"/>
        </w:rPr>
        <w:t>注：按照美国国立癌症研究所的不良事件通用术语评估标准4.03版（NCI-CTCAEv4.03）确定严重程度分级。</w:t>
      </w:r>
    </w:p>
    <w:p w:rsidR="000A2867" w:rsidRDefault="000A2867" w14:paraId="22F880F9" w14:textId="77777777">
      <w:pPr>
        <w:spacing w:line="360" w:lineRule="auto"/>
        <w:ind w:firstLine="360" w:firstLineChars="200"/>
        <w:rPr>
          <w:rFonts w:ascii="仿宋" w:hAnsi="仿宋" w:eastAsia="仿宋" w:cs="Times New Roman"/>
          <w:color w:val="000000" w:themeColor="text1"/>
          <w:sz w:val="18"/>
          <w:szCs w:val="18"/>
        </w:rPr>
      </w:pPr>
    </w:p>
    <w:p w:rsidRPr="003C684F" w:rsidR="000A2867" w:rsidRDefault="000A2867" w14:paraId="32789AB6" w14:textId="77777777">
      <w:pPr>
        <w:spacing w:line="360" w:lineRule="auto"/>
        <w:ind w:firstLine="360" w:firstLineChars="200"/>
        <w:rPr>
          <w:rFonts w:ascii="仿宋" w:hAnsi="仿宋" w:eastAsia="仿宋"/>
          <w:color w:val="000000"/>
          <w:sz w:val="18"/>
          <w:szCs w:val="18"/>
        </w:rPr>
      </w:pPr>
    </w:p>
    <w:p w:rsidRPr="003C684F" w:rsidR="009730C1" w:rsidRDefault="00A315B9" w14:paraId="4EEBE3B9" w14:textId="5E001F31">
      <w:pPr>
        <w:snapToGrid w:val="0"/>
        <w:spacing w:line="360" w:lineRule="auto"/>
        <w:ind w:firstLine="422" w:firstLineChars="200"/>
        <w:contextualSpacing/>
        <w:jc w:val="center"/>
        <w:rPr>
          <w:rFonts w:ascii="仿宋" w:hAnsi="仿宋" w:eastAsia="仿宋"/>
          <w:b/>
          <w:color w:val="000000"/>
        </w:rPr>
      </w:pPr>
      <w:r w:rsidRPr="003C684F">
        <w:rPr>
          <w:rFonts w:hint="eastAsia" w:ascii="仿宋" w:hAnsi="仿宋" w:eastAsia="仿宋"/>
          <w:b/>
          <w:color w:val="000000"/>
        </w:rPr>
        <w:t>表</w:t>
      </w:r>
      <w:r w:rsidRPr="003C684F" w:rsidR="001B6FD3">
        <w:rPr>
          <w:rFonts w:hint="eastAsia" w:ascii="仿宋" w:hAnsi="仿宋" w:eastAsia="仿宋"/>
          <w:b/>
          <w:color w:val="000000"/>
        </w:rPr>
        <w:t>2</w:t>
      </w:r>
      <w:r w:rsidRPr="003C684F" w:rsidR="00F403F6">
        <w:rPr>
          <w:rFonts w:hint="eastAsia" w:ascii="仿宋" w:hAnsi="仿宋" w:eastAsia="仿宋"/>
          <w:b/>
          <w:color w:val="000000"/>
        </w:rPr>
        <w:t>0</w:t>
      </w:r>
      <w:r w:rsidRPr="003C684F">
        <w:rPr>
          <w:rFonts w:hint="eastAsia" w:ascii="仿宋" w:hAnsi="仿宋" w:eastAsia="仿宋"/>
          <w:b/>
          <w:color w:val="000000"/>
        </w:rPr>
        <w:t xml:space="preserve">　针对血液学不良反应的剂量调整</w:t>
      </w:r>
    </w:p>
    <w:tbl>
      <w:tblPr>
        <w:tblStyle w:val="ac"/>
        <w:tblW w:w="0" w:type="auto"/>
        <w:tblLook w:val="04A0" w:firstRow="1" w:lastRow="0" w:firstColumn="1" w:lastColumn="0" w:noHBand="0" w:noVBand="1"/>
      </w:tblPr>
      <w:tblGrid>
        <w:gridCol w:w="2093"/>
        <w:gridCol w:w="6429"/>
      </w:tblGrid>
      <w:tr w:rsidRPr="003C684F" w:rsidR="009730C1" w14:paraId="4A8A17E2" w14:textId="77777777">
        <w:tc>
          <w:tcPr>
            <w:tcW w:w="2093" w:type="dxa"/>
          </w:tcPr>
          <w:p w:rsidRPr="003C684F" w:rsidR="009730C1" w:rsidRDefault="00A315B9" w14:paraId="4A8C1968" w14:textId="77777777">
            <w:pPr>
              <w:snapToGrid w:val="0"/>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不良反应</w:t>
            </w:r>
          </w:p>
        </w:tc>
        <w:tc>
          <w:tcPr>
            <w:tcW w:w="6429" w:type="dxa"/>
          </w:tcPr>
          <w:p w:rsidRPr="003C684F" w:rsidR="009730C1" w:rsidRDefault="00A315B9" w14:paraId="7BB78584" w14:textId="77777777">
            <w:pPr>
              <w:snapToGrid w:val="0"/>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剂量调整</w:t>
            </w:r>
          </w:p>
        </w:tc>
      </w:tr>
      <w:tr w:rsidRPr="003C684F" w:rsidR="009730C1" w14:paraId="4955DC5D" w14:textId="77777777">
        <w:tc>
          <w:tcPr>
            <w:tcW w:w="2093" w:type="dxa"/>
            <w:vMerge w:val="restart"/>
          </w:tcPr>
          <w:p w:rsidRPr="003C684F" w:rsidR="009730C1" w:rsidRDefault="00A315B9" w14:paraId="2EC3078E" w14:textId="77777777">
            <w:pPr>
              <w:snapToGrid w:val="0"/>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贫血</w:t>
            </w:r>
          </w:p>
          <w:p w:rsidRPr="003C684F" w:rsidR="009730C1" w:rsidRDefault="00A315B9" w14:paraId="0B058CE2" w14:textId="77777777">
            <w:pPr>
              <w:snapToGrid w:val="0"/>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（血红蛋白＜90g/L）</w:t>
            </w:r>
          </w:p>
        </w:tc>
        <w:tc>
          <w:tcPr>
            <w:tcW w:w="6429" w:type="dxa"/>
          </w:tcPr>
          <w:p w:rsidRPr="003C684F" w:rsidR="009730C1" w:rsidRDefault="00A315B9" w14:paraId="6EFA79B7" w14:textId="77777777">
            <w:pPr>
              <w:snapToGrid w:val="0"/>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首次发生：</w:t>
            </w:r>
          </w:p>
          <w:p w:rsidRPr="003C684F" w:rsidR="009730C1" w:rsidRDefault="00A315B9" w14:paraId="1A1C437D" w14:textId="5D7E21BA">
            <w:pPr>
              <w:snapToGrid w:val="0"/>
              <w:spacing w:line="360" w:lineRule="auto"/>
              <w:ind w:firstLine="400" w:firstLineChars="200"/>
              <w:contextualSpacing/>
              <w:rPr>
                <w:rFonts w:ascii="仿宋" w:hAnsi="仿宋" w:eastAsia="仿宋"/>
                <w:color w:val="000000"/>
                <w:kern w:val="0"/>
                <w:sz w:val="20"/>
              </w:rPr>
            </w:pPr>
            <w:r w:rsidRPr="003C684F">
              <w:rPr>
                <w:rFonts w:hint="eastAsia" w:ascii="仿宋" w:hAnsi="仿宋" w:eastAsia="仿宋"/>
                <w:color w:val="000000"/>
                <w:kern w:val="0"/>
                <w:sz w:val="20"/>
              </w:rPr>
              <w:t>暂停给药并遵医嘱治疗直至血红蛋白恢复至</w:t>
            </w:r>
            <w:r w:rsidRPr="003C684F">
              <w:rPr>
                <w:rFonts w:ascii="仿宋" w:hAnsi="Cambria Math" w:eastAsia="仿宋" w:cs="Cambria Math"/>
                <w:color w:val="000000"/>
                <w:kern w:val="0"/>
                <w:sz w:val="20"/>
              </w:rPr>
              <w:t> </w:t>
            </w:r>
            <w:r w:rsidRPr="003C684F">
              <w:rPr>
                <w:rFonts w:hint="eastAsia" w:ascii="仿宋" w:hAnsi="仿宋" w:eastAsia="仿宋"/>
                <w:color w:val="000000"/>
                <w:kern w:val="0"/>
                <w:sz w:val="20"/>
              </w:rPr>
              <w:t>≥</w:t>
            </w:r>
            <w:r w:rsidRPr="003C684F">
              <w:rPr>
                <w:rFonts w:ascii="仿宋" w:hAnsi="仿宋" w:eastAsia="仿宋"/>
                <w:color w:val="000000"/>
                <w:kern w:val="0"/>
                <w:sz w:val="20"/>
              </w:rPr>
              <w:t>90</w:t>
            </w:r>
            <w:r w:rsidRPr="003C684F">
              <w:rPr>
                <w:rFonts w:ascii="仿宋" w:hAnsi="Cambria Math" w:eastAsia="仿宋" w:cs="Cambria Math"/>
                <w:color w:val="000000"/>
                <w:kern w:val="0"/>
                <w:sz w:val="20"/>
              </w:rPr>
              <w:t> </w:t>
            </w:r>
            <w:r w:rsidRPr="003C684F">
              <w:rPr>
                <w:rFonts w:hint="eastAsia" w:ascii="仿宋" w:hAnsi="仿宋" w:eastAsia="仿宋" w:cs="仿宋"/>
                <w:color w:val="000000"/>
                <w:kern w:val="0"/>
                <w:sz w:val="20"/>
              </w:rPr>
              <w:t>g/L</w:t>
            </w:r>
            <w:r w:rsidRPr="003C684F">
              <w:rPr>
                <w:rFonts w:hint="eastAsia" w:ascii="仿宋" w:hAnsi="仿宋" w:eastAsia="仿宋"/>
                <w:color w:val="000000"/>
                <w:kern w:val="0"/>
                <w:sz w:val="20"/>
              </w:rPr>
              <w:t>，下调一个剂量水平以</w:t>
            </w:r>
            <w:r w:rsidRPr="003C684F">
              <w:rPr>
                <w:rFonts w:ascii="仿宋" w:hAnsi="仿宋" w:eastAsia="仿宋"/>
                <w:color w:val="000000"/>
                <w:kern w:val="0"/>
                <w:sz w:val="20"/>
              </w:rPr>
              <w:t>40mg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每天两次给药</w:t>
            </w:r>
          </w:p>
        </w:tc>
      </w:tr>
      <w:tr w:rsidRPr="003C684F" w:rsidR="009730C1" w14:paraId="287DADFB" w14:textId="77777777">
        <w:tc>
          <w:tcPr>
            <w:tcW w:w="2093" w:type="dxa"/>
            <w:vMerge/>
          </w:tcPr>
          <w:p w:rsidRPr="003C684F" w:rsidR="009730C1" w:rsidRDefault="009730C1" w14:paraId="7DF3C056" w14:textId="77777777">
            <w:pPr>
              <w:spacing w:line="360" w:lineRule="auto"/>
              <w:contextualSpacing/>
              <w:rPr>
                <w:rFonts w:ascii="仿宋" w:hAnsi="仿宋" w:eastAsia="仿宋"/>
                <w:color w:val="000000"/>
                <w:kern w:val="0"/>
                <w:sz w:val="20"/>
              </w:rPr>
            </w:pPr>
          </w:p>
        </w:tc>
        <w:tc>
          <w:tcPr>
            <w:tcW w:w="6429" w:type="dxa"/>
          </w:tcPr>
          <w:p w:rsidRPr="003C684F" w:rsidR="009730C1" w:rsidRDefault="00A315B9" w14:paraId="0B269A4F" w14:textId="77777777">
            <w:pPr>
              <w:spacing w:line="360" w:lineRule="auto"/>
              <w:contextualSpacing/>
              <w:rPr>
                <w:rFonts w:ascii="仿宋" w:hAnsi="仿宋" w:eastAsia="仿宋"/>
                <w:b/>
                <w:color w:val="000000"/>
                <w:kern w:val="0"/>
                <w:sz w:val="20"/>
              </w:rPr>
            </w:pPr>
            <w:r w:rsidRPr="003C684F">
              <w:rPr>
                <w:rFonts w:hint="eastAsia" w:ascii="仿宋" w:hAnsi="仿宋" w:eastAsia="仿宋"/>
                <w:b/>
                <w:color w:val="000000"/>
                <w:kern w:val="0"/>
                <w:sz w:val="20"/>
              </w:rPr>
              <w:t>再次发生：</w:t>
            </w:r>
          </w:p>
          <w:p w:rsidRPr="003C684F" w:rsidR="009730C1" w:rsidRDefault="00A315B9" w14:paraId="62FA6DF0" w14:textId="4D45EF27">
            <w:pPr>
              <w:spacing w:line="360" w:lineRule="auto"/>
              <w:ind w:firstLine="400" w:firstLineChars="200"/>
              <w:contextualSpacing/>
              <w:rPr>
                <w:rFonts w:ascii="仿宋" w:hAnsi="仿宋" w:eastAsia="仿宋"/>
                <w:color w:val="000000"/>
                <w:kern w:val="0"/>
                <w:sz w:val="20"/>
              </w:rPr>
            </w:pPr>
            <w:r w:rsidRPr="003C684F">
              <w:rPr>
                <w:rFonts w:hint="eastAsia" w:ascii="仿宋" w:hAnsi="仿宋" w:eastAsia="仿宋"/>
                <w:color w:val="000000"/>
                <w:kern w:val="0"/>
                <w:sz w:val="20"/>
              </w:rPr>
              <w:t>基于临床评估给予适当的支持性治疗并继续以40mg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每天两次给药；</w:t>
            </w:r>
            <w:r w:rsidRPr="003C684F" w:rsidR="00DB4978">
              <w:rPr>
                <w:rFonts w:hint="eastAsia" w:ascii="仿宋" w:hAnsi="仿宋" w:eastAsia="仿宋"/>
                <w:color w:val="000000"/>
                <w:kern w:val="0"/>
                <w:sz w:val="20"/>
              </w:rPr>
              <w:t>或</w:t>
            </w:r>
            <w:r w:rsidRPr="003C684F">
              <w:rPr>
                <w:rFonts w:hint="eastAsia" w:ascii="仿宋" w:hAnsi="仿宋" w:eastAsia="仿宋"/>
                <w:color w:val="000000"/>
                <w:kern w:val="0"/>
                <w:sz w:val="20"/>
              </w:rPr>
              <w:t>暂停给药并遵医嘱治疗直至血红蛋白恢复至≥90g/L，以40mg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每天两次继续给药；</w:t>
            </w:r>
            <w:r w:rsidRPr="003C684F" w:rsidR="00DB4978">
              <w:rPr>
                <w:rFonts w:hint="eastAsia" w:ascii="仿宋" w:hAnsi="仿宋" w:eastAsia="仿宋"/>
                <w:color w:val="000000"/>
                <w:kern w:val="0"/>
                <w:sz w:val="20"/>
              </w:rPr>
              <w:t>或</w:t>
            </w:r>
            <w:r w:rsidRPr="003C684F">
              <w:rPr>
                <w:rFonts w:hint="eastAsia" w:ascii="仿宋" w:hAnsi="仿宋" w:eastAsia="仿宋"/>
                <w:color w:val="000000"/>
                <w:kern w:val="0"/>
                <w:sz w:val="20"/>
              </w:rPr>
              <w:t>暂停给药并遵医嘱治疗直至血红蛋白恢复至≥</w:t>
            </w:r>
            <w:r w:rsidRPr="003C684F">
              <w:rPr>
                <w:rFonts w:ascii="仿宋" w:hAnsi="Cambria Math" w:eastAsia="仿宋" w:cs="Cambria Math"/>
                <w:color w:val="000000"/>
                <w:kern w:val="0"/>
                <w:sz w:val="20"/>
              </w:rPr>
              <w:t> </w:t>
            </w:r>
            <w:r w:rsidRPr="003C684F">
              <w:rPr>
                <w:rFonts w:ascii="仿宋" w:hAnsi="仿宋" w:eastAsia="仿宋"/>
                <w:color w:val="000000"/>
                <w:kern w:val="0"/>
                <w:sz w:val="20"/>
              </w:rPr>
              <w:t>90g/L</w:t>
            </w:r>
            <w:r w:rsidRPr="003C684F">
              <w:rPr>
                <w:rFonts w:hint="eastAsia" w:ascii="仿宋" w:hAnsi="仿宋" w:eastAsia="仿宋"/>
                <w:color w:val="000000"/>
                <w:kern w:val="0"/>
                <w:sz w:val="20"/>
              </w:rPr>
              <w:t>，下调一个剂量水平以</w:t>
            </w:r>
            <w:r w:rsidRPr="003C684F">
              <w:rPr>
                <w:rFonts w:ascii="仿宋" w:hAnsi="仿宋" w:eastAsia="仿宋"/>
                <w:color w:val="000000"/>
                <w:kern w:val="0"/>
                <w:sz w:val="20"/>
              </w:rPr>
              <w:t>20mg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每天两次给药</w:t>
            </w:r>
          </w:p>
          <w:p w:rsidRPr="003C684F" w:rsidR="009730C1" w:rsidRDefault="00A315B9" w14:paraId="3C587498" w14:textId="55FE4B21">
            <w:pPr>
              <w:spacing w:line="360" w:lineRule="auto"/>
              <w:ind w:firstLine="400" w:firstLineChars="200"/>
              <w:contextualSpacing/>
              <w:rPr>
                <w:rFonts w:ascii="仿宋" w:hAnsi="仿宋" w:eastAsia="仿宋"/>
                <w:color w:val="000000"/>
                <w:kern w:val="0"/>
                <w:sz w:val="20"/>
              </w:rPr>
            </w:pPr>
            <w:r w:rsidRPr="003C684F">
              <w:rPr>
                <w:rFonts w:hint="eastAsia" w:ascii="仿宋" w:hAnsi="仿宋" w:eastAsia="仿宋"/>
                <w:color w:val="000000"/>
                <w:kern w:val="0"/>
                <w:sz w:val="20"/>
              </w:rPr>
              <w:t>若贫血危及生命，需紧急治疗：暂停给药并遵医嘱治疗直至血红蛋白恢复至≥90g/L，下调一个剂量水平以20mg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每天两次给药；在20mg</w:t>
            </w:r>
            <w:r w:rsidRPr="003C684F" w:rsidR="00201640">
              <w:rPr>
                <w:rFonts w:hint="eastAsia" w:ascii="仿宋" w:hAnsi="仿宋" w:eastAsia="仿宋"/>
                <w:color w:val="000000"/>
                <w:kern w:val="0"/>
                <w:sz w:val="20"/>
              </w:rPr>
              <w:t>/次，</w:t>
            </w:r>
            <w:r w:rsidRPr="003C684F">
              <w:rPr>
                <w:rFonts w:hint="eastAsia" w:ascii="仿宋" w:hAnsi="仿宋" w:eastAsia="仿宋"/>
                <w:color w:val="000000"/>
                <w:kern w:val="0"/>
                <w:sz w:val="20"/>
              </w:rPr>
              <w:t>每天两次剂量水平再次出现贫血危及生命，且贫血不是由于其他干扰事件（如胃肠道出血）引起，应停用本品</w:t>
            </w:r>
          </w:p>
        </w:tc>
      </w:tr>
      <w:tr w:rsidRPr="003C684F" w:rsidR="009730C1" w14:paraId="0A224E85" w14:textId="77777777">
        <w:tc>
          <w:tcPr>
            <w:tcW w:w="2093" w:type="dxa"/>
          </w:tcPr>
          <w:p w:rsidRPr="003C684F" w:rsidR="009730C1" w:rsidRDefault="00A315B9" w14:paraId="788849F3"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中性粒细胞减少[中性粒细胞绝对计数（ANC）＜1×10</w:t>
            </w:r>
            <w:r w:rsidRPr="003C684F">
              <w:rPr>
                <w:rFonts w:hint="eastAsia" w:ascii="仿宋" w:hAnsi="仿宋" w:eastAsia="仿宋"/>
                <w:color w:val="000000"/>
                <w:kern w:val="0"/>
                <w:sz w:val="20"/>
                <w:vertAlign w:val="superscript"/>
              </w:rPr>
              <w:t>9</w:t>
            </w:r>
            <w:r w:rsidRPr="003C684F">
              <w:rPr>
                <w:rFonts w:hint="eastAsia" w:ascii="仿宋" w:hAnsi="仿宋" w:eastAsia="仿宋"/>
                <w:color w:val="000000"/>
                <w:kern w:val="0"/>
                <w:sz w:val="20"/>
              </w:rPr>
              <w:t>/L或发热性中性粒细胞减少症]</w:t>
            </w:r>
          </w:p>
        </w:tc>
        <w:tc>
          <w:tcPr>
            <w:tcW w:w="6429" w:type="dxa"/>
          </w:tcPr>
          <w:p w:rsidRPr="003C684F" w:rsidR="009730C1" w:rsidRDefault="00A315B9" w14:paraId="1F89F254" w14:textId="77777777">
            <w:pPr>
              <w:spacing w:line="360" w:lineRule="auto"/>
              <w:ind w:firstLine="400" w:firstLineChars="200"/>
              <w:contextualSpacing/>
              <w:rPr>
                <w:rFonts w:ascii="仿宋" w:hAnsi="仿宋" w:eastAsia="仿宋"/>
                <w:color w:val="000000"/>
                <w:kern w:val="0"/>
                <w:sz w:val="20"/>
              </w:rPr>
            </w:pPr>
            <w:r w:rsidRPr="003C684F">
              <w:rPr>
                <w:rFonts w:hint="eastAsia" w:ascii="仿宋" w:hAnsi="仿宋" w:eastAsia="仿宋"/>
                <w:color w:val="000000"/>
                <w:kern w:val="0"/>
                <w:sz w:val="20"/>
              </w:rPr>
              <w:t>暂停给药，直至恢复至</w:t>
            </w:r>
            <w:r w:rsidRPr="003C684F">
              <w:rPr>
                <w:rFonts w:ascii="仿宋" w:hAnsi="仿宋" w:eastAsia="仿宋"/>
                <w:color w:val="000000"/>
                <w:kern w:val="0"/>
                <w:sz w:val="20"/>
              </w:rPr>
              <w:t>ANC</w:t>
            </w:r>
            <w:r w:rsidRPr="003C684F">
              <w:rPr>
                <w:rFonts w:hint="eastAsia" w:ascii="仿宋" w:hAnsi="仿宋" w:eastAsia="仿宋"/>
                <w:color w:val="000000"/>
                <w:kern w:val="0"/>
                <w:sz w:val="20"/>
              </w:rPr>
              <w:t>≥</w:t>
            </w:r>
            <w:r w:rsidRPr="003C684F">
              <w:rPr>
                <w:rFonts w:ascii="仿宋" w:hAnsi="Cambria Math" w:eastAsia="仿宋" w:cs="Cambria Math"/>
                <w:color w:val="000000"/>
                <w:kern w:val="0"/>
                <w:sz w:val="20"/>
              </w:rPr>
              <w:t> </w:t>
            </w:r>
            <w:r w:rsidRPr="003C684F">
              <w:rPr>
                <w:rFonts w:ascii="仿宋" w:hAnsi="仿宋" w:eastAsia="仿宋"/>
                <w:color w:val="000000"/>
                <w:kern w:val="0"/>
                <w:sz w:val="20"/>
              </w:rPr>
              <w:t>1.5×10</w:t>
            </w:r>
            <w:r w:rsidRPr="003C684F">
              <w:rPr>
                <w:rFonts w:ascii="仿宋" w:hAnsi="仿宋" w:eastAsia="仿宋"/>
                <w:color w:val="000000"/>
                <w:kern w:val="0"/>
                <w:sz w:val="20"/>
                <w:vertAlign w:val="superscript"/>
              </w:rPr>
              <w:t>9</w:t>
            </w:r>
            <w:r w:rsidRPr="003C684F">
              <w:rPr>
                <w:rFonts w:ascii="仿宋" w:hAnsi="仿宋" w:eastAsia="仿宋"/>
                <w:color w:val="000000"/>
                <w:kern w:val="0"/>
                <w:sz w:val="20"/>
              </w:rPr>
              <w:t>/L</w:t>
            </w:r>
            <w:r w:rsidRPr="003C684F">
              <w:rPr>
                <w:rFonts w:hint="eastAsia" w:ascii="仿宋" w:hAnsi="仿宋" w:eastAsia="仿宋"/>
                <w:color w:val="000000"/>
                <w:kern w:val="0"/>
                <w:sz w:val="20"/>
              </w:rPr>
              <w:t>或发热性中性粒细胞减少症缓解，下调一个剂量水平给药</w:t>
            </w:r>
          </w:p>
        </w:tc>
      </w:tr>
      <w:tr w:rsidRPr="003C684F" w:rsidR="009730C1" w14:paraId="13579758" w14:textId="77777777">
        <w:tc>
          <w:tcPr>
            <w:tcW w:w="2093" w:type="dxa"/>
          </w:tcPr>
          <w:p w:rsidRPr="003C684F" w:rsidR="009730C1" w:rsidRDefault="00A315B9" w14:paraId="612AFB2A" w14:textId="77777777">
            <w:pPr>
              <w:spacing w:line="360" w:lineRule="auto"/>
              <w:contextualSpacing/>
              <w:rPr>
                <w:rFonts w:ascii="仿宋" w:hAnsi="仿宋" w:eastAsia="仿宋"/>
                <w:color w:val="000000"/>
                <w:kern w:val="0"/>
                <w:sz w:val="20"/>
              </w:rPr>
            </w:pPr>
            <w:r w:rsidRPr="003C684F">
              <w:rPr>
                <w:rFonts w:hint="eastAsia" w:ascii="仿宋" w:hAnsi="仿宋" w:eastAsia="仿宋"/>
                <w:color w:val="000000"/>
                <w:kern w:val="0"/>
                <w:sz w:val="20"/>
              </w:rPr>
              <w:t>血小板减少[血小板计数（PLT）＜50×10</w:t>
            </w:r>
            <w:r w:rsidRPr="003C684F">
              <w:rPr>
                <w:rFonts w:hint="eastAsia" w:ascii="仿宋" w:hAnsi="仿宋" w:eastAsia="仿宋"/>
                <w:color w:val="000000"/>
                <w:kern w:val="0"/>
                <w:sz w:val="20"/>
                <w:vertAlign w:val="superscript"/>
              </w:rPr>
              <w:t>9</w:t>
            </w:r>
            <w:r w:rsidRPr="003C684F">
              <w:rPr>
                <w:rFonts w:hint="eastAsia" w:ascii="仿宋" w:hAnsi="仿宋" w:eastAsia="仿宋"/>
                <w:color w:val="000000"/>
                <w:kern w:val="0"/>
                <w:sz w:val="20"/>
              </w:rPr>
              <w:t>/L]</w:t>
            </w:r>
          </w:p>
        </w:tc>
        <w:tc>
          <w:tcPr>
            <w:tcW w:w="6429" w:type="dxa"/>
          </w:tcPr>
          <w:p w:rsidRPr="003C684F" w:rsidR="009730C1" w:rsidRDefault="00A315B9" w14:paraId="48F25299" w14:textId="77777777">
            <w:pPr>
              <w:spacing w:line="360" w:lineRule="auto"/>
              <w:ind w:firstLine="400" w:firstLineChars="200"/>
              <w:contextualSpacing/>
              <w:rPr>
                <w:rFonts w:ascii="仿宋" w:hAnsi="仿宋" w:eastAsia="仿宋"/>
                <w:color w:val="000000"/>
                <w:kern w:val="0"/>
                <w:sz w:val="20"/>
              </w:rPr>
            </w:pPr>
            <w:r w:rsidRPr="003C684F">
              <w:rPr>
                <w:rFonts w:hint="eastAsia" w:ascii="仿宋" w:hAnsi="仿宋" w:eastAsia="仿宋"/>
                <w:color w:val="000000"/>
                <w:kern w:val="0"/>
                <w:sz w:val="20"/>
              </w:rPr>
              <w:t>暂停给药，直到恢复至PLT≥75×10</w:t>
            </w:r>
            <w:r w:rsidRPr="003C684F">
              <w:rPr>
                <w:rFonts w:hint="eastAsia" w:ascii="仿宋" w:hAnsi="仿宋" w:eastAsia="仿宋"/>
                <w:color w:val="000000"/>
                <w:kern w:val="0"/>
                <w:sz w:val="20"/>
                <w:vertAlign w:val="superscript"/>
              </w:rPr>
              <w:t>9</w:t>
            </w:r>
            <w:r w:rsidRPr="003C684F">
              <w:rPr>
                <w:rFonts w:hint="eastAsia" w:ascii="仿宋" w:hAnsi="仿宋" w:eastAsia="仿宋"/>
                <w:color w:val="000000"/>
                <w:kern w:val="0"/>
                <w:sz w:val="20"/>
              </w:rPr>
              <w:t>/L或基线水平，下调一个剂量水平给药</w:t>
            </w:r>
          </w:p>
        </w:tc>
      </w:tr>
    </w:tbl>
    <w:p w:rsidRPr="003C684F" w:rsidR="009730C1" w:rsidRDefault="00A315B9" w14:paraId="2255C3B1" w14:textId="2D45673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7.允许</w:t>
      </w:r>
      <w:r w:rsidRPr="003C684F" w:rsidR="00C3674D">
        <w:rPr>
          <w:rFonts w:hint="eastAsia" w:ascii="仿宋" w:hAnsi="仿宋" w:eastAsia="仿宋"/>
          <w:color w:val="000000"/>
          <w:sz w:val="32"/>
          <w:szCs w:val="32"/>
        </w:rPr>
        <w:t>联合</w:t>
      </w:r>
      <w:r w:rsidRPr="003C684F">
        <w:rPr>
          <w:rFonts w:hint="eastAsia" w:ascii="仿宋" w:hAnsi="仿宋" w:eastAsia="仿宋"/>
          <w:color w:val="000000"/>
          <w:sz w:val="32"/>
          <w:szCs w:val="32"/>
        </w:rPr>
        <w:t>使用CYP3A</w:t>
      </w:r>
      <w:r w:rsidRPr="003C684F" w:rsidR="006D62A6">
        <w:rPr>
          <w:rFonts w:hint="eastAsia" w:ascii="仿宋" w:hAnsi="仿宋" w:eastAsia="仿宋"/>
          <w:color w:val="000000"/>
          <w:sz w:val="32"/>
          <w:szCs w:val="32"/>
        </w:rPr>
        <w:t>强效</w:t>
      </w:r>
      <w:r w:rsidRPr="003C684F" w:rsidR="0027238F">
        <w:rPr>
          <w:rFonts w:hint="eastAsia" w:ascii="仿宋" w:hAnsi="仿宋" w:eastAsia="仿宋"/>
          <w:color w:val="000000"/>
          <w:sz w:val="32"/>
          <w:szCs w:val="32"/>
        </w:rPr>
        <w:t>或</w:t>
      </w:r>
      <w:r w:rsidRPr="003C684F" w:rsidR="006D62A6">
        <w:rPr>
          <w:rFonts w:hint="eastAsia" w:ascii="仿宋" w:hAnsi="仿宋" w:eastAsia="仿宋"/>
          <w:color w:val="000000"/>
          <w:sz w:val="32"/>
          <w:szCs w:val="32"/>
        </w:rPr>
        <w:t>中效或轻效</w:t>
      </w:r>
      <w:r w:rsidRPr="003C684F">
        <w:rPr>
          <w:rFonts w:hint="eastAsia" w:ascii="仿宋" w:hAnsi="仿宋" w:eastAsia="仿宋"/>
          <w:color w:val="000000"/>
          <w:sz w:val="32"/>
          <w:szCs w:val="32"/>
        </w:rPr>
        <w:t>抑制剂，无需调整剂量。</w:t>
      </w:r>
    </w:p>
    <w:p w:rsidRPr="003C684F" w:rsidR="009730C1" w:rsidRDefault="00A315B9" w14:paraId="4F412408" w14:textId="77777777">
      <w:pPr>
        <w:snapToGrid w:val="0"/>
        <w:spacing w:line="360" w:lineRule="auto"/>
        <w:ind w:firstLine="640" w:firstLineChars="200"/>
        <w:contextualSpacing/>
        <w:rPr>
          <w:rFonts w:ascii="黑体" w:hAnsi="黑体" w:eastAsia="黑体"/>
          <w:color w:val="000000"/>
          <w:sz w:val="32"/>
          <w:szCs w:val="32"/>
        </w:rPr>
      </w:pPr>
      <w:r w:rsidRPr="003C684F">
        <w:rPr>
          <w:rFonts w:hint="eastAsia" w:ascii="黑体" w:hAnsi="黑体" w:eastAsia="黑体"/>
          <w:color w:val="000000"/>
          <w:sz w:val="32"/>
          <w:szCs w:val="32"/>
        </w:rPr>
        <w:t>五、贝伐珠单抗 Bevacizumab</w:t>
      </w:r>
    </w:p>
    <w:p w:rsidRPr="003C684F" w:rsidR="009730C1" w:rsidRDefault="00A315B9" w14:paraId="111032BB" w14:textId="28C2F0AA">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w:t>
      </w:r>
      <w:r w:rsidRPr="003C684F" w:rsidR="00500567">
        <w:rPr>
          <w:rFonts w:hint="eastAsia" w:ascii="仿宋" w:hAnsi="仿宋" w:eastAsia="仿宋"/>
          <w:color w:val="000000"/>
          <w:sz w:val="32"/>
          <w:szCs w:val="32"/>
        </w:rPr>
        <w:t>剂</w:t>
      </w:r>
      <w:r w:rsidRPr="003C684F">
        <w:rPr>
          <w:rFonts w:hint="eastAsia" w:ascii="仿宋" w:hAnsi="仿宋" w:eastAsia="仿宋"/>
          <w:color w:val="000000"/>
          <w:sz w:val="32"/>
          <w:szCs w:val="32"/>
        </w:rPr>
        <w:t>：100mg（4ml）/瓶</w:t>
      </w:r>
      <w:r w:rsidRPr="003C684F" w:rsidR="00742EF8">
        <w:rPr>
          <w:rFonts w:hint="eastAsia" w:ascii="仿宋" w:hAnsi="仿宋" w:eastAsia="仿宋"/>
          <w:color w:val="000000"/>
          <w:sz w:val="32"/>
          <w:szCs w:val="32"/>
        </w:rPr>
        <w:t>、400mg（16ml）/瓶</w:t>
      </w:r>
    </w:p>
    <w:p w:rsidRPr="003C684F" w:rsidR="009730C1" w:rsidRDefault="00A315B9" w14:paraId="3576F205"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lastRenderedPageBreak/>
        <w:t>适应证：</w:t>
      </w:r>
    </w:p>
    <w:p w:rsidRPr="003C684F" w:rsidR="009730C1" w:rsidRDefault="00A315B9" w14:paraId="2F2F8B99"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1.贝伐珠单抗联合卡铂和紫杉醇用于初次手术切除后的Ⅲ期或Ⅳ期上皮性卵巢癌、输卵管癌或原发性腹膜癌患者的一线治疗。</w:t>
      </w:r>
    </w:p>
    <w:p w:rsidRPr="003C684F" w:rsidR="009730C1" w:rsidRDefault="00A315B9" w14:paraId="4E0B47FE"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2.贝伐珠单抗联合紫杉醇和顺铂或紫杉醇和托泊替康用于持续性、复发性或转移性宫颈癌患者的治疗。</w:t>
      </w:r>
    </w:p>
    <w:p w:rsidRPr="003C684F" w:rsidR="009730C1" w:rsidRDefault="00A315B9" w14:paraId="21D5CC31"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t>合理用药要点：</w:t>
      </w:r>
    </w:p>
    <w:p w:rsidRPr="003C684F" w:rsidR="009730C1" w:rsidRDefault="00A315B9" w14:paraId="22074360" w14:textId="0D1C3ABB">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w:t>
      </w:r>
      <w:r w:rsidRPr="003C684F" w:rsidR="00077834">
        <w:rPr>
          <w:rFonts w:hint="eastAsia" w:ascii="仿宋" w:hAnsi="仿宋" w:eastAsia="仿宋"/>
          <w:color w:val="000000"/>
          <w:sz w:val="32"/>
          <w:szCs w:val="32"/>
        </w:rPr>
        <w:t>贝伐珠单抗可用于初次手术切除后的晚期卵巢癌患者一线治疗和持续性、复发性或转移性宫颈癌患者的一线治疗。</w:t>
      </w:r>
    </w:p>
    <w:p w:rsidRPr="003C684F" w:rsidR="009730C1" w:rsidRDefault="00A315B9" w14:paraId="0BB08FF9" w14:textId="2E8B5700">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2.上皮性卵巢癌、输卵管癌或原发性腹膜癌推荐剂量为15mg/kg，每3周一次</w:t>
      </w:r>
      <w:r w:rsidRPr="003C684F" w:rsidR="000E5E6A">
        <w:rPr>
          <w:rFonts w:hint="eastAsia" w:ascii="仿宋" w:hAnsi="仿宋" w:eastAsia="仿宋"/>
          <w:color w:val="000000"/>
          <w:sz w:val="32"/>
          <w:szCs w:val="32"/>
        </w:rPr>
        <w:t>，</w:t>
      </w:r>
      <w:r w:rsidRPr="003C684F">
        <w:rPr>
          <w:rFonts w:hint="eastAsia" w:ascii="仿宋" w:hAnsi="仿宋" w:eastAsia="仿宋"/>
          <w:color w:val="000000"/>
          <w:sz w:val="32"/>
          <w:szCs w:val="32"/>
        </w:rPr>
        <w:t>静脉</w:t>
      </w:r>
      <w:r w:rsidRPr="003C684F" w:rsidR="000E5E6A">
        <w:rPr>
          <w:rFonts w:hint="eastAsia" w:ascii="仿宋" w:hAnsi="仿宋" w:eastAsia="仿宋"/>
          <w:color w:val="000000"/>
          <w:sz w:val="32"/>
          <w:szCs w:val="32"/>
        </w:rPr>
        <w:t>输注</w:t>
      </w:r>
      <w:r w:rsidRPr="003C684F">
        <w:rPr>
          <w:rFonts w:hint="eastAsia" w:ascii="仿宋" w:hAnsi="仿宋" w:eastAsia="仿宋"/>
          <w:color w:val="000000"/>
          <w:sz w:val="32"/>
          <w:szCs w:val="32"/>
        </w:rPr>
        <w:t>，与卡铂和紫杉醇</w:t>
      </w:r>
      <w:r w:rsidRPr="003C684F" w:rsidR="00DE313C">
        <w:rPr>
          <w:rFonts w:hint="eastAsia" w:ascii="仿宋" w:hAnsi="仿宋" w:eastAsia="仿宋"/>
          <w:color w:val="000000"/>
          <w:sz w:val="32"/>
          <w:szCs w:val="32"/>
        </w:rPr>
        <w:t>联合使用</w:t>
      </w:r>
      <w:r w:rsidRPr="003C684F">
        <w:rPr>
          <w:rFonts w:hint="eastAsia" w:ascii="仿宋" w:hAnsi="仿宋" w:eastAsia="仿宋"/>
          <w:color w:val="000000"/>
          <w:sz w:val="32"/>
          <w:szCs w:val="32"/>
        </w:rPr>
        <w:t xml:space="preserve">，最多治疗6个周期，之后贝伐珠单抗15mg/kg，每3周一次作为单药治疗，总共最多治疗22个周期或直至疾病进展，以先发生者为准。 </w:t>
      </w:r>
    </w:p>
    <w:p w:rsidRPr="003C684F" w:rsidR="009730C1" w:rsidRDefault="00A315B9" w14:paraId="0F8FEB9F" w14:textId="68898D59">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3.贝伐珠单抗与下列一种化疗方案联合使用治疗宫颈癌：紫杉醇和顺铂或紫杉醇和托泊替康。贝伐珠单抗的推荐用量为15mg/kg，每3周一次，静脉输注。建议持续贝伐珠单抗的治疗直至</w:t>
      </w:r>
      <w:r w:rsidRPr="003C684F" w:rsidR="00B95507">
        <w:rPr>
          <w:rFonts w:hint="eastAsia" w:ascii="仿宋" w:hAnsi="仿宋" w:eastAsia="仿宋"/>
          <w:color w:val="000000"/>
          <w:sz w:val="32"/>
          <w:szCs w:val="32"/>
        </w:rPr>
        <w:t>疾病进展或出现不可耐受的毒性。</w:t>
      </w:r>
    </w:p>
    <w:p w:rsidRPr="003C684F" w:rsidR="009730C1" w:rsidRDefault="00A315B9" w14:paraId="1F4EF407"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4.贝伐珠单抗稀释后采用静脉输注的方式给药，首次静脉输注时间需持续90分钟。如果第1次输注耐受性良好，则第2次输注的时间可以缩短到60分钟。如果患者对60分</w:t>
      </w:r>
      <w:r w:rsidRPr="003C684F">
        <w:rPr>
          <w:rFonts w:hint="eastAsia" w:ascii="仿宋" w:hAnsi="仿宋" w:eastAsia="仿宋"/>
          <w:color w:val="000000"/>
          <w:sz w:val="32"/>
          <w:szCs w:val="32"/>
        </w:rPr>
        <w:lastRenderedPageBreak/>
        <w:t>钟的输注也具有良好的耐受性，那么随后进行的所有输注都可以用30分钟的时间完成。贝伐珠单抗不能采用静脉内推注或快速注射。</w:t>
      </w:r>
    </w:p>
    <w:p w:rsidRPr="003C684F" w:rsidR="009730C1" w:rsidRDefault="00A315B9" w14:paraId="32F46C0A" w14:textId="07BAD0D2">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5.贝伐珠单抗配制，用0.9%氯化钠溶液稀释到需要的给药容积。贝伐珠单抗溶液的终浓度应该保持在1.4～16.5mg/ml之间。</w:t>
      </w:r>
    </w:p>
    <w:p w:rsidRPr="003C684F" w:rsidR="009730C1" w:rsidRDefault="00A315B9" w14:paraId="65E177A6" w14:textId="7E682E0F">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6.贝伐珠单抗禁止冷冻储存，禁止</w:t>
      </w:r>
      <w:r w:rsidR="002272D0">
        <w:rPr>
          <w:rFonts w:hint="eastAsia" w:ascii="仿宋" w:hAnsi="仿宋" w:eastAsia="仿宋"/>
          <w:color w:val="000000"/>
          <w:sz w:val="32"/>
          <w:szCs w:val="32"/>
        </w:rPr>
        <w:t>晃</w:t>
      </w:r>
      <w:r w:rsidRPr="003C684F">
        <w:rPr>
          <w:rFonts w:hint="eastAsia" w:ascii="仿宋" w:hAnsi="仿宋" w:eastAsia="仿宋"/>
          <w:color w:val="000000"/>
          <w:sz w:val="32"/>
          <w:szCs w:val="32"/>
        </w:rPr>
        <w:t>动。应避光，2～8℃在原包装中储存和运输。</w:t>
      </w:r>
    </w:p>
    <w:p w:rsidRPr="003C684F" w:rsidR="009730C1" w:rsidRDefault="00A315B9" w14:paraId="15B8081A" w14:textId="24E9B3E6">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7.在2～30℃条件下，0.9%氯化钠溶液中，贝伐珠单抗在使用过程中的化学和物理稳定性可以保持48个小时。产品在无菌条件下配制后在2～8℃条件下的储存时间不宜超过24小时。</w:t>
      </w:r>
    </w:p>
    <w:p w:rsidRPr="003C684F" w:rsidR="009730C1" w:rsidRDefault="00A315B9" w14:paraId="501B9D65"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8.出现以下情况，停止使用贝伐珠单抗：胃肠道严重不良反应（胃肠道穿孔、胃肠道瘘形成、腹腔脓肿），内脏瘘形成；</w:t>
      </w:r>
      <w:r w:rsidRPr="003C684F" w:rsidR="00457DF3">
        <w:rPr>
          <w:rFonts w:hint="eastAsia" w:ascii="仿宋" w:hAnsi="仿宋" w:eastAsia="仿宋"/>
          <w:color w:val="000000"/>
          <w:sz w:val="32"/>
          <w:szCs w:val="32"/>
        </w:rPr>
        <w:t>需要干预治疗的伤口裂开以及伤口愈合并发症重度</w:t>
      </w:r>
      <w:r w:rsidRPr="003C684F">
        <w:rPr>
          <w:rFonts w:hint="eastAsia" w:ascii="仿宋" w:hAnsi="仿宋" w:eastAsia="仿宋"/>
          <w:color w:val="000000"/>
          <w:sz w:val="32"/>
          <w:szCs w:val="32"/>
        </w:rPr>
        <w:t>出血；</w:t>
      </w:r>
      <w:r w:rsidRPr="003C684F" w:rsidR="00457DF3">
        <w:rPr>
          <w:rFonts w:hint="eastAsia" w:ascii="仿宋" w:hAnsi="仿宋" w:eastAsia="仿宋"/>
          <w:color w:val="000000"/>
          <w:sz w:val="32"/>
          <w:szCs w:val="32"/>
        </w:rPr>
        <w:t>重度</w:t>
      </w:r>
      <w:r w:rsidRPr="003C684F">
        <w:rPr>
          <w:rFonts w:hint="eastAsia" w:ascii="仿宋" w:hAnsi="仿宋" w:eastAsia="仿宋"/>
          <w:color w:val="000000"/>
          <w:sz w:val="32"/>
          <w:szCs w:val="32"/>
        </w:rPr>
        <w:t>动脉血栓事件；</w:t>
      </w:r>
      <w:r w:rsidRPr="003C684F" w:rsidR="00457DF3">
        <w:rPr>
          <w:rFonts w:hint="eastAsia" w:ascii="仿宋" w:hAnsi="仿宋" w:eastAsia="仿宋"/>
          <w:color w:val="000000"/>
          <w:sz w:val="32"/>
          <w:szCs w:val="32"/>
        </w:rPr>
        <w:t>危及生命（4级）的静脉血栓栓塞事件；</w:t>
      </w:r>
      <w:r w:rsidRPr="003C684F">
        <w:rPr>
          <w:rFonts w:hint="eastAsia" w:ascii="仿宋" w:hAnsi="仿宋" w:eastAsia="仿宋"/>
          <w:color w:val="000000"/>
          <w:sz w:val="32"/>
          <w:szCs w:val="32"/>
        </w:rPr>
        <w:t>高血压危象或高血压脑病；可逆性后部脑病综合征；肾病综合征</w:t>
      </w:r>
      <w:r w:rsidRPr="003C684F" w:rsidR="00457DF3">
        <w:rPr>
          <w:rFonts w:hint="eastAsia" w:ascii="仿宋" w:hAnsi="仿宋" w:eastAsia="仿宋"/>
          <w:color w:val="000000"/>
          <w:sz w:val="32"/>
          <w:szCs w:val="32"/>
        </w:rPr>
        <w:t>。</w:t>
      </w:r>
    </w:p>
    <w:p w:rsidRPr="003C684F" w:rsidR="006333E2" w:rsidP="006333E2" w:rsidRDefault="006333E2" w14:paraId="24B10502" w14:textId="77777777">
      <w:pPr>
        <w:snapToGrid w:val="0"/>
        <w:spacing w:line="360" w:lineRule="auto"/>
        <w:ind w:firstLine="640" w:firstLineChars="200"/>
        <w:contextualSpacing/>
        <w:rPr>
          <w:rFonts w:ascii="黑体" w:hAnsi="黑体" w:eastAsia="黑体"/>
          <w:color w:val="000000"/>
          <w:sz w:val="32"/>
          <w:szCs w:val="32"/>
        </w:rPr>
      </w:pPr>
      <w:r w:rsidRPr="003C684F">
        <w:rPr>
          <w:rFonts w:hint="eastAsia" w:ascii="黑体" w:hAnsi="黑体" w:eastAsia="黑体"/>
          <w:color w:val="000000"/>
          <w:sz w:val="32"/>
          <w:szCs w:val="32"/>
        </w:rPr>
        <w:t>六、卡度尼利单抗 Candonilimab</w:t>
      </w:r>
    </w:p>
    <w:p w:rsidRPr="003C684F" w:rsidR="006333E2" w:rsidP="006333E2" w:rsidRDefault="006333E2" w14:paraId="3619E429"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制剂与规格：</w:t>
      </w:r>
      <w:r w:rsidRPr="003C684F">
        <w:rPr>
          <w:rFonts w:hint="eastAsia" w:ascii="仿宋" w:hAnsi="仿宋" w:eastAsia="仿宋"/>
          <w:color w:val="000000"/>
          <w:sz w:val="32"/>
          <w:szCs w:val="32"/>
        </w:rPr>
        <w:t>注射液：125mg（10ml）/瓶</w:t>
      </w:r>
    </w:p>
    <w:p w:rsidRPr="003C684F" w:rsidR="006333E2" w:rsidP="006333E2" w:rsidRDefault="006333E2" w14:paraId="1A52C8D8" w14:textId="77777777">
      <w:pPr>
        <w:snapToGrid w:val="0"/>
        <w:spacing w:line="360" w:lineRule="auto"/>
        <w:ind w:firstLine="643" w:firstLineChars="200"/>
        <w:contextualSpacing/>
        <w:rPr>
          <w:rFonts w:ascii="仿宋" w:hAnsi="仿宋" w:eastAsia="仿宋"/>
          <w:color w:val="000000"/>
          <w:sz w:val="32"/>
          <w:szCs w:val="32"/>
        </w:rPr>
      </w:pPr>
      <w:r w:rsidRPr="003C684F">
        <w:rPr>
          <w:rFonts w:hint="eastAsia" w:ascii="仿宋" w:hAnsi="仿宋" w:eastAsia="仿宋"/>
          <w:b/>
          <w:color w:val="000000"/>
          <w:sz w:val="32"/>
          <w:szCs w:val="32"/>
        </w:rPr>
        <w:t>适应证：</w:t>
      </w:r>
      <w:r w:rsidRPr="003C684F">
        <w:rPr>
          <w:rFonts w:hint="eastAsia" w:ascii="仿宋" w:hAnsi="仿宋" w:eastAsia="仿宋"/>
          <w:color w:val="000000"/>
          <w:sz w:val="32"/>
          <w:szCs w:val="32"/>
        </w:rPr>
        <w:t>适用于既往接受含铂化疗治疗失败的复发或转移性宫颈癌患者的治疗。</w:t>
      </w:r>
    </w:p>
    <w:p w:rsidRPr="003C684F" w:rsidR="006333E2" w:rsidP="006333E2" w:rsidRDefault="006333E2" w14:paraId="74EFD909" w14:textId="77777777">
      <w:pPr>
        <w:snapToGrid w:val="0"/>
        <w:spacing w:line="360" w:lineRule="auto"/>
        <w:ind w:firstLine="643" w:firstLineChars="200"/>
        <w:contextualSpacing/>
        <w:rPr>
          <w:rFonts w:ascii="仿宋" w:hAnsi="仿宋" w:eastAsia="仿宋"/>
          <w:b/>
          <w:color w:val="000000"/>
          <w:sz w:val="32"/>
          <w:szCs w:val="32"/>
        </w:rPr>
      </w:pPr>
      <w:r w:rsidRPr="003C684F">
        <w:rPr>
          <w:rFonts w:hint="eastAsia" w:ascii="仿宋" w:hAnsi="仿宋" w:eastAsia="仿宋"/>
          <w:b/>
          <w:color w:val="000000"/>
          <w:sz w:val="32"/>
          <w:szCs w:val="32"/>
        </w:rPr>
        <w:lastRenderedPageBreak/>
        <w:t>合理用药要点：</w:t>
      </w:r>
    </w:p>
    <w:p w:rsidRPr="003C684F" w:rsidR="006333E2" w:rsidP="006333E2" w:rsidRDefault="006333E2" w14:paraId="306634EB"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1.卡度尼利单抗的推荐剂量为6mg/kg，每2周一次，静脉输注，直至疾病进展或出现不可耐受的毒性。卡度尼利单抗采用无菌技术进行稀释后，在专业医生指导下静脉输注给药，输注宜在约60分钟（±10分钟）完成，本品不得采用静脉推注或快速静脉注射给药。</w:t>
      </w:r>
    </w:p>
    <w:p w:rsidRPr="003C684F" w:rsidR="006333E2" w:rsidP="006333E2" w:rsidRDefault="006333E2" w14:paraId="5C08DE95"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2.根据个体患者的安全性和耐受性，可能需要暂停给药或永久停用，不建议增加或减少剂量。</w:t>
      </w:r>
    </w:p>
    <w:p w:rsidRPr="003C684F" w:rsidR="006333E2" w:rsidP="006333E2" w:rsidRDefault="006333E2" w14:paraId="5B4FD158"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3.有可能观察到非典型反应，如果患者临床症状稳定或持续减轻，即使影像学有疾病进展的初步证据，基于总体临床获益的判断，可考虑继续应用本品治疗，直至证实疾病进展。</w:t>
      </w:r>
    </w:p>
    <w:p w:rsidRPr="003C684F" w:rsidR="006333E2" w:rsidP="006333E2" w:rsidRDefault="006333E2" w14:paraId="201F074B"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4.卡度尼利单抗是一种人源化免疫球蛋白G1双特异性抗体，尚未进行与其他药物药代动力学相互作用研究。因为单克隆抗体不经CYP450酶或其他药物代谢酶代谢，所以合并使用的药物对这些酶的抑制或诱导作用预期不会影响本品的药代动力学。考虑全身性糖皮质激素及其他免疫抑制剂干扰卡度尼利单抗药效学活性可能性，应避免在开始治疗前使用。如果为了治疗免疫相关性不良反应，可在开始本品治疗后使用全身性糖皮质激素及其他免疫抑制剂。</w:t>
      </w:r>
    </w:p>
    <w:p w:rsidRPr="003C684F" w:rsidR="006333E2" w:rsidP="006333E2" w:rsidRDefault="006333E2" w14:paraId="6167986B"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5.尚未确定本品在18岁以下儿童和青少年患者的安全性和有效性。老年患者（≥65岁）建议在医生的指导下慎用，</w:t>
      </w:r>
      <w:r w:rsidRPr="003C684F">
        <w:rPr>
          <w:rFonts w:hint="eastAsia" w:ascii="仿宋" w:hAnsi="仿宋" w:eastAsia="仿宋"/>
          <w:color w:val="000000"/>
          <w:sz w:val="32"/>
          <w:szCs w:val="32"/>
        </w:rPr>
        <w:lastRenderedPageBreak/>
        <w:t>无需进行剂量调整。</w:t>
      </w:r>
    </w:p>
    <w:p w:rsidRPr="003C684F" w:rsidR="006333E2" w:rsidP="006333E2" w:rsidRDefault="006333E2" w14:paraId="5E4F2858" w14:textId="77777777">
      <w:pPr>
        <w:snapToGrid w:val="0"/>
        <w:spacing w:line="360" w:lineRule="auto"/>
        <w:ind w:firstLine="640" w:firstLineChars="200"/>
        <w:contextualSpacing/>
        <w:rPr>
          <w:rFonts w:ascii="仿宋" w:hAnsi="仿宋" w:eastAsia="仿宋"/>
          <w:color w:val="000000"/>
          <w:sz w:val="32"/>
          <w:szCs w:val="32"/>
        </w:rPr>
      </w:pPr>
      <w:r w:rsidRPr="003C684F">
        <w:rPr>
          <w:rFonts w:hint="eastAsia" w:ascii="仿宋" w:hAnsi="仿宋" w:eastAsia="仿宋"/>
          <w:color w:val="000000"/>
          <w:sz w:val="32"/>
          <w:szCs w:val="32"/>
        </w:rPr>
        <w:t>6.本品尚无针对中重度肝肾功能损伤患者的研究数据，中重度肝肾功能损伤患者不推荐使用。轻度肝肾功能损伤患者应在医生指导下慎用本品，如需使用，无需进行剂量调整。</w:t>
      </w:r>
    </w:p>
    <w:p w:rsidRPr="003C684F" w:rsidR="009730C1" w:rsidP="006333E2" w:rsidRDefault="006333E2" w14:paraId="4E71FE43" w14:textId="1DCBB241">
      <w:pPr>
        <w:spacing w:line="360" w:lineRule="auto"/>
        <w:ind w:firstLine="640" w:firstLineChars="200"/>
        <w:rPr>
          <w:rFonts w:ascii="仿宋" w:hAnsi="仿宋" w:eastAsia="仿宋"/>
          <w:color w:val="000000"/>
          <w:sz w:val="32"/>
          <w:szCs w:val="32"/>
        </w:rPr>
      </w:pPr>
      <w:r w:rsidRPr="003C684F">
        <w:rPr>
          <w:rFonts w:hint="eastAsia" w:ascii="仿宋" w:hAnsi="仿宋" w:eastAsia="仿宋"/>
          <w:color w:val="000000"/>
          <w:sz w:val="32"/>
          <w:szCs w:val="32"/>
        </w:rPr>
        <w:t>7.卡度尼利单抗治疗宫颈癌的研究中，不良反应为贫血、甲状腺功能减退、ALT升高、AST升高、甲状腺功能亢进、白细胞减少症、低白蛋白血症、皮疹、腹泻、发热等。对于疑似免疫相关性不良反应，应进行充分的评估以排除其他病因。大多数免疫相关性不良反应为1～2级且可逆，可通过暂停给药或使用糖皮质激素治疗。对于大部分3～4级及某些特定的2级免疫相关性不良反应需暂停给药，并给予1～2mg/（kg</w:t>
      </w:r>
      <w:r w:rsidRPr="003C684F">
        <w:rPr>
          <w:rFonts w:hint="eastAsia" w:ascii="宋体" w:hAnsi="宋体" w:cs="宋体"/>
          <w:color w:val="000000"/>
          <w:sz w:val="32"/>
          <w:szCs w:val="32"/>
        </w:rPr>
        <w:t>•</w:t>
      </w:r>
      <w:r w:rsidRPr="003C684F">
        <w:rPr>
          <w:rFonts w:hint="eastAsia" w:ascii="仿宋" w:hAnsi="仿宋" w:eastAsia="仿宋"/>
          <w:color w:val="000000"/>
          <w:sz w:val="32"/>
          <w:szCs w:val="32"/>
        </w:rPr>
        <w:t>d）强的松等效剂量治疗，直至改善到≤1级。</w:t>
      </w:r>
    </w:p>
    <w:p w:rsidRPr="003C684F" w:rsidR="006333E2" w:rsidP="006333E2" w:rsidRDefault="006333E2" w14:paraId="2A822BE0" w14:textId="77777777">
      <w:pPr>
        <w:spacing w:line="360" w:lineRule="auto"/>
        <w:ind w:firstLine="640" w:firstLineChars="200"/>
        <w:rPr>
          <w:rFonts w:ascii="黑体" w:hAnsi="黑体" w:eastAsia="黑体"/>
          <w:color w:val="000000"/>
          <w:sz w:val="32"/>
          <w:szCs w:val="32"/>
        </w:rPr>
      </w:pPr>
    </w:p>
    <w:p w:rsidRPr="003C684F" w:rsidR="009730C1" w:rsidRDefault="00A315B9" w14:paraId="063430A0" w14:textId="77777777">
      <w:pPr>
        <w:rPr>
          <w:rFonts w:ascii="黑体" w:hAnsi="黑体" w:eastAsia="黑体" w:cs="宋体"/>
          <w:sz w:val="28"/>
          <w:szCs w:val="28"/>
        </w:rPr>
      </w:pPr>
      <w:r w:rsidRPr="003C684F">
        <w:rPr>
          <w:rFonts w:hint="eastAsia" w:ascii="黑体" w:hAnsi="黑体" w:eastAsia="黑体" w:cs="宋体"/>
          <w:sz w:val="28"/>
          <w:szCs w:val="28"/>
        </w:rPr>
        <w:t>附表</w:t>
      </w:r>
    </w:p>
    <w:p w:rsidRPr="003C684F" w:rsidR="009730C1" w:rsidRDefault="00A315B9" w14:paraId="1B3A2D43" w14:textId="6EDA8A6B">
      <w:pPr>
        <w:spacing w:line="360" w:lineRule="auto"/>
        <w:ind w:left="480" w:firstLine="1792" w:firstLineChars="850"/>
        <w:rPr>
          <w:rFonts w:ascii="仿宋" w:hAnsi="仿宋" w:eastAsia="仿宋" w:cs="Times New Roman"/>
          <w:b/>
          <w:color w:val="000000"/>
        </w:rPr>
      </w:pPr>
      <w:r w:rsidRPr="003C684F">
        <w:rPr>
          <w:rFonts w:hint="eastAsia" w:ascii="仿宋" w:hAnsi="仿宋" w:eastAsia="仿宋" w:cs="Times New Roman"/>
          <w:b/>
          <w:color w:val="000000"/>
        </w:rPr>
        <w:t>附表1</w:t>
      </w:r>
      <w:r w:rsidRPr="003C684F" w:rsidR="001A1C97">
        <w:rPr>
          <w:rFonts w:hint="eastAsia" w:ascii="仿宋" w:hAnsi="仿宋" w:eastAsia="仿宋" w:cs="Times New Roman"/>
          <w:b/>
          <w:color w:val="000000"/>
        </w:rPr>
        <w:t xml:space="preserve">　</w:t>
      </w:r>
      <w:r w:rsidRPr="003C684F">
        <w:rPr>
          <w:rFonts w:hint="eastAsia" w:ascii="仿宋" w:hAnsi="仿宋" w:eastAsia="仿宋"/>
          <w:b/>
          <w:color w:val="000000"/>
        </w:rPr>
        <w:t>免疫相关性不良反应和</w:t>
      </w:r>
      <w:r w:rsidRPr="003C684F">
        <w:rPr>
          <w:rFonts w:hint="eastAsia" w:ascii="仿宋" w:hAnsi="仿宋" w:eastAsia="仿宋" w:cs="Times New Roman"/>
          <w:b/>
          <w:color w:val="000000"/>
        </w:rPr>
        <w:t>治疗调整方案</w:t>
      </w:r>
    </w:p>
    <w:tbl>
      <w:tblPr>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5"/>
        <w:gridCol w:w="4536"/>
        <w:gridCol w:w="2665"/>
      </w:tblGrid>
      <w:tr w:rsidRPr="003C684F" w:rsidR="009730C1" w14:paraId="163F438C" w14:textId="77777777">
        <w:tc>
          <w:tcPr>
            <w:tcW w:w="1305" w:type="dxa"/>
          </w:tcPr>
          <w:p w:rsidRPr="003C684F" w:rsidR="009730C1" w:rsidRDefault="00A315B9" w14:paraId="21E73397" w14:textId="77777777">
            <w:pPr>
              <w:spacing w:line="360" w:lineRule="auto"/>
              <w:rPr>
                <w:rFonts w:ascii="仿宋" w:hAnsi="仿宋" w:eastAsia="仿宋"/>
                <w:b/>
                <w:color w:val="000000"/>
              </w:rPr>
            </w:pPr>
            <w:r w:rsidRPr="003C684F">
              <w:rPr>
                <w:rFonts w:hint="eastAsia" w:ascii="仿宋" w:hAnsi="仿宋" w:eastAsia="仿宋"/>
                <w:b/>
                <w:color w:val="000000"/>
              </w:rPr>
              <w:t>免疫相关性不良反应</w:t>
            </w:r>
          </w:p>
        </w:tc>
        <w:tc>
          <w:tcPr>
            <w:tcW w:w="4536" w:type="dxa"/>
          </w:tcPr>
          <w:p w:rsidRPr="003C684F" w:rsidR="009730C1" w:rsidRDefault="00A315B9" w14:paraId="3DB2EFF0" w14:textId="77777777">
            <w:pPr>
              <w:spacing w:line="360" w:lineRule="auto"/>
              <w:rPr>
                <w:rFonts w:ascii="仿宋" w:hAnsi="仿宋" w:eastAsia="仿宋"/>
                <w:b/>
                <w:color w:val="000000"/>
              </w:rPr>
            </w:pPr>
            <w:r w:rsidRPr="003C684F">
              <w:rPr>
                <w:rFonts w:hint="eastAsia" w:ascii="仿宋" w:hAnsi="仿宋" w:eastAsia="仿宋"/>
                <w:b/>
                <w:color w:val="000000"/>
              </w:rPr>
              <w:t>严重程度</w:t>
            </w:r>
          </w:p>
        </w:tc>
        <w:tc>
          <w:tcPr>
            <w:tcW w:w="2665" w:type="dxa"/>
          </w:tcPr>
          <w:p w:rsidRPr="003C684F" w:rsidR="009730C1" w:rsidRDefault="00A315B9" w14:paraId="14AB99FD" w14:textId="77777777">
            <w:pPr>
              <w:spacing w:line="360" w:lineRule="auto"/>
              <w:rPr>
                <w:rFonts w:ascii="仿宋" w:hAnsi="仿宋" w:eastAsia="仿宋"/>
                <w:b/>
                <w:color w:val="000000"/>
              </w:rPr>
            </w:pPr>
            <w:r w:rsidRPr="003C684F">
              <w:rPr>
                <w:rFonts w:hint="eastAsia" w:ascii="仿宋" w:hAnsi="仿宋" w:eastAsia="仿宋"/>
                <w:b/>
                <w:color w:val="000000"/>
              </w:rPr>
              <w:t>治疗调整</w:t>
            </w:r>
          </w:p>
        </w:tc>
      </w:tr>
      <w:tr w:rsidRPr="003C684F" w:rsidR="009730C1" w14:paraId="6AF2EE05" w14:textId="77777777">
        <w:tc>
          <w:tcPr>
            <w:tcW w:w="1305" w:type="dxa"/>
            <w:vMerge w:val="restart"/>
          </w:tcPr>
          <w:p w:rsidRPr="003C684F" w:rsidR="009730C1" w:rsidRDefault="00A315B9" w14:paraId="140F1406" w14:textId="77777777">
            <w:pPr>
              <w:spacing w:line="360" w:lineRule="auto"/>
              <w:rPr>
                <w:rFonts w:ascii="仿宋" w:hAnsi="仿宋" w:eastAsia="仿宋"/>
                <w:color w:val="000000"/>
                <w:vertAlign w:val="superscript"/>
              </w:rPr>
            </w:pPr>
            <w:r w:rsidRPr="003C684F">
              <w:rPr>
                <w:rFonts w:hint="eastAsia" w:ascii="仿宋" w:hAnsi="仿宋" w:eastAsia="仿宋"/>
                <w:color w:val="000000"/>
              </w:rPr>
              <w:t>反应性毛细血管增生症</w:t>
            </w:r>
          </w:p>
        </w:tc>
        <w:tc>
          <w:tcPr>
            <w:tcW w:w="4536" w:type="dxa"/>
          </w:tcPr>
          <w:p w:rsidRPr="003C684F" w:rsidR="009730C1" w:rsidRDefault="00A315B9" w14:paraId="217FEC91" w14:textId="77777777">
            <w:pPr>
              <w:spacing w:line="360" w:lineRule="auto"/>
              <w:rPr>
                <w:rFonts w:ascii="仿宋" w:hAnsi="仿宋" w:eastAsia="仿宋"/>
                <w:color w:val="000000"/>
              </w:rPr>
            </w:pPr>
            <w:r w:rsidRPr="003C684F">
              <w:rPr>
                <w:rFonts w:hint="eastAsia" w:ascii="仿宋" w:hAnsi="仿宋" w:eastAsia="仿宋"/>
                <w:color w:val="000000"/>
              </w:rPr>
              <w:t>3级</w:t>
            </w:r>
          </w:p>
        </w:tc>
        <w:tc>
          <w:tcPr>
            <w:tcW w:w="2665" w:type="dxa"/>
          </w:tcPr>
          <w:p w:rsidRPr="003C684F" w:rsidR="009730C1" w:rsidRDefault="00A315B9" w14:paraId="43A34DF8" w14:textId="77777777">
            <w:pPr>
              <w:spacing w:line="360" w:lineRule="auto"/>
              <w:rPr>
                <w:rFonts w:ascii="仿宋" w:hAnsi="仿宋" w:eastAsia="仿宋"/>
                <w:color w:val="000000"/>
              </w:rPr>
            </w:pPr>
            <w:r w:rsidRPr="003C684F">
              <w:rPr>
                <w:rFonts w:hint="eastAsia" w:ascii="仿宋" w:hAnsi="仿宋" w:eastAsia="仿宋"/>
                <w:color w:val="000000"/>
              </w:rPr>
              <w:t>暂停用药</w:t>
            </w:r>
            <w:r w:rsidRPr="003C684F" w:rsidR="00C71B33">
              <w:rPr>
                <w:rFonts w:hint="eastAsia" w:ascii="仿宋" w:hAnsi="仿宋" w:eastAsia="仿宋"/>
                <w:color w:val="000000"/>
              </w:rPr>
              <w:t>，直至不良反应恢复至0～1级</w:t>
            </w:r>
          </w:p>
        </w:tc>
      </w:tr>
      <w:tr w:rsidRPr="003C684F" w:rsidR="009730C1" w14:paraId="7917F647" w14:textId="77777777">
        <w:tc>
          <w:tcPr>
            <w:tcW w:w="1305" w:type="dxa"/>
            <w:vMerge/>
          </w:tcPr>
          <w:p w:rsidRPr="003C684F" w:rsidR="009730C1" w:rsidRDefault="009730C1" w14:paraId="04A2283C" w14:textId="77777777">
            <w:pPr>
              <w:spacing w:line="360" w:lineRule="auto"/>
              <w:rPr>
                <w:rFonts w:ascii="仿宋" w:hAnsi="仿宋" w:eastAsia="仿宋"/>
                <w:color w:val="000000"/>
              </w:rPr>
            </w:pPr>
          </w:p>
        </w:tc>
        <w:tc>
          <w:tcPr>
            <w:tcW w:w="4536" w:type="dxa"/>
          </w:tcPr>
          <w:p w:rsidRPr="003C684F" w:rsidR="009730C1" w:rsidRDefault="00A315B9" w14:paraId="5BEE475C" w14:textId="77777777">
            <w:pPr>
              <w:spacing w:line="360" w:lineRule="auto"/>
              <w:rPr>
                <w:rFonts w:ascii="仿宋" w:hAnsi="仿宋" w:eastAsia="仿宋"/>
                <w:color w:val="000000"/>
              </w:rPr>
            </w:pPr>
            <w:r w:rsidRPr="003C684F">
              <w:rPr>
                <w:rFonts w:hint="eastAsia" w:ascii="仿宋" w:hAnsi="仿宋" w:eastAsia="仿宋"/>
                <w:color w:val="000000"/>
              </w:rPr>
              <w:t>4级</w:t>
            </w:r>
          </w:p>
        </w:tc>
        <w:tc>
          <w:tcPr>
            <w:tcW w:w="2665" w:type="dxa"/>
          </w:tcPr>
          <w:p w:rsidRPr="003C684F" w:rsidR="009730C1" w:rsidRDefault="00373DC1" w14:paraId="5F346BC9" w14:textId="6C816EF8">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213A9D1F" w14:textId="77777777">
        <w:tc>
          <w:tcPr>
            <w:tcW w:w="1305" w:type="dxa"/>
            <w:vMerge w:val="restart"/>
          </w:tcPr>
          <w:p w:rsidRPr="003C684F" w:rsidR="009730C1" w:rsidRDefault="00A315B9" w14:paraId="274FF017" w14:textId="77777777">
            <w:pPr>
              <w:spacing w:line="360" w:lineRule="auto"/>
              <w:rPr>
                <w:rFonts w:ascii="仿宋" w:hAnsi="仿宋" w:eastAsia="仿宋"/>
                <w:color w:val="000000"/>
              </w:rPr>
            </w:pPr>
            <w:r w:rsidRPr="003C684F">
              <w:rPr>
                <w:rFonts w:hint="eastAsia" w:ascii="仿宋" w:hAnsi="仿宋" w:eastAsia="仿宋"/>
                <w:color w:val="000000"/>
              </w:rPr>
              <w:t>肺炎</w:t>
            </w:r>
          </w:p>
        </w:tc>
        <w:tc>
          <w:tcPr>
            <w:tcW w:w="4536" w:type="dxa"/>
          </w:tcPr>
          <w:p w:rsidRPr="003C684F" w:rsidR="009730C1" w:rsidRDefault="00A315B9" w14:paraId="40BA6438" w14:textId="77777777">
            <w:pPr>
              <w:spacing w:line="360" w:lineRule="auto"/>
              <w:rPr>
                <w:rFonts w:ascii="仿宋" w:hAnsi="仿宋" w:eastAsia="仿宋"/>
                <w:color w:val="000000"/>
              </w:rPr>
            </w:pPr>
            <w:r w:rsidRPr="003C684F">
              <w:rPr>
                <w:rFonts w:hint="eastAsia" w:ascii="仿宋" w:hAnsi="仿宋" w:eastAsia="仿宋"/>
                <w:color w:val="000000"/>
              </w:rPr>
              <w:t>2级</w:t>
            </w:r>
          </w:p>
        </w:tc>
        <w:tc>
          <w:tcPr>
            <w:tcW w:w="2665" w:type="dxa"/>
          </w:tcPr>
          <w:p w:rsidRPr="003C684F" w:rsidR="009730C1" w:rsidRDefault="00A315B9" w14:paraId="49A38538"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06FB97B5" w14:textId="77777777">
        <w:tc>
          <w:tcPr>
            <w:tcW w:w="1305" w:type="dxa"/>
            <w:vMerge/>
          </w:tcPr>
          <w:p w:rsidRPr="003C684F" w:rsidR="009730C1" w:rsidRDefault="009730C1" w14:paraId="60AA77B1" w14:textId="77777777">
            <w:pPr>
              <w:spacing w:line="360" w:lineRule="auto"/>
              <w:rPr>
                <w:rFonts w:ascii="仿宋" w:hAnsi="仿宋" w:eastAsia="仿宋"/>
                <w:color w:val="000000"/>
              </w:rPr>
            </w:pPr>
          </w:p>
        </w:tc>
        <w:tc>
          <w:tcPr>
            <w:tcW w:w="4536" w:type="dxa"/>
          </w:tcPr>
          <w:p w:rsidRPr="003C684F" w:rsidR="009730C1" w:rsidRDefault="00A315B9" w14:paraId="06BE9B71"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级或复发性2级</w:t>
            </w:r>
          </w:p>
        </w:tc>
        <w:tc>
          <w:tcPr>
            <w:tcW w:w="2665" w:type="dxa"/>
          </w:tcPr>
          <w:p w:rsidRPr="003C684F" w:rsidR="009730C1" w:rsidRDefault="00373DC1" w14:paraId="595E053B" w14:textId="3DE791DD">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68874F3F" w14:textId="77777777">
        <w:tc>
          <w:tcPr>
            <w:tcW w:w="1305" w:type="dxa"/>
            <w:vMerge w:val="restart"/>
          </w:tcPr>
          <w:p w:rsidRPr="003C684F" w:rsidR="009730C1" w:rsidRDefault="00A315B9" w14:paraId="7CF7A41C" w14:textId="77777777">
            <w:pPr>
              <w:spacing w:line="360" w:lineRule="auto"/>
              <w:rPr>
                <w:rFonts w:ascii="仿宋" w:hAnsi="仿宋" w:eastAsia="仿宋"/>
                <w:color w:val="000000"/>
              </w:rPr>
            </w:pPr>
            <w:r w:rsidRPr="003C684F">
              <w:rPr>
                <w:rFonts w:hint="eastAsia" w:ascii="仿宋" w:hAnsi="仿宋" w:eastAsia="仿宋"/>
                <w:color w:val="000000"/>
              </w:rPr>
              <w:t>腹泻及结肠炎</w:t>
            </w:r>
          </w:p>
        </w:tc>
        <w:tc>
          <w:tcPr>
            <w:tcW w:w="4536" w:type="dxa"/>
          </w:tcPr>
          <w:p w:rsidRPr="003C684F" w:rsidR="009730C1" w:rsidRDefault="00A315B9" w14:paraId="435FD091" w14:textId="77777777">
            <w:pPr>
              <w:spacing w:line="360" w:lineRule="auto"/>
              <w:rPr>
                <w:rFonts w:ascii="仿宋" w:hAnsi="仿宋" w:eastAsia="仿宋"/>
                <w:color w:val="000000"/>
              </w:rPr>
            </w:pPr>
            <w:r w:rsidRPr="003C684F">
              <w:rPr>
                <w:rFonts w:hint="eastAsia" w:ascii="仿宋" w:hAnsi="仿宋" w:eastAsia="仿宋"/>
                <w:color w:val="000000"/>
              </w:rPr>
              <w:t>2级或3级</w:t>
            </w:r>
          </w:p>
        </w:tc>
        <w:tc>
          <w:tcPr>
            <w:tcW w:w="2665" w:type="dxa"/>
          </w:tcPr>
          <w:p w:rsidRPr="003C684F" w:rsidR="009730C1" w:rsidRDefault="00A315B9" w14:paraId="4DD11108"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4CA7BF88" w14:textId="77777777">
        <w:tc>
          <w:tcPr>
            <w:tcW w:w="1305" w:type="dxa"/>
            <w:vMerge/>
          </w:tcPr>
          <w:p w:rsidRPr="003C684F" w:rsidR="009730C1" w:rsidRDefault="009730C1" w14:paraId="29F820F2" w14:textId="77777777">
            <w:pPr>
              <w:spacing w:line="360" w:lineRule="auto"/>
              <w:rPr>
                <w:rFonts w:ascii="仿宋" w:hAnsi="仿宋" w:eastAsia="仿宋"/>
                <w:color w:val="000000"/>
              </w:rPr>
            </w:pPr>
          </w:p>
        </w:tc>
        <w:tc>
          <w:tcPr>
            <w:tcW w:w="4536" w:type="dxa"/>
          </w:tcPr>
          <w:p w:rsidRPr="003C684F" w:rsidR="009730C1" w:rsidRDefault="00A315B9" w14:paraId="2F149D76" w14:textId="77777777">
            <w:pPr>
              <w:spacing w:line="360" w:lineRule="auto"/>
              <w:rPr>
                <w:rFonts w:ascii="仿宋" w:hAnsi="仿宋" w:eastAsia="仿宋"/>
                <w:color w:val="000000"/>
              </w:rPr>
            </w:pPr>
            <w:r w:rsidRPr="003C684F">
              <w:rPr>
                <w:rFonts w:hint="eastAsia" w:ascii="仿宋" w:hAnsi="仿宋" w:eastAsia="仿宋"/>
                <w:color w:val="000000"/>
              </w:rPr>
              <w:t>4级</w:t>
            </w:r>
          </w:p>
        </w:tc>
        <w:tc>
          <w:tcPr>
            <w:tcW w:w="2665" w:type="dxa"/>
          </w:tcPr>
          <w:p w:rsidRPr="003C684F" w:rsidR="009730C1" w:rsidRDefault="00373DC1" w14:paraId="44E97E86" w14:textId="0BE30047">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485BDD99" w14:textId="77777777">
        <w:tc>
          <w:tcPr>
            <w:tcW w:w="1305" w:type="dxa"/>
            <w:vMerge w:val="restart"/>
          </w:tcPr>
          <w:p w:rsidRPr="003C684F" w:rsidR="009730C1" w:rsidRDefault="00A315B9" w14:paraId="5A6BB0FA" w14:textId="77777777">
            <w:pPr>
              <w:spacing w:line="360" w:lineRule="auto"/>
              <w:rPr>
                <w:rFonts w:ascii="仿宋" w:hAnsi="仿宋" w:eastAsia="仿宋"/>
                <w:color w:val="000000"/>
              </w:rPr>
            </w:pPr>
            <w:r w:rsidRPr="003C684F">
              <w:rPr>
                <w:rFonts w:hint="eastAsia" w:ascii="仿宋" w:hAnsi="仿宋" w:eastAsia="仿宋"/>
                <w:color w:val="000000"/>
              </w:rPr>
              <w:t>肝炎</w:t>
            </w:r>
            <w:r w:rsidRPr="003C684F" w:rsidR="00C71B33">
              <w:rPr>
                <w:rFonts w:hint="eastAsia" w:ascii="仿宋" w:hAnsi="仿宋" w:eastAsia="仿宋"/>
                <w:color w:val="000000"/>
              </w:rPr>
              <w:t>（适用于非肝细胞癌患者）</w:t>
            </w:r>
          </w:p>
        </w:tc>
        <w:tc>
          <w:tcPr>
            <w:tcW w:w="4536" w:type="dxa"/>
          </w:tcPr>
          <w:p w:rsidRPr="003C684F" w:rsidR="009730C1" w:rsidP="00C31651" w:rsidRDefault="00A315B9" w14:paraId="70714839" w14:textId="116B1EE6">
            <w:pPr>
              <w:spacing w:line="360" w:lineRule="auto"/>
              <w:rPr>
                <w:rFonts w:ascii="仿宋" w:hAnsi="仿宋" w:eastAsia="仿宋"/>
                <w:color w:val="000000"/>
              </w:rPr>
            </w:pPr>
            <w:r w:rsidRPr="003C684F">
              <w:rPr>
                <w:rFonts w:hint="eastAsia" w:ascii="仿宋" w:hAnsi="仿宋" w:eastAsia="仿宋"/>
                <w:color w:val="000000"/>
              </w:rPr>
              <w:t>2级，A</w:t>
            </w:r>
            <w:r w:rsidRPr="003C684F">
              <w:rPr>
                <w:rFonts w:ascii="仿宋" w:hAnsi="仿宋" w:eastAsia="仿宋"/>
                <w:color w:val="000000"/>
              </w:rPr>
              <w:t>ST</w:t>
            </w:r>
            <w:r w:rsidRPr="003C684F">
              <w:rPr>
                <w:rFonts w:hint="eastAsia" w:ascii="仿宋" w:hAnsi="仿宋" w:eastAsia="仿宋"/>
                <w:color w:val="000000"/>
              </w:rPr>
              <w:t>或A</w:t>
            </w:r>
            <w:r w:rsidRPr="003C684F">
              <w:rPr>
                <w:rFonts w:ascii="仿宋" w:hAnsi="仿宋" w:eastAsia="仿宋"/>
                <w:color w:val="000000"/>
              </w:rPr>
              <w:t>LT</w:t>
            </w:r>
            <w:r w:rsidRPr="003C684F">
              <w:rPr>
                <w:rFonts w:hint="eastAsia" w:ascii="仿宋" w:hAnsi="仿宋" w:eastAsia="仿宋"/>
                <w:color w:val="000000"/>
              </w:rPr>
              <w:t>在3～</w:t>
            </w:r>
            <w:r w:rsidRPr="003C684F">
              <w:rPr>
                <w:rFonts w:ascii="仿宋" w:hAnsi="仿宋" w:eastAsia="仿宋"/>
                <w:color w:val="000000"/>
              </w:rPr>
              <w:t>5</w:t>
            </w:r>
            <w:r w:rsidRPr="003C684F">
              <w:rPr>
                <w:rFonts w:hint="eastAsia" w:ascii="仿宋" w:hAnsi="仿宋" w:eastAsia="仿宋"/>
                <w:color w:val="000000"/>
              </w:rPr>
              <w:t>倍正常值上限（U</w:t>
            </w:r>
            <w:r w:rsidRPr="003C684F">
              <w:rPr>
                <w:rFonts w:ascii="仿宋" w:hAnsi="仿宋" w:eastAsia="仿宋"/>
                <w:color w:val="000000"/>
              </w:rPr>
              <w:t>LN</w:t>
            </w:r>
            <w:r w:rsidRPr="003C684F">
              <w:rPr>
                <w:rFonts w:hint="eastAsia" w:ascii="仿宋" w:hAnsi="仿宋" w:eastAsia="仿宋"/>
                <w:color w:val="000000"/>
              </w:rPr>
              <w:t>）或总胆红素（T</w:t>
            </w:r>
            <w:r w:rsidRPr="003C684F">
              <w:rPr>
                <w:rFonts w:ascii="仿宋" w:hAnsi="仿宋" w:eastAsia="仿宋"/>
                <w:color w:val="000000"/>
              </w:rPr>
              <w:t>BIL</w:t>
            </w:r>
            <w:r w:rsidRPr="003C684F">
              <w:rPr>
                <w:rFonts w:hint="eastAsia" w:ascii="仿宋" w:hAnsi="仿宋" w:eastAsia="仿宋"/>
                <w:color w:val="000000"/>
              </w:rPr>
              <w:t>）在1</w:t>
            </w:r>
            <w:r w:rsidRPr="003C684F">
              <w:rPr>
                <w:rFonts w:ascii="仿宋" w:hAnsi="仿宋" w:eastAsia="仿宋"/>
                <w:color w:val="000000"/>
              </w:rPr>
              <w:t>.5</w:t>
            </w:r>
            <w:r w:rsidRPr="003C684F">
              <w:rPr>
                <w:rFonts w:hint="eastAsia" w:ascii="仿宋" w:hAnsi="仿宋" w:eastAsia="仿宋"/>
                <w:color w:val="000000"/>
              </w:rPr>
              <w:t>～</w:t>
            </w:r>
            <w:r w:rsidRPr="003C684F">
              <w:rPr>
                <w:rFonts w:ascii="仿宋" w:hAnsi="仿宋" w:eastAsia="仿宋"/>
                <w:color w:val="000000"/>
              </w:rPr>
              <w:t>3</w:t>
            </w:r>
            <w:r w:rsidRPr="003C684F">
              <w:rPr>
                <w:rFonts w:hint="eastAsia" w:ascii="仿宋" w:hAnsi="仿宋" w:eastAsia="仿宋"/>
                <w:color w:val="000000"/>
              </w:rPr>
              <w:t>倍U</w:t>
            </w:r>
            <w:r w:rsidRPr="003C684F">
              <w:rPr>
                <w:rFonts w:ascii="仿宋" w:hAnsi="仿宋" w:eastAsia="仿宋"/>
                <w:color w:val="000000"/>
              </w:rPr>
              <w:t>LN</w:t>
            </w:r>
          </w:p>
        </w:tc>
        <w:tc>
          <w:tcPr>
            <w:tcW w:w="2665" w:type="dxa"/>
          </w:tcPr>
          <w:p w:rsidRPr="003C684F" w:rsidR="009730C1" w:rsidRDefault="00A315B9" w14:paraId="44ECB801"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05094FB9" w14:textId="77777777">
        <w:tc>
          <w:tcPr>
            <w:tcW w:w="1305" w:type="dxa"/>
            <w:vMerge/>
          </w:tcPr>
          <w:p w:rsidRPr="003C684F" w:rsidR="009730C1" w:rsidRDefault="009730C1" w14:paraId="07510B41" w14:textId="77777777">
            <w:pPr>
              <w:spacing w:line="360" w:lineRule="auto"/>
              <w:rPr>
                <w:rFonts w:ascii="仿宋" w:hAnsi="仿宋" w:eastAsia="仿宋"/>
                <w:color w:val="000000"/>
              </w:rPr>
            </w:pPr>
          </w:p>
        </w:tc>
        <w:tc>
          <w:tcPr>
            <w:tcW w:w="4536" w:type="dxa"/>
          </w:tcPr>
          <w:p w:rsidRPr="003C684F" w:rsidR="009730C1" w:rsidRDefault="00A315B9" w14:paraId="4B2979D4"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级，A</w:t>
            </w:r>
            <w:r w:rsidRPr="003C684F">
              <w:rPr>
                <w:rFonts w:ascii="仿宋" w:hAnsi="仿宋" w:eastAsia="仿宋"/>
                <w:color w:val="000000"/>
              </w:rPr>
              <w:t>ST</w:t>
            </w:r>
            <w:r w:rsidRPr="003C684F">
              <w:rPr>
                <w:rFonts w:hint="eastAsia" w:ascii="仿宋" w:hAnsi="仿宋" w:eastAsia="仿宋"/>
                <w:color w:val="000000"/>
              </w:rPr>
              <w:t>或A</w:t>
            </w:r>
            <w:r w:rsidRPr="003C684F">
              <w:rPr>
                <w:rFonts w:ascii="仿宋" w:hAnsi="仿宋" w:eastAsia="仿宋"/>
                <w:color w:val="000000"/>
              </w:rPr>
              <w:t>LT</w:t>
            </w:r>
            <w:r w:rsidRPr="003C684F">
              <w:rPr>
                <w:rFonts w:hint="eastAsia" w:ascii="仿宋" w:hAnsi="仿宋" w:eastAsia="仿宋"/>
                <w:color w:val="000000"/>
              </w:rPr>
              <w:t>＞5倍U</w:t>
            </w:r>
            <w:r w:rsidRPr="003C684F">
              <w:rPr>
                <w:rFonts w:ascii="仿宋" w:hAnsi="仿宋" w:eastAsia="仿宋"/>
                <w:color w:val="000000"/>
              </w:rPr>
              <w:t>LN</w:t>
            </w:r>
            <w:r w:rsidRPr="003C684F">
              <w:rPr>
                <w:rFonts w:hint="eastAsia" w:ascii="仿宋" w:hAnsi="仿宋" w:eastAsia="仿宋"/>
                <w:color w:val="000000"/>
              </w:rPr>
              <w:t>，或T</w:t>
            </w:r>
            <w:r w:rsidRPr="003C684F">
              <w:rPr>
                <w:rFonts w:ascii="仿宋" w:hAnsi="仿宋" w:eastAsia="仿宋"/>
                <w:color w:val="000000"/>
              </w:rPr>
              <w:t>BIL</w:t>
            </w:r>
            <w:r w:rsidRPr="003C684F">
              <w:rPr>
                <w:rFonts w:hint="eastAsia" w:ascii="仿宋" w:hAnsi="仿宋" w:eastAsia="仿宋"/>
                <w:color w:val="000000"/>
              </w:rPr>
              <w:t>＞3倍U</w:t>
            </w:r>
            <w:r w:rsidRPr="003C684F">
              <w:rPr>
                <w:rFonts w:ascii="仿宋" w:hAnsi="仿宋" w:eastAsia="仿宋"/>
                <w:color w:val="000000"/>
              </w:rPr>
              <w:t>LN</w:t>
            </w:r>
          </w:p>
        </w:tc>
        <w:tc>
          <w:tcPr>
            <w:tcW w:w="2665" w:type="dxa"/>
          </w:tcPr>
          <w:p w:rsidRPr="003C684F" w:rsidR="009730C1" w:rsidRDefault="00373DC1" w14:paraId="1133A338" w14:textId="5543C8E9">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C71B33" w14:paraId="32C28DB6" w14:textId="77777777">
        <w:tc>
          <w:tcPr>
            <w:tcW w:w="1305" w:type="dxa"/>
            <w:vMerge w:val="restart"/>
          </w:tcPr>
          <w:p w:rsidRPr="003C684F" w:rsidR="00C71B33" w:rsidRDefault="00C71B33" w14:paraId="51441E69" w14:textId="77777777">
            <w:pPr>
              <w:spacing w:line="360" w:lineRule="auto"/>
              <w:rPr>
                <w:rFonts w:ascii="仿宋" w:hAnsi="仿宋" w:eastAsia="仿宋"/>
                <w:color w:val="000000"/>
              </w:rPr>
            </w:pPr>
            <w:r w:rsidRPr="003C684F">
              <w:rPr>
                <w:rFonts w:hint="eastAsia" w:ascii="仿宋" w:hAnsi="仿宋" w:eastAsia="仿宋"/>
                <w:color w:val="000000"/>
              </w:rPr>
              <w:t>肝炎（适用于肝癌患者）</w:t>
            </w:r>
          </w:p>
        </w:tc>
        <w:tc>
          <w:tcPr>
            <w:tcW w:w="4536" w:type="dxa"/>
          </w:tcPr>
          <w:p w:rsidRPr="003C684F" w:rsidR="00C71B33" w:rsidP="00C71B33" w:rsidRDefault="00C71B33" w14:paraId="3D4F7072" w14:textId="77777777">
            <w:pPr>
              <w:spacing w:line="360" w:lineRule="auto"/>
              <w:rPr>
                <w:rFonts w:ascii="仿宋" w:hAnsi="仿宋" w:eastAsia="仿宋"/>
                <w:color w:val="000000"/>
              </w:rPr>
            </w:pPr>
            <w:r w:rsidRPr="003C684F">
              <w:rPr>
                <w:rFonts w:hint="eastAsia" w:ascii="仿宋" w:hAnsi="仿宋" w:eastAsia="仿宋"/>
                <w:color w:val="000000"/>
              </w:rPr>
              <w:t>AST或ALT：3～5倍ULN，若基线状态在正常范围内</w:t>
            </w:r>
          </w:p>
          <w:p w:rsidRPr="003C684F" w:rsidR="00C71B33" w:rsidP="00C71B33" w:rsidRDefault="00C71B33" w14:paraId="2B999823" w14:textId="77777777">
            <w:pPr>
              <w:spacing w:line="360" w:lineRule="auto"/>
              <w:rPr>
                <w:rFonts w:ascii="仿宋" w:hAnsi="仿宋" w:eastAsia="仿宋"/>
                <w:color w:val="000000"/>
              </w:rPr>
            </w:pPr>
            <w:r w:rsidRPr="003C684F">
              <w:rPr>
                <w:rFonts w:hint="eastAsia" w:ascii="仿宋" w:hAnsi="仿宋" w:eastAsia="仿宋"/>
                <w:color w:val="000000"/>
              </w:rPr>
              <w:t>AST或ALT：5～10倍ULN，若基线状态AST或ALT在1～3倍ULN</w:t>
            </w:r>
          </w:p>
          <w:p w:rsidRPr="003C684F" w:rsidR="00C71B33" w:rsidP="00C71B33" w:rsidRDefault="00C71B33" w14:paraId="3E6E3E92" w14:textId="77777777">
            <w:pPr>
              <w:spacing w:line="360" w:lineRule="auto"/>
              <w:rPr>
                <w:rFonts w:ascii="仿宋" w:hAnsi="仿宋" w:eastAsia="仿宋"/>
                <w:color w:val="000000"/>
              </w:rPr>
            </w:pPr>
            <w:r w:rsidRPr="003C684F">
              <w:rPr>
                <w:rFonts w:hint="eastAsia" w:ascii="仿宋" w:hAnsi="仿宋" w:eastAsia="仿宋"/>
                <w:color w:val="000000"/>
              </w:rPr>
              <w:t>AST或ALT：8～10倍ULN，若基线状态AST或ALT在3～5倍ULN</w:t>
            </w:r>
          </w:p>
          <w:p w:rsidRPr="003C684F" w:rsidR="00C71B33" w:rsidP="00C71B33" w:rsidRDefault="00C71B33" w14:paraId="2663484C" w14:textId="77777777">
            <w:pPr>
              <w:spacing w:line="360" w:lineRule="auto"/>
              <w:rPr>
                <w:rFonts w:ascii="仿宋" w:hAnsi="仿宋" w:eastAsia="仿宋"/>
                <w:color w:val="000000"/>
              </w:rPr>
            </w:pPr>
            <w:r w:rsidRPr="003C684F">
              <w:rPr>
                <w:rFonts w:hint="eastAsia" w:ascii="仿宋" w:hAnsi="仿宋" w:eastAsia="仿宋"/>
                <w:color w:val="000000"/>
              </w:rPr>
              <w:t>TBIL：1.5～3倍ULN</w:t>
            </w:r>
          </w:p>
        </w:tc>
        <w:tc>
          <w:tcPr>
            <w:tcW w:w="2665" w:type="dxa"/>
          </w:tcPr>
          <w:p w:rsidRPr="003C684F" w:rsidR="00C71B33" w:rsidRDefault="00C71B33" w14:paraId="49D95C9B" w14:textId="53EF4637">
            <w:pPr>
              <w:spacing w:line="360" w:lineRule="auto"/>
              <w:rPr>
                <w:rFonts w:ascii="仿宋" w:hAnsi="仿宋" w:eastAsia="仿宋"/>
                <w:color w:val="000000"/>
              </w:rPr>
            </w:pPr>
            <w:r w:rsidRPr="003C684F">
              <w:rPr>
                <w:rFonts w:hint="eastAsia" w:ascii="仿宋" w:hAnsi="仿宋" w:eastAsia="仿宋"/>
                <w:color w:val="000000"/>
              </w:rPr>
              <w:t>暂停给药，直至不良反应恢复至0～1级</w:t>
            </w:r>
            <w:r w:rsidRPr="003C684F" w:rsidR="00DB4978">
              <w:rPr>
                <w:rFonts w:hint="eastAsia" w:ascii="仿宋" w:hAnsi="仿宋" w:eastAsia="仿宋"/>
                <w:color w:val="000000"/>
              </w:rPr>
              <w:t>或</w:t>
            </w:r>
            <w:r w:rsidRPr="003C684F">
              <w:rPr>
                <w:rFonts w:hint="eastAsia" w:ascii="仿宋" w:hAnsi="仿宋" w:eastAsia="仿宋"/>
                <w:color w:val="000000"/>
              </w:rPr>
              <w:t>至基线状态后恢复给药</w:t>
            </w:r>
          </w:p>
        </w:tc>
      </w:tr>
      <w:tr w:rsidRPr="003C684F" w:rsidR="00C71B33" w14:paraId="10F2E852" w14:textId="77777777">
        <w:tc>
          <w:tcPr>
            <w:tcW w:w="1305" w:type="dxa"/>
            <w:vMerge/>
          </w:tcPr>
          <w:p w:rsidRPr="003C684F" w:rsidR="00C71B33" w:rsidRDefault="00C71B33" w14:paraId="6CC34C11" w14:textId="77777777">
            <w:pPr>
              <w:spacing w:line="360" w:lineRule="auto"/>
              <w:rPr>
                <w:rFonts w:ascii="仿宋" w:hAnsi="仿宋" w:eastAsia="仿宋"/>
                <w:color w:val="000000"/>
              </w:rPr>
            </w:pPr>
          </w:p>
        </w:tc>
        <w:tc>
          <w:tcPr>
            <w:tcW w:w="4536" w:type="dxa"/>
          </w:tcPr>
          <w:p w:rsidRPr="003C684F" w:rsidR="00C71B33" w:rsidP="00C71B33" w:rsidRDefault="00C71B33" w14:paraId="1B4A16EC" w14:textId="77777777">
            <w:pPr>
              <w:spacing w:line="360" w:lineRule="auto"/>
              <w:rPr>
                <w:rFonts w:ascii="仿宋" w:hAnsi="仿宋" w:eastAsia="仿宋"/>
                <w:color w:val="000000"/>
              </w:rPr>
            </w:pPr>
            <w:r w:rsidRPr="003C684F">
              <w:rPr>
                <w:rFonts w:hint="eastAsia" w:ascii="仿宋" w:hAnsi="仿宋" w:eastAsia="仿宋"/>
                <w:color w:val="000000"/>
              </w:rPr>
              <w:t>AST或ALT：＞5倍ULN，若基线状态在正常范围内</w:t>
            </w:r>
          </w:p>
          <w:p w:rsidRPr="003C684F" w:rsidR="00C71B33" w:rsidP="00C71B33" w:rsidRDefault="00C71B33" w14:paraId="045E2132" w14:textId="77777777">
            <w:pPr>
              <w:spacing w:line="360" w:lineRule="auto"/>
              <w:rPr>
                <w:rFonts w:ascii="仿宋" w:hAnsi="仿宋" w:eastAsia="仿宋"/>
                <w:color w:val="000000"/>
              </w:rPr>
            </w:pPr>
            <w:r w:rsidRPr="003C684F">
              <w:rPr>
                <w:rFonts w:hint="eastAsia" w:ascii="仿宋" w:hAnsi="仿宋" w:eastAsia="仿宋"/>
                <w:color w:val="000000"/>
              </w:rPr>
              <w:t>AST或ALT：＞10倍ULN，若基线状态＞ULN</w:t>
            </w:r>
          </w:p>
          <w:p w:rsidRPr="003C684F" w:rsidR="00C71B33" w:rsidP="00C71B33" w:rsidRDefault="00C71B33" w14:paraId="2A2C3D41" w14:textId="77777777">
            <w:pPr>
              <w:spacing w:line="360" w:lineRule="auto"/>
              <w:rPr>
                <w:rFonts w:ascii="仿宋" w:hAnsi="仿宋" w:eastAsia="仿宋"/>
                <w:color w:val="000000"/>
              </w:rPr>
            </w:pPr>
            <w:r w:rsidRPr="003C684F">
              <w:rPr>
                <w:rFonts w:hint="eastAsia" w:ascii="仿宋" w:hAnsi="仿宋" w:eastAsia="仿宋"/>
                <w:color w:val="000000"/>
              </w:rPr>
              <w:t>TBIL：＞3倍ULN</w:t>
            </w:r>
          </w:p>
        </w:tc>
        <w:tc>
          <w:tcPr>
            <w:tcW w:w="2665" w:type="dxa"/>
          </w:tcPr>
          <w:p w:rsidRPr="003C684F" w:rsidR="00C71B33" w:rsidRDefault="00373DC1" w14:paraId="7E36A207" w14:textId="49154FD6">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5C0B3461" w14:textId="77777777">
        <w:tc>
          <w:tcPr>
            <w:tcW w:w="1305" w:type="dxa"/>
            <w:vMerge w:val="restart"/>
          </w:tcPr>
          <w:p w:rsidRPr="003C684F" w:rsidR="009730C1" w:rsidRDefault="00A315B9" w14:paraId="51C75C58" w14:textId="77777777">
            <w:pPr>
              <w:spacing w:line="360" w:lineRule="auto"/>
              <w:rPr>
                <w:rFonts w:ascii="仿宋" w:hAnsi="仿宋" w:eastAsia="仿宋"/>
                <w:color w:val="000000"/>
              </w:rPr>
            </w:pPr>
            <w:r w:rsidRPr="003C684F">
              <w:rPr>
                <w:rFonts w:hint="eastAsia" w:ascii="仿宋" w:hAnsi="仿宋" w:eastAsia="仿宋"/>
                <w:color w:val="000000"/>
              </w:rPr>
              <w:t>肾炎</w:t>
            </w:r>
          </w:p>
        </w:tc>
        <w:tc>
          <w:tcPr>
            <w:tcW w:w="4536" w:type="dxa"/>
          </w:tcPr>
          <w:p w:rsidRPr="003C684F" w:rsidR="009730C1" w:rsidRDefault="00A315B9" w14:paraId="682E6B8A" w14:textId="77777777">
            <w:pPr>
              <w:spacing w:line="360" w:lineRule="auto"/>
              <w:rPr>
                <w:rFonts w:ascii="仿宋" w:hAnsi="仿宋" w:eastAsia="仿宋"/>
                <w:color w:val="000000"/>
              </w:rPr>
            </w:pPr>
            <w:r w:rsidRPr="003C684F">
              <w:rPr>
                <w:rFonts w:hint="eastAsia" w:ascii="仿宋" w:hAnsi="仿宋" w:eastAsia="仿宋"/>
                <w:color w:val="000000"/>
              </w:rPr>
              <w:t>2～</w:t>
            </w:r>
            <w:r w:rsidRPr="003C684F">
              <w:rPr>
                <w:rFonts w:ascii="仿宋" w:hAnsi="仿宋" w:eastAsia="仿宋"/>
                <w:color w:val="000000"/>
              </w:rPr>
              <w:t>3</w:t>
            </w:r>
            <w:r w:rsidRPr="003C684F">
              <w:rPr>
                <w:rFonts w:hint="eastAsia" w:ascii="仿宋" w:hAnsi="仿宋" w:eastAsia="仿宋"/>
                <w:color w:val="000000"/>
              </w:rPr>
              <w:t>级血肌酐升高</w:t>
            </w:r>
          </w:p>
        </w:tc>
        <w:tc>
          <w:tcPr>
            <w:tcW w:w="2665" w:type="dxa"/>
          </w:tcPr>
          <w:p w:rsidRPr="003C684F" w:rsidR="009730C1" w:rsidRDefault="00A315B9" w14:paraId="57E08996"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6284E44C" w14:textId="77777777">
        <w:tc>
          <w:tcPr>
            <w:tcW w:w="1305" w:type="dxa"/>
            <w:vMerge/>
          </w:tcPr>
          <w:p w:rsidRPr="003C684F" w:rsidR="009730C1" w:rsidRDefault="009730C1" w14:paraId="34E554DD" w14:textId="77777777">
            <w:pPr>
              <w:spacing w:line="360" w:lineRule="auto"/>
              <w:rPr>
                <w:rFonts w:ascii="仿宋" w:hAnsi="仿宋" w:eastAsia="仿宋"/>
                <w:color w:val="000000"/>
              </w:rPr>
            </w:pPr>
          </w:p>
        </w:tc>
        <w:tc>
          <w:tcPr>
            <w:tcW w:w="4536" w:type="dxa"/>
          </w:tcPr>
          <w:p w:rsidRPr="003C684F" w:rsidR="009730C1" w:rsidRDefault="00A315B9" w14:paraId="5CF58424" w14:textId="77777777">
            <w:pPr>
              <w:spacing w:line="360" w:lineRule="auto"/>
              <w:rPr>
                <w:rFonts w:ascii="仿宋" w:hAnsi="仿宋" w:eastAsia="仿宋"/>
                <w:color w:val="000000"/>
              </w:rPr>
            </w:pPr>
            <w:r w:rsidRPr="003C684F">
              <w:rPr>
                <w:rFonts w:hint="eastAsia" w:ascii="仿宋" w:hAnsi="仿宋" w:eastAsia="仿宋"/>
                <w:color w:val="000000"/>
              </w:rPr>
              <w:t>4级血肌酐升高</w:t>
            </w:r>
          </w:p>
        </w:tc>
        <w:tc>
          <w:tcPr>
            <w:tcW w:w="2665" w:type="dxa"/>
          </w:tcPr>
          <w:p w:rsidRPr="003C684F" w:rsidR="009730C1" w:rsidRDefault="00373DC1" w14:paraId="51DB3B75" w14:textId="3524F7A0">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4AEE82CD" w14:textId="77777777">
        <w:tc>
          <w:tcPr>
            <w:tcW w:w="1305" w:type="dxa"/>
            <w:vMerge w:val="restart"/>
          </w:tcPr>
          <w:p w:rsidRPr="003C684F" w:rsidR="009730C1" w:rsidRDefault="00A315B9" w14:paraId="1F372DEC" w14:textId="77777777">
            <w:pPr>
              <w:spacing w:line="360" w:lineRule="auto"/>
              <w:rPr>
                <w:rFonts w:ascii="仿宋" w:hAnsi="仿宋" w:eastAsia="仿宋"/>
                <w:color w:val="000000"/>
              </w:rPr>
            </w:pPr>
            <w:r w:rsidRPr="003C684F">
              <w:rPr>
                <w:rFonts w:hint="eastAsia" w:ascii="仿宋" w:hAnsi="仿宋" w:eastAsia="仿宋"/>
                <w:color w:val="000000"/>
              </w:rPr>
              <w:t>内分泌疾病</w:t>
            </w:r>
          </w:p>
        </w:tc>
        <w:tc>
          <w:tcPr>
            <w:tcW w:w="4536" w:type="dxa"/>
          </w:tcPr>
          <w:p w:rsidRPr="003C684F" w:rsidR="009730C1" w:rsidRDefault="00A315B9" w14:paraId="22E9894F" w14:textId="77777777">
            <w:pPr>
              <w:spacing w:line="360" w:lineRule="auto"/>
              <w:rPr>
                <w:rFonts w:ascii="仿宋" w:hAnsi="仿宋" w:eastAsia="仿宋"/>
                <w:color w:val="000000"/>
              </w:rPr>
            </w:pPr>
            <w:r w:rsidRPr="003C684F">
              <w:rPr>
                <w:rFonts w:hint="eastAsia" w:ascii="仿宋" w:hAnsi="仿宋" w:eastAsia="仿宋"/>
                <w:color w:val="000000"/>
              </w:rPr>
              <w:t>症状性2～</w:t>
            </w:r>
            <w:r w:rsidRPr="003C684F">
              <w:rPr>
                <w:rFonts w:ascii="仿宋" w:hAnsi="仿宋" w:eastAsia="仿宋"/>
                <w:color w:val="000000"/>
              </w:rPr>
              <w:t>3</w:t>
            </w:r>
            <w:r w:rsidRPr="003C684F">
              <w:rPr>
                <w:rFonts w:hint="eastAsia" w:ascii="仿宋" w:hAnsi="仿宋" w:eastAsia="仿宋"/>
                <w:color w:val="000000"/>
              </w:rPr>
              <w:t>级甲状腺功能减退，2～</w:t>
            </w:r>
            <w:r w:rsidRPr="003C684F">
              <w:rPr>
                <w:rFonts w:ascii="仿宋" w:hAnsi="仿宋" w:eastAsia="仿宋"/>
                <w:color w:val="000000"/>
              </w:rPr>
              <w:t>3</w:t>
            </w:r>
            <w:r w:rsidRPr="003C684F">
              <w:rPr>
                <w:rFonts w:hint="eastAsia" w:ascii="仿宋" w:hAnsi="仿宋" w:eastAsia="仿宋"/>
                <w:color w:val="000000"/>
              </w:rPr>
              <w:t>级甲状腺功能亢进、</w:t>
            </w:r>
            <w:r w:rsidRPr="003C684F">
              <w:rPr>
                <w:rFonts w:ascii="仿宋" w:hAnsi="仿宋" w:eastAsia="仿宋"/>
                <w:color w:val="000000"/>
              </w:rPr>
              <w:t>2</w:t>
            </w:r>
            <w:r w:rsidRPr="003C684F">
              <w:rPr>
                <w:rFonts w:hint="eastAsia" w:ascii="仿宋" w:hAnsi="仿宋" w:eastAsia="仿宋"/>
                <w:color w:val="000000"/>
              </w:rPr>
              <w:t>～</w:t>
            </w:r>
            <w:r w:rsidRPr="003C684F">
              <w:rPr>
                <w:rFonts w:ascii="仿宋" w:hAnsi="仿宋" w:eastAsia="仿宋"/>
                <w:color w:val="000000"/>
              </w:rPr>
              <w:t>3</w:t>
            </w:r>
            <w:r w:rsidRPr="003C684F">
              <w:rPr>
                <w:rFonts w:hint="eastAsia" w:ascii="仿宋" w:hAnsi="仿宋" w:eastAsia="仿宋"/>
                <w:color w:val="000000"/>
              </w:rPr>
              <w:t>级垂体炎、2级肾上腺功能不全</w:t>
            </w:r>
          </w:p>
          <w:p w:rsidRPr="003C684F" w:rsidR="009730C1" w:rsidRDefault="00A315B9" w14:paraId="7445559E" w14:textId="77777777">
            <w:pPr>
              <w:spacing w:line="360" w:lineRule="auto"/>
              <w:rPr>
                <w:rFonts w:ascii="仿宋" w:hAnsi="仿宋" w:eastAsia="仿宋"/>
                <w:color w:val="000000"/>
              </w:rPr>
            </w:pPr>
            <w:r w:rsidRPr="003C684F">
              <w:rPr>
                <w:rFonts w:hint="eastAsia" w:ascii="仿宋" w:hAnsi="仿宋" w:eastAsia="仿宋"/>
                <w:color w:val="000000"/>
              </w:rPr>
              <w:t>3级高血糖症或1型糖尿病</w:t>
            </w:r>
          </w:p>
        </w:tc>
        <w:tc>
          <w:tcPr>
            <w:tcW w:w="2665" w:type="dxa"/>
          </w:tcPr>
          <w:p w:rsidRPr="003C684F" w:rsidR="009730C1" w:rsidRDefault="00A315B9" w14:paraId="22F277E6"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337CB207" w14:textId="77777777">
        <w:tc>
          <w:tcPr>
            <w:tcW w:w="1305" w:type="dxa"/>
            <w:vMerge/>
          </w:tcPr>
          <w:p w:rsidRPr="003C684F" w:rsidR="009730C1" w:rsidRDefault="009730C1" w14:paraId="3B1CE0EB" w14:textId="77777777">
            <w:pPr>
              <w:spacing w:line="360" w:lineRule="auto"/>
              <w:rPr>
                <w:rFonts w:ascii="仿宋" w:hAnsi="仿宋" w:eastAsia="仿宋"/>
                <w:color w:val="000000"/>
              </w:rPr>
            </w:pPr>
          </w:p>
        </w:tc>
        <w:tc>
          <w:tcPr>
            <w:tcW w:w="4536" w:type="dxa"/>
          </w:tcPr>
          <w:p w:rsidRPr="003C684F" w:rsidR="009730C1" w:rsidRDefault="00A315B9" w14:paraId="5DED672B" w14:textId="77777777">
            <w:pPr>
              <w:spacing w:line="360" w:lineRule="auto"/>
              <w:rPr>
                <w:rFonts w:ascii="仿宋" w:hAnsi="仿宋" w:eastAsia="仿宋"/>
                <w:color w:val="000000"/>
              </w:rPr>
            </w:pPr>
            <w:r w:rsidRPr="003C684F">
              <w:rPr>
                <w:rFonts w:hint="eastAsia" w:ascii="仿宋" w:hAnsi="仿宋" w:eastAsia="仿宋"/>
                <w:color w:val="000000"/>
              </w:rPr>
              <w:t>4级甲状腺功能减退</w:t>
            </w:r>
          </w:p>
          <w:p w:rsidRPr="003C684F" w:rsidR="009730C1" w:rsidRDefault="00A315B9" w14:paraId="779BC79E" w14:textId="77777777">
            <w:pPr>
              <w:spacing w:line="360" w:lineRule="auto"/>
              <w:rPr>
                <w:rFonts w:ascii="仿宋" w:hAnsi="仿宋" w:eastAsia="仿宋"/>
                <w:color w:val="000000"/>
              </w:rPr>
            </w:pPr>
            <w:r w:rsidRPr="003C684F">
              <w:rPr>
                <w:rFonts w:hint="eastAsia" w:ascii="仿宋" w:hAnsi="仿宋" w:eastAsia="仿宋"/>
                <w:color w:val="000000"/>
              </w:rPr>
              <w:t>4级甲状腺功能亢进</w:t>
            </w:r>
          </w:p>
          <w:p w:rsidRPr="003C684F" w:rsidR="009730C1" w:rsidRDefault="00A315B9" w14:paraId="2E45E0ED" w14:textId="77777777">
            <w:pPr>
              <w:spacing w:line="360" w:lineRule="auto"/>
              <w:rPr>
                <w:rFonts w:ascii="仿宋" w:hAnsi="仿宋" w:eastAsia="仿宋"/>
                <w:color w:val="000000"/>
              </w:rPr>
            </w:pPr>
            <w:r w:rsidRPr="003C684F">
              <w:rPr>
                <w:rFonts w:hint="eastAsia" w:ascii="仿宋" w:hAnsi="仿宋" w:eastAsia="仿宋"/>
                <w:color w:val="000000"/>
              </w:rPr>
              <w:t>4级垂体炎</w:t>
            </w:r>
          </w:p>
          <w:p w:rsidRPr="003C684F" w:rsidR="009730C1" w:rsidRDefault="00A315B9" w14:paraId="49D2A68F"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级肾上腺功能不全</w:t>
            </w:r>
          </w:p>
          <w:p w:rsidRPr="003C684F" w:rsidR="009730C1" w:rsidRDefault="00A315B9" w14:paraId="314C9A36" w14:textId="77777777">
            <w:pPr>
              <w:spacing w:line="360" w:lineRule="auto"/>
              <w:rPr>
                <w:rFonts w:ascii="仿宋" w:hAnsi="仿宋" w:eastAsia="仿宋"/>
                <w:color w:val="000000"/>
              </w:rPr>
            </w:pPr>
            <w:r w:rsidRPr="003C684F">
              <w:rPr>
                <w:rFonts w:hint="eastAsia" w:ascii="仿宋" w:hAnsi="仿宋" w:eastAsia="仿宋"/>
                <w:color w:val="000000"/>
              </w:rPr>
              <w:t>4级高血糖症或1型糖尿病</w:t>
            </w:r>
          </w:p>
        </w:tc>
        <w:tc>
          <w:tcPr>
            <w:tcW w:w="2665" w:type="dxa"/>
          </w:tcPr>
          <w:p w:rsidRPr="003C684F" w:rsidR="009730C1" w:rsidRDefault="00373DC1" w14:paraId="62C4D06C" w14:textId="3D989C24">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5DBC1215" w14:textId="77777777">
        <w:tc>
          <w:tcPr>
            <w:tcW w:w="1305" w:type="dxa"/>
            <w:vMerge w:val="restart"/>
          </w:tcPr>
          <w:p w:rsidRPr="003C684F" w:rsidR="009730C1" w:rsidRDefault="00A315B9" w14:paraId="51C67482" w14:textId="77777777">
            <w:pPr>
              <w:spacing w:line="360" w:lineRule="auto"/>
              <w:rPr>
                <w:rFonts w:ascii="仿宋" w:hAnsi="仿宋" w:eastAsia="仿宋"/>
                <w:color w:val="000000"/>
              </w:rPr>
            </w:pPr>
            <w:r w:rsidRPr="003C684F">
              <w:rPr>
                <w:rFonts w:hint="eastAsia" w:ascii="仿宋" w:hAnsi="仿宋" w:eastAsia="仿宋"/>
                <w:color w:val="000000"/>
              </w:rPr>
              <w:t>皮肤不良反应</w:t>
            </w:r>
          </w:p>
        </w:tc>
        <w:tc>
          <w:tcPr>
            <w:tcW w:w="4536" w:type="dxa"/>
          </w:tcPr>
          <w:p w:rsidRPr="003C684F" w:rsidR="009730C1" w:rsidRDefault="00A315B9" w14:paraId="45708162" w14:textId="77777777">
            <w:pPr>
              <w:spacing w:line="360" w:lineRule="auto"/>
              <w:rPr>
                <w:rFonts w:ascii="仿宋" w:hAnsi="仿宋" w:eastAsia="仿宋"/>
                <w:color w:val="000000"/>
              </w:rPr>
            </w:pPr>
            <w:r w:rsidRPr="003C684F">
              <w:rPr>
                <w:rFonts w:hint="eastAsia" w:ascii="仿宋" w:hAnsi="仿宋" w:eastAsia="仿宋"/>
                <w:color w:val="000000"/>
              </w:rPr>
              <w:t>3级</w:t>
            </w:r>
            <w:r w:rsidRPr="003C684F" w:rsidR="0078000B">
              <w:rPr>
                <w:rFonts w:hint="eastAsia" w:ascii="仿宋" w:hAnsi="仿宋" w:eastAsia="仿宋"/>
                <w:color w:val="000000"/>
              </w:rPr>
              <w:t>或疑似Stevens-Johnson综合征或中毒性表皮坏死松解症</w:t>
            </w:r>
          </w:p>
        </w:tc>
        <w:tc>
          <w:tcPr>
            <w:tcW w:w="2665" w:type="dxa"/>
          </w:tcPr>
          <w:p w:rsidRPr="003C684F" w:rsidR="009730C1" w:rsidRDefault="00A315B9" w14:paraId="0820647F"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2600FC0D" w14:textId="77777777">
        <w:tc>
          <w:tcPr>
            <w:tcW w:w="1305" w:type="dxa"/>
            <w:vMerge/>
          </w:tcPr>
          <w:p w:rsidRPr="003C684F" w:rsidR="009730C1" w:rsidRDefault="009730C1" w14:paraId="130EA771" w14:textId="77777777">
            <w:pPr>
              <w:spacing w:line="360" w:lineRule="auto"/>
              <w:rPr>
                <w:rFonts w:ascii="仿宋" w:hAnsi="仿宋" w:eastAsia="仿宋"/>
                <w:color w:val="000000"/>
              </w:rPr>
            </w:pPr>
          </w:p>
        </w:tc>
        <w:tc>
          <w:tcPr>
            <w:tcW w:w="4536" w:type="dxa"/>
          </w:tcPr>
          <w:p w:rsidRPr="003C684F" w:rsidR="009730C1" w:rsidRDefault="00A315B9" w14:paraId="343A5E89" w14:textId="77777777">
            <w:pPr>
              <w:spacing w:line="360" w:lineRule="auto"/>
              <w:rPr>
                <w:rFonts w:ascii="仿宋" w:hAnsi="仿宋" w:eastAsia="仿宋"/>
                <w:color w:val="000000"/>
              </w:rPr>
            </w:pPr>
            <w:r w:rsidRPr="003C684F">
              <w:rPr>
                <w:rFonts w:hint="eastAsia" w:ascii="仿宋" w:hAnsi="仿宋" w:eastAsia="仿宋"/>
                <w:color w:val="000000"/>
              </w:rPr>
              <w:t>4级</w:t>
            </w:r>
            <w:r w:rsidRPr="003C684F" w:rsidR="0078000B">
              <w:rPr>
                <w:rFonts w:hint="eastAsia" w:ascii="仿宋" w:hAnsi="仿宋" w:eastAsia="仿宋"/>
                <w:color w:val="000000"/>
              </w:rPr>
              <w:t>或确认的</w:t>
            </w:r>
            <w:r w:rsidRPr="003C684F">
              <w:rPr>
                <w:rFonts w:ascii="仿宋" w:hAnsi="仿宋" w:eastAsia="仿宋"/>
                <w:color w:val="000000"/>
              </w:rPr>
              <w:t>Stevens-Johnson</w:t>
            </w:r>
            <w:r w:rsidRPr="003C684F">
              <w:rPr>
                <w:rFonts w:hint="eastAsia" w:ascii="仿宋" w:hAnsi="仿宋" w:eastAsia="仿宋"/>
                <w:color w:val="000000"/>
              </w:rPr>
              <w:t>综合征或中毒性表皮坏死松解症</w:t>
            </w:r>
          </w:p>
        </w:tc>
        <w:tc>
          <w:tcPr>
            <w:tcW w:w="2665" w:type="dxa"/>
          </w:tcPr>
          <w:p w:rsidRPr="003C684F" w:rsidR="009730C1" w:rsidRDefault="00373DC1" w14:paraId="3E49885C" w14:textId="13CEF65B">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230BAD7E" w14:textId="77777777">
        <w:tc>
          <w:tcPr>
            <w:tcW w:w="1305" w:type="dxa"/>
            <w:vMerge w:val="restart"/>
          </w:tcPr>
          <w:p w:rsidRPr="003C684F" w:rsidR="009730C1" w:rsidRDefault="00A315B9" w14:paraId="0ED25545" w14:textId="77777777">
            <w:pPr>
              <w:spacing w:line="360" w:lineRule="auto"/>
              <w:rPr>
                <w:rFonts w:ascii="仿宋" w:hAnsi="仿宋" w:eastAsia="仿宋"/>
                <w:color w:val="000000"/>
              </w:rPr>
            </w:pPr>
            <w:r w:rsidRPr="003C684F">
              <w:rPr>
                <w:rFonts w:hint="eastAsia" w:ascii="仿宋" w:hAnsi="仿宋" w:eastAsia="仿宋"/>
                <w:color w:val="000000"/>
              </w:rPr>
              <w:t>血小板减少症</w:t>
            </w:r>
          </w:p>
        </w:tc>
        <w:tc>
          <w:tcPr>
            <w:tcW w:w="4536" w:type="dxa"/>
          </w:tcPr>
          <w:p w:rsidRPr="003C684F" w:rsidR="009730C1" w:rsidRDefault="00A315B9" w14:paraId="361DE3AD" w14:textId="77777777">
            <w:pPr>
              <w:spacing w:line="360" w:lineRule="auto"/>
              <w:rPr>
                <w:rFonts w:ascii="仿宋" w:hAnsi="仿宋" w:eastAsia="仿宋"/>
                <w:color w:val="000000"/>
              </w:rPr>
            </w:pPr>
            <w:r w:rsidRPr="003C684F">
              <w:rPr>
                <w:rFonts w:hint="eastAsia" w:ascii="仿宋" w:hAnsi="仿宋" w:eastAsia="仿宋"/>
                <w:color w:val="000000"/>
              </w:rPr>
              <w:t>3级</w:t>
            </w:r>
          </w:p>
        </w:tc>
        <w:tc>
          <w:tcPr>
            <w:tcW w:w="2665" w:type="dxa"/>
          </w:tcPr>
          <w:p w:rsidRPr="003C684F" w:rsidR="009730C1" w:rsidRDefault="00A315B9" w14:paraId="33B432C0"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6BD42899" w14:textId="77777777">
        <w:tc>
          <w:tcPr>
            <w:tcW w:w="1305" w:type="dxa"/>
            <w:vMerge/>
          </w:tcPr>
          <w:p w:rsidRPr="003C684F" w:rsidR="009730C1" w:rsidRDefault="009730C1" w14:paraId="120B8807" w14:textId="77777777">
            <w:pPr>
              <w:spacing w:line="360" w:lineRule="auto"/>
              <w:rPr>
                <w:rFonts w:ascii="仿宋" w:hAnsi="仿宋" w:eastAsia="仿宋"/>
                <w:color w:val="000000"/>
              </w:rPr>
            </w:pPr>
          </w:p>
        </w:tc>
        <w:tc>
          <w:tcPr>
            <w:tcW w:w="4536" w:type="dxa"/>
          </w:tcPr>
          <w:p w:rsidRPr="003C684F" w:rsidR="009730C1" w:rsidRDefault="00A315B9" w14:paraId="5F6E326F" w14:textId="77777777">
            <w:pPr>
              <w:spacing w:line="360" w:lineRule="auto"/>
              <w:rPr>
                <w:rFonts w:ascii="仿宋" w:hAnsi="仿宋" w:eastAsia="仿宋"/>
                <w:color w:val="000000"/>
              </w:rPr>
            </w:pPr>
            <w:r w:rsidRPr="003C684F">
              <w:rPr>
                <w:rFonts w:hint="eastAsia" w:ascii="仿宋" w:hAnsi="仿宋" w:eastAsia="仿宋"/>
                <w:color w:val="000000"/>
              </w:rPr>
              <w:t>4级</w:t>
            </w:r>
          </w:p>
        </w:tc>
        <w:tc>
          <w:tcPr>
            <w:tcW w:w="2665" w:type="dxa"/>
          </w:tcPr>
          <w:p w:rsidRPr="003C684F" w:rsidR="009730C1" w:rsidRDefault="00373DC1" w14:paraId="2191A784" w14:textId="3E6E8AA2">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4EF8C083" w14:textId="77777777">
        <w:tc>
          <w:tcPr>
            <w:tcW w:w="1305" w:type="dxa"/>
            <w:vMerge w:val="restart"/>
          </w:tcPr>
          <w:p w:rsidRPr="003C684F" w:rsidR="009730C1" w:rsidRDefault="00A315B9" w14:paraId="452677E2" w14:textId="77777777">
            <w:pPr>
              <w:spacing w:line="360" w:lineRule="auto"/>
              <w:rPr>
                <w:rFonts w:ascii="仿宋" w:hAnsi="仿宋" w:eastAsia="仿宋"/>
                <w:color w:val="000000"/>
              </w:rPr>
            </w:pPr>
            <w:r w:rsidRPr="003C684F">
              <w:rPr>
                <w:rFonts w:hint="eastAsia" w:ascii="仿宋" w:hAnsi="仿宋" w:eastAsia="仿宋"/>
                <w:color w:val="000000"/>
              </w:rPr>
              <w:t>其他免疫相关性不良反应</w:t>
            </w:r>
          </w:p>
        </w:tc>
        <w:tc>
          <w:tcPr>
            <w:tcW w:w="4536" w:type="dxa"/>
          </w:tcPr>
          <w:p w:rsidRPr="003C684F" w:rsidR="009730C1" w:rsidRDefault="00A315B9" w14:paraId="6FD1EE25"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级血淀粉酶升高或脂肪酶升高</w:t>
            </w:r>
          </w:p>
          <w:p w:rsidRPr="003C684F" w:rsidR="009730C1" w:rsidRDefault="00A315B9" w14:paraId="63A9E17F" w14:textId="77777777">
            <w:pPr>
              <w:spacing w:line="360" w:lineRule="auto"/>
              <w:rPr>
                <w:rFonts w:ascii="仿宋" w:hAnsi="仿宋" w:eastAsia="仿宋"/>
                <w:color w:val="000000"/>
              </w:rPr>
            </w:pPr>
            <w:r w:rsidRPr="003C684F">
              <w:rPr>
                <w:rFonts w:hint="eastAsia" w:ascii="仿宋" w:hAnsi="仿宋" w:eastAsia="仿宋"/>
                <w:color w:val="000000"/>
              </w:rPr>
              <w:t>2～</w:t>
            </w:r>
            <w:r w:rsidRPr="003C684F">
              <w:rPr>
                <w:rFonts w:ascii="仿宋" w:hAnsi="仿宋" w:eastAsia="仿宋"/>
                <w:color w:val="000000"/>
              </w:rPr>
              <w:t>3</w:t>
            </w:r>
            <w:r w:rsidRPr="003C684F">
              <w:rPr>
                <w:rFonts w:hint="eastAsia" w:ascii="仿宋" w:hAnsi="仿宋" w:eastAsia="仿宋"/>
                <w:color w:val="000000"/>
              </w:rPr>
              <w:t>级胰腺炎</w:t>
            </w:r>
          </w:p>
          <w:p w:rsidRPr="003C684F" w:rsidR="009730C1" w:rsidRDefault="00A315B9" w14:paraId="073CC03F" w14:textId="77777777">
            <w:pPr>
              <w:spacing w:line="360" w:lineRule="auto"/>
              <w:rPr>
                <w:rFonts w:ascii="仿宋" w:hAnsi="仿宋" w:eastAsia="仿宋"/>
                <w:color w:val="000000"/>
              </w:rPr>
            </w:pPr>
            <w:r w:rsidRPr="003C684F">
              <w:rPr>
                <w:rFonts w:hint="eastAsia" w:ascii="仿宋" w:hAnsi="仿宋" w:eastAsia="仿宋"/>
                <w:color w:val="000000"/>
              </w:rPr>
              <w:t>2级心肌炎</w:t>
            </w:r>
          </w:p>
          <w:p w:rsidRPr="003C684F" w:rsidR="009730C1" w:rsidRDefault="00A315B9" w14:paraId="40A7F512" w14:textId="77777777">
            <w:pPr>
              <w:spacing w:line="360" w:lineRule="auto"/>
              <w:rPr>
                <w:rFonts w:ascii="仿宋" w:hAnsi="仿宋" w:eastAsia="仿宋"/>
                <w:color w:val="000000"/>
              </w:rPr>
            </w:pPr>
            <w:r w:rsidRPr="003C684F">
              <w:rPr>
                <w:rFonts w:hint="eastAsia" w:ascii="仿宋" w:hAnsi="仿宋" w:eastAsia="仿宋"/>
                <w:color w:val="000000"/>
              </w:rPr>
              <w:t>2～</w:t>
            </w:r>
            <w:r w:rsidRPr="003C684F">
              <w:rPr>
                <w:rFonts w:ascii="仿宋" w:hAnsi="仿宋" w:eastAsia="仿宋"/>
                <w:color w:val="000000"/>
              </w:rPr>
              <w:t>3</w:t>
            </w:r>
            <w:r w:rsidRPr="003C684F">
              <w:rPr>
                <w:rFonts w:hint="eastAsia" w:ascii="仿宋" w:hAnsi="仿宋" w:eastAsia="仿宋"/>
                <w:color w:val="000000"/>
              </w:rPr>
              <w:t>级首次发生的其他免疫相关性不良反应</w:t>
            </w:r>
          </w:p>
        </w:tc>
        <w:tc>
          <w:tcPr>
            <w:tcW w:w="2665" w:type="dxa"/>
          </w:tcPr>
          <w:p w:rsidRPr="003C684F" w:rsidR="009730C1" w:rsidRDefault="00A315B9" w14:paraId="0671989F" w14:textId="77777777">
            <w:pPr>
              <w:spacing w:line="360" w:lineRule="auto"/>
              <w:rPr>
                <w:rFonts w:ascii="仿宋" w:hAnsi="仿宋" w:eastAsia="仿宋"/>
                <w:color w:val="000000"/>
              </w:rPr>
            </w:pPr>
            <w:r w:rsidRPr="003C684F">
              <w:rPr>
                <w:rFonts w:hint="eastAsia" w:ascii="仿宋" w:hAnsi="仿宋" w:eastAsia="仿宋"/>
                <w:color w:val="000000"/>
              </w:rPr>
              <w:t>暂停给药，直至不良反应恢复至0～</w:t>
            </w:r>
            <w:r w:rsidRPr="003C684F">
              <w:rPr>
                <w:rFonts w:ascii="仿宋" w:hAnsi="仿宋" w:eastAsia="仿宋"/>
                <w:color w:val="000000"/>
              </w:rPr>
              <w:t>1</w:t>
            </w:r>
            <w:r w:rsidRPr="003C684F">
              <w:rPr>
                <w:rFonts w:hint="eastAsia" w:ascii="仿宋" w:hAnsi="仿宋" w:eastAsia="仿宋"/>
                <w:color w:val="000000"/>
              </w:rPr>
              <w:t>级</w:t>
            </w:r>
          </w:p>
        </w:tc>
      </w:tr>
      <w:tr w:rsidRPr="003C684F" w:rsidR="009730C1" w14:paraId="76E62C40" w14:textId="77777777">
        <w:tc>
          <w:tcPr>
            <w:tcW w:w="1305" w:type="dxa"/>
            <w:vMerge/>
          </w:tcPr>
          <w:p w:rsidRPr="003C684F" w:rsidR="009730C1" w:rsidRDefault="009730C1" w14:paraId="37FE36A2" w14:textId="77777777">
            <w:pPr>
              <w:spacing w:line="360" w:lineRule="auto"/>
              <w:rPr>
                <w:rFonts w:ascii="仿宋" w:hAnsi="仿宋" w:eastAsia="仿宋"/>
                <w:color w:val="000000"/>
              </w:rPr>
            </w:pPr>
          </w:p>
        </w:tc>
        <w:tc>
          <w:tcPr>
            <w:tcW w:w="4536" w:type="dxa"/>
          </w:tcPr>
          <w:p w:rsidRPr="003C684F" w:rsidR="009730C1" w:rsidRDefault="00A315B9" w14:paraId="2E82C4E9" w14:textId="77777777">
            <w:pPr>
              <w:spacing w:line="360" w:lineRule="auto"/>
              <w:rPr>
                <w:rFonts w:ascii="仿宋" w:hAnsi="仿宋" w:eastAsia="仿宋"/>
                <w:color w:val="000000"/>
              </w:rPr>
            </w:pPr>
            <w:r w:rsidRPr="003C684F">
              <w:rPr>
                <w:rFonts w:hint="eastAsia" w:ascii="仿宋" w:hAnsi="仿宋" w:eastAsia="仿宋"/>
                <w:color w:val="000000"/>
              </w:rPr>
              <w:t>4级胰腺炎或任何级别的复发性胰腺炎</w:t>
            </w:r>
          </w:p>
          <w:p w:rsidRPr="003C684F" w:rsidR="009730C1" w:rsidRDefault="00A315B9" w14:paraId="69C8F33D"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级心肌炎</w:t>
            </w:r>
          </w:p>
          <w:p w:rsidRPr="003C684F" w:rsidR="009730C1" w:rsidRDefault="00A315B9" w14:paraId="5D2847C5"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级脑炎</w:t>
            </w:r>
          </w:p>
          <w:p w:rsidRPr="003C684F" w:rsidR="009730C1" w:rsidRDefault="00A315B9" w14:paraId="6D563DE2" w14:textId="77777777">
            <w:pPr>
              <w:spacing w:line="360" w:lineRule="auto"/>
              <w:rPr>
                <w:rFonts w:ascii="仿宋" w:hAnsi="仿宋" w:eastAsia="仿宋"/>
                <w:color w:val="000000"/>
              </w:rPr>
            </w:pPr>
            <w:r w:rsidRPr="003C684F">
              <w:rPr>
                <w:rFonts w:hint="eastAsia" w:ascii="仿宋" w:hAnsi="仿宋" w:eastAsia="仿宋"/>
                <w:color w:val="000000"/>
              </w:rPr>
              <w:t>4级首次发生的其他免疫相关性不良反应</w:t>
            </w:r>
          </w:p>
        </w:tc>
        <w:tc>
          <w:tcPr>
            <w:tcW w:w="2665" w:type="dxa"/>
          </w:tcPr>
          <w:p w:rsidRPr="003C684F" w:rsidR="009730C1" w:rsidRDefault="00373DC1" w14:paraId="209107D5" w14:textId="10BFD599">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1B9F2C18" w14:textId="77777777">
        <w:tc>
          <w:tcPr>
            <w:tcW w:w="1305" w:type="dxa"/>
          </w:tcPr>
          <w:p w:rsidRPr="003C684F" w:rsidR="009730C1" w:rsidRDefault="00A315B9" w14:paraId="773C8417" w14:textId="77777777">
            <w:pPr>
              <w:spacing w:line="360" w:lineRule="auto"/>
              <w:rPr>
                <w:rFonts w:ascii="仿宋" w:hAnsi="仿宋" w:eastAsia="仿宋"/>
                <w:color w:val="000000"/>
              </w:rPr>
            </w:pPr>
            <w:r w:rsidRPr="003C684F">
              <w:rPr>
                <w:rFonts w:hint="eastAsia" w:ascii="仿宋" w:hAnsi="仿宋" w:eastAsia="仿宋"/>
                <w:color w:val="000000"/>
              </w:rPr>
              <w:t>复发或持续的不良反应</w:t>
            </w:r>
          </w:p>
        </w:tc>
        <w:tc>
          <w:tcPr>
            <w:tcW w:w="4536" w:type="dxa"/>
          </w:tcPr>
          <w:p w:rsidRPr="003C684F" w:rsidR="009730C1" w:rsidRDefault="00A315B9" w14:paraId="67A45579" w14:textId="77777777">
            <w:pPr>
              <w:spacing w:line="360" w:lineRule="auto"/>
              <w:rPr>
                <w:rFonts w:ascii="仿宋" w:hAnsi="仿宋" w:eastAsia="仿宋"/>
                <w:color w:val="000000"/>
              </w:rPr>
            </w:pPr>
            <w:r w:rsidRPr="003C684F">
              <w:rPr>
                <w:rFonts w:hint="eastAsia" w:ascii="仿宋" w:hAnsi="仿宋" w:eastAsia="仿宋"/>
                <w:color w:val="000000"/>
              </w:rPr>
              <w:t>复发性3～</w:t>
            </w:r>
            <w:r w:rsidRPr="003C684F">
              <w:rPr>
                <w:rFonts w:ascii="仿宋" w:hAnsi="仿宋" w:eastAsia="仿宋"/>
                <w:color w:val="000000"/>
              </w:rPr>
              <w:t>4</w:t>
            </w:r>
            <w:r w:rsidRPr="003C684F">
              <w:rPr>
                <w:rFonts w:hint="eastAsia" w:ascii="仿宋" w:hAnsi="仿宋" w:eastAsia="仿宋"/>
                <w:color w:val="000000"/>
              </w:rPr>
              <w:t>级（除外内分泌疾病）</w:t>
            </w:r>
          </w:p>
          <w:p w:rsidRPr="003C684F" w:rsidR="009730C1" w:rsidRDefault="00A315B9" w14:paraId="266FEB2F" w14:textId="77777777">
            <w:pPr>
              <w:spacing w:line="360" w:lineRule="auto"/>
              <w:rPr>
                <w:rFonts w:ascii="仿宋" w:hAnsi="仿宋" w:eastAsia="仿宋"/>
                <w:color w:val="000000"/>
              </w:rPr>
            </w:pPr>
            <w:r w:rsidRPr="003C684F">
              <w:rPr>
                <w:rFonts w:hint="eastAsia" w:ascii="仿宋" w:hAnsi="仿宋" w:eastAsia="仿宋"/>
                <w:color w:val="000000"/>
              </w:rPr>
              <w:t>末次给药后1</w:t>
            </w:r>
            <w:r w:rsidRPr="003C684F">
              <w:rPr>
                <w:rFonts w:ascii="仿宋" w:hAnsi="仿宋" w:eastAsia="仿宋"/>
                <w:color w:val="000000"/>
              </w:rPr>
              <w:t>2</w:t>
            </w:r>
            <w:r w:rsidRPr="003C684F">
              <w:rPr>
                <w:rFonts w:hint="eastAsia" w:ascii="仿宋" w:hAnsi="仿宋" w:eastAsia="仿宋"/>
                <w:color w:val="000000"/>
              </w:rPr>
              <w:t>周内2～</w:t>
            </w:r>
            <w:r w:rsidRPr="003C684F">
              <w:rPr>
                <w:rFonts w:ascii="仿宋" w:hAnsi="仿宋" w:eastAsia="仿宋"/>
                <w:color w:val="000000"/>
              </w:rPr>
              <w:t>3</w:t>
            </w:r>
            <w:r w:rsidRPr="003C684F">
              <w:rPr>
                <w:rFonts w:hint="eastAsia" w:ascii="仿宋" w:hAnsi="仿宋" w:eastAsia="仿宋"/>
                <w:color w:val="000000"/>
              </w:rPr>
              <w:t>级不良反应</w:t>
            </w:r>
          </w:p>
          <w:p w:rsidRPr="003C684F" w:rsidR="009730C1" w:rsidRDefault="00A315B9" w14:paraId="2E9E36F4" w14:textId="77777777">
            <w:pPr>
              <w:spacing w:line="360" w:lineRule="auto"/>
              <w:rPr>
                <w:rFonts w:ascii="仿宋" w:hAnsi="仿宋" w:eastAsia="仿宋"/>
                <w:color w:val="000000"/>
              </w:rPr>
            </w:pPr>
            <w:r w:rsidRPr="003C684F">
              <w:rPr>
                <w:rFonts w:hint="eastAsia" w:ascii="仿宋" w:hAnsi="仿宋" w:eastAsia="仿宋"/>
                <w:color w:val="000000"/>
              </w:rPr>
              <w:t>未改善到0～</w:t>
            </w:r>
            <w:r w:rsidRPr="003C684F">
              <w:rPr>
                <w:rFonts w:ascii="仿宋" w:hAnsi="仿宋" w:eastAsia="仿宋"/>
                <w:color w:val="000000"/>
              </w:rPr>
              <w:t>1</w:t>
            </w:r>
            <w:r w:rsidRPr="003C684F">
              <w:rPr>
                <w:rFonts w:hint="eastAsia" w:ascii="仿宋" w:hAnsi="仿宋" w:eastAsia="仿宋"/>
                <w:color w:val="000000"/>
              </w:rPr>
              <w:t>级（除外内分泌疾病）</w:t>
            </w:r>
          </w:p>
          <w:p w:rsidRPr="003C684F" w:rsidR="009730C1" w:rsidRDefault="00A315B9" w14:paraId="06AEF00F" w14:textId="77777777">
            <w:pPr>
              <w:spacing w:line="360" w:lineRule="auto"/>
              <w:rPr>
                <w:rFonts w:ascii="仿宋" w:hAnsi="仿宋" w:eastAsia="仿宋"/>
                <w:color w:val="000000"/>
              </w:rPr>
            </w:pPr>
            <w:r w:rsidRPr="003C684F">
              <w:rPr>
                <w:rFonts w:hint="eastAsia" w:ascii="仿宋" w:hAnsi="仿宋" w:eastAsia="仿宋"/>
                <w:color w:val="000000"/>
              </w:rPr>
              <w:t>末次给药后1</w:t>
            </w:r>
            <w:r w:rsidRPr="003C684F">
              <w:rPr>
                <w:rFonts w:ascii="仿宋" w:hAnsi="仿宋" w:eastAsia="仿宋"/>
                <w:color w:val="000000"/>
              </w:rPr>
              <w:t>2</w:t>
            </w:r>
            <w:r w:rsidRPr="003C684F">
              <w:rPr>
                <w:rFonts w:hint="eastAsia" w:ascii="仿宋" w:hAnsi="仿宋" w:eastAsia="仿宋"/>
                <w:color w:val="000000"/>
              </w:rPr>
              <w:t>周内糖皮质激素未能降至≤</w:t>
            </w:r>
            <w:r w:rsidRPr="003C684F">
              <w:rPr>
                <w:rFonts w:ascii="仿宋" w:hAnsi="仿宋" w:eastAsia="仿宋"/>
                <w:color w:val="000000"/>
              </w:rPr>
              <w:t>10</w:t>
            </w:r>
            <w:r w:rsidRPr="003C684F">
              <w:rPr>
                <w:rFonts w:hint="eastAsia" w:ascii="仿宋" w:hAnsi="仿宋" w:eastAsia="仿宋"/>
                <w:color w:val="000000"/>
              </w:rPr>
              <w:t>mg</w:t>
            </w:r>
            <w:r w:rsidRPr="003C684F">
              <w:rPr>
                <w:rFonts w:ascii="仿宋" w:hAnsi="仿宋" w:eastAsia="仿宋"/>
                <w:color w:val="000000"/>
              </w:rPr>
              <w:t>/d</w:t>
            </w:r>
            <w:r w:rsidRPr="003C684F">
              <w:rPr>
                <w:rFonts w:hint="eastAsia" w:ascii="仿宋" w:hAnsi="仿宋" w:eastAsia="仿宋"/>
                <w:color w:val="000000"/>
              </w:rPr>
              <w:t>的强的松等效剂量</w:t>
            </w:r>
          </w:p>
        </w:tc>
        <w:tc>
          <w:tcPr>
            <w:tcW w:w="2665" w:type="dxa"/>
          </w:tcPr>
          <w:p w:rsidRPr="003C684F" w:rsidR="009730C1" w:rsidRDefault="00373DC1" w14:paraId="003C1285" w14:textId="72C00B60">
            <w:pPr>
              <w:spacing w:line="360" w:lineRule="auto"/>
              <w:rPr>
                <w:rFonts w:ascii="仿宋" w:hAnsi="仿宋" w:eastAsia="仿宋"/>
                <w:color w:val="000000"/>
              </w:rPr>
            </w:pPr>
            <w:r w:rsidRPr="003C684F">
              <w:rPr>
                <w:rFonts w:hint="eastAsia" w:ascii="仿宋" w:hAnsi="仿宋" w:eastAsia="仿宋"/>
                <w:color w:val="000000"/>
              </w:rPr>
              <w:t>永久停用</w:t>
            </w:r>
          </w:p>
        </w:tc>
      </w:tr>
      <w:tr w:rsidRPr="003C684F" w:rsidR="009730C1" w14:paraId="6E1884E9" w14:textId="77777777">
        <w:tc>
          <w:tcPr>
            <w:tcW w:w="1305" w:type="dxa"/>
            <w:vMerge w:val="restart"/>
          </w:tcPr>
          <w:p w:rsidRPr="003C684F" w:rsidR="009730C1" w:rsidRDefault="00A315B9" w14:paraId="446B5BE7" w14:textId="77777777">
            <w:pPr>
              <w:spacing w:line="360" w:lineRule="auto"/>
              <w:rPr>
                <w:rFonts w:ascii="仿宋" w:hAnsi="仿宋" w:eastAsia="仿宋"/>
                <w:color w:val="000000"/>
              </w:rPr>
            </w:pPr>
            <w:r w:rsidRPr="003C684F">
              <w:rPr>
                <w:rFonts w:hint="eastAsia" w:ascii="仿宋" w:hAnsi="仿宋" w:eastAsia="仿宋"/>
                <w:color w:val="000000"/>
              </w:rPr>
              <w:t>输液反应</w:t>
            </w:r>
          </w:p>
        </w:tc>
        <w:tc>
          <w:tcPr>
            <w:tcW w:w="4536" w:type="dxa"/>
          </w:tcPr>
          <w:p w:rsidRPr="003C684F" w:rsidR="009730C1" w:rsidRDefault="00A315B9" w14:paraId="65B18435" w14:textId="77777777">
            <w:pPr>
              <w:spacing w:line="360" w:lineRule="auto"/>
              <w:rPr>
                <w:rFonts w:ascii="仿宋" w:hAnsi="仿宋" w:eastAsia="仿宋"/>
                <w:color w:val="000000"/>
              </w:rPr>
            </w:pPr>
            <w:r w:rsidRPr="003C684F">
              <w:rPr>
                <w:rFonts w:hint="eastAsia" w:ascii="仿宋" w:hAnsi="仿宋" w:eastAsia="仿宋"/>
                <w:color w:val="000000"/>
              </w:rPr>
              <w:t>2级</w:t>
            </w:r>
          </w:p>
        </w:tc>
        <w:tc>
          <w:tcPr>
            <w:tcW w:w="2665" w:type="dxa"/>
          </w:tcPr>
          <w:p w:rsidRPr="003C684F" w:rsidR="009730C1" w:rsidRDefault="00A315B9" w14:paraId="6629D68B" w14:textId="77777777">
            <w:pPr>
              <w:spacing w:line="360" w:lineRule="auto"/>
              <w:rPr>
                <w:rFonts w:ascii="仿宋" w:hAnsi="仿宋" w:eastAsia="仿宋"/>
                <w:color w:val="000000"/>
              </w:rPr>
            </w:pPr>
            <w:r w:rsidRPr="003C684F">
              <w:rPr>
                <w:rFonts w:hint="eastAsia" w:ascii="仿宋" w:hAnsi="仿宋" w:eastAsia="仿宋"/>
                <w:color w:val="000000"/>
              </w:rPr>
              <w:t>降低滴速或暂停给药，当症状缓解后可考虑恢复用药并密切观察</w:t>
            </w:r>
          </w:p>
        </w:tc>
      </w:tr>
      <w:tr w:rsidRPr="003C684F" w:rsidR="009730C1" w14:paraId="763C1FB8" w14:textId="77777777">
        <w:tc>
          <w:tcPr>
            <w:tcW w:w="1305" w:type="dxa"/>
            <w:vMerge/>
          </w:tcPr>
          <w:p w:rsidRPr="003C684F" w:rsidR="009730C1" w:rsidRDefault="009730C1" w14:paraId="3DAFC67F" w14:textId="77777777">
            <w:pPr>
              <w:spacing w:line="360" w:lineRule="auto"/>
              <w:rPr>
                <w:rFonts w:ascii="仿宋" w:hAnsi="仿宋" w:eastAsia="仿宋"/>
                <w:color w:val="000000"/>
              </w:rPr>
            </w:pPr>
          </w:p>
        </w:tc>
        <w:tc>
          <w:tcPr>
            <w:tcW w:w="4536" w:type="dxa"/>
          </w:tcPr>
          <w:p w:rsidRPr="003C684F" w:rsidR="009730C1" w:rsidRDefault="00A315B9" w14:paraId="1B5EC6B0" w14:textId="77777777">
            <w:pPr>
              <w:spacing w:line="360" w:lineRule="auto"/>
              <w:rPr>
                <w:rFonts w:ascii="仿宋" w:hAnsi="仿宋" w:eastAsia="仿宋"/>
                <w:color w:val="000000"/>
              </w:rPr>
            </w:pPr>
            <w:r w:rsidRPr="003C684F">
              <w:rPr>
                <w:rFonts w:hint="eastAsia" w:ascii="仿宋" w:hAnsi="仿宋" w:eastAsia="仿宋"/>
                <w:color w:val="000000"/>
              </w:rPr>
              <w:t>3～</w:t>
            </w:r>
            <w:r w:rsidRPr="003C684F">
              <w:rPr>
                <w:rFonts w:ascii="仿宋" w:hAnsi="仿宋" w:eastAsia="仿宋"/>
                <w:color w:val="000000"/>
              </w:rPr>
              <w:t>4</w:t>
            </w:r>
            <w:r w:rsidRPr="003C684F">
              <w:rPr>
                <w:rFonts w:hint="eastAsia" w:ascii="仿宋" w:hAnsi="仿宋" w:eastAsia="仿宋"/>
                <w:color w:val="000000"/>
              </w:rPr>
              <w:t>级</w:t>
            </w:r>
          </w:p>
        </w:tc>
        <w:tc>
          <w:tcPr>
            <w:tcW w:w="2665" w:type="dxa"/>
          </w:tcPr>
          <w:p w:rsidRPr="003C684F" w:rsidR="009730C1" w:rsidRDefault="00373DC1" w14:paraId="1DF90B88" w14:textId="1BC75D91">
            <w:pPr>
              <w:spacing w:line="360" w:lineRule="auto"/>
              <w:rPr>
                <w:rFonts w:ascii="仿宋" w:hAnsi="仿宋" w:eastAsia="仿宋"/>
                <w:color w:val="000000"/>
              </w:rPr>
            </w:pPr>
            <w:r w:rsidRPr="003C684F">
              <w:rPr>
                <w:rFonts w:hint="eastAsia" w:ascii="仿宋" w:hAnsi="仿宋" w:eastAsia="仿宋"/>
                <w:color w:val="000000"/>
              </w:rPr>
              <w:t>永久停用</w:t>
            </w:r>
          </w:p>
        </w:tc>
      </w:tr>
    </w:tbl>
    <w:p w:rsidRPr="003C684F" w:rsidR="009730C1" w:rsidRDefault="009730C1" w14:paraId="7B99C256" w14:textId="77777777">
      <w:pPr>
        <w:spacing w:line="360" w:lineRule="auto"/>
        <w:ind w:firstLine="422" w:firstLineChars="200"/>
        <w:jc w:val="center"/>
        <w:rPr>
          <w:rFonts w:ascii="仿宋" w:hAnsi="仿宋" w:eastAsia="仿宋" w:cs="Times New Roman"/>
          <w:b/>
          <w:color w:val="000000"/>
        </w:rPr>
      </w:pPr>
    </w:p>
    <w:p w:rsidR="00B741A3" w:rsidRDefault="00B741A3" w14:paraId="565426EA" w14:textId="77777777">
      <w:pPr>
        <w:spacing w:line="360" w:lineRule="auto"/>
        <w:jc w:val="center"/>
        <w:rPr>
          <w:rFonts w:ascii="仿宋" w:hAnsi="仿宋" w:eastAsia="仿宋" w:cs="Times New Roman"/>
          <w:b/>
          <w:color w:val="000000"/>
        </w:rPr>
      </w:pPr>
    </w:p>
    <w:p w:rsidRPr="003C684F" w:rsidR="009730C1" w:rsidRDefault="00A315B9" w14:paraId="54C15E0B" w14:textId="77777777">
      <w:pPr>
        <w:spacing w:line="360" w:lineRule="auto"/>
        <w:jc w:val="center"/>
        <w:rPr>
          <w:rFonts w:ascii="仿宋" w:hAnsi="仿宋" w:eastAsia="仿宋" w:cs="Times New Roman"/>
          <w:b/>
          <w:color w:val="000000"/>
        </w:rPr>
      </w:pPr>
      <w:r w:rsidRPr="003C684F">
        <w:rPr>
          <w:rFonts w:hint="eastAsia" w:ascii="仿宋" w:hAnsi="仿宋" w:eastAsia="仿宋" w:cs="Times New Roman"/>
          <w:b/>
          <w:color w:val="000000"/>
        </w:rPr>
        <w:t>附表2　不同器官重启免疫治疗注意事项</w:t>
      </w:r>
    </w:p>
    <w:tbl>
      <w:tblPr>
        <w:tblStyle w:val="22"/>
        <w:tblW w:w="0" w:type="auto"/>
        <w:tblInd w:w="-34" w:type="dxa"/>
        <w:tblLook w:val="04A0" w:firstRow="1" w:lastRow="0" w:firstColumn="1" w:lastColumn="0" w:noHBand="0" w:noVBand="1"/>
      </w:tblPr>
      <w:tblGrid>
        <w:gridCol w:w="1135"/>
        <w:gridCol w:w="7195"/>
      </w:tblGrid>
      <w:tr w:rsidRPr="003C684F" w:rsidR="009730C1" w14:paraId="6E5D81EC" w14:textId="77777777">
        <w:tc>
          <w:tcPr>
            <w:tcW w:w="1135" w:type="dxa"/>
          </w:tcPr>
          <w:p w:rsidRPr="003C684F" w:rsidR="009730C1" w:rsidRDefault="00A315B9" w14:paraId="1941AF21" w14:textId="77777777">
            <w:pPr>
              <w:rPr>
                <w:rFonts w:ascii="仿宋" w:hAnsi="仿宋" w:eastAsia="仿宋" w:cs="Times New Roman"/>
              </w:rPr>
            </w:pPr>
            <w:r w:rsidRPr="003C684F">
              <w:rPr>
                <w:rFonts w:hint="eastAsia" w:ascii="仿宋" w:hAnsi="仿宋" w:eastAsia="仿宋" w:cs="Times New Roman"/>
              </w:rPr>
              <w:t>心血管</w:t>
            </w:r>
          </w:p>
        </w:tc>
        <w:tc>
          <w:tcPr>
            <w:tcW w:w="7195" w:type="dxa"/>
          </w:tcPr>
          <w:p w:rsidRPr="003C684F" w:rsidR="009730C1" w:rsidRDefault="00A315B9" w14:paraId="07E84462"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1级心肌炎：症状</w:t>
            </w:r>
            <w:r w:rsidRPr="003C684F" w:rsidR="0078000B">
              <w:rPr>
                <w:rFonts w:hint="eastAsia" w:ascii="仿宋" w:hAnsi="仿宋" w:eastAsia="仿宋" w:cs="Times New Roman"/>
                <w:color w:val="000000"/>
              </w:rPr>
              <w:t>消退</w:t>
            </w:r>
            <w:r w:rsidRPr="003C684F">
              <w:rPr>
                <w:rFonts w:hint="eastAsia" w:ascii="仿宋" w:hAnsi="仿宋" w:eastAsia="仿宋" w:cs="Times New Roman"/>
                <w:color w:val="000000"/>
              </w:rPr>
              <w:t>后考虑重启治疗</w:t>
            </w:r>
          </w:p>
          <w:p w:rsidRPr="003C684F" w:rsidR="009730C1" w:rsidRDefault="00A315B9" w14:paraId="74940A56" w14:textId="77777777">
            <w:pPr>
              <w:spacing w:line="360" w:lineRule="auto"/>
              <w:jc w:val="left"/>
              <w:rPr>
                <w:rFonts w:ascii="等线" w:hAnsi="等线" w:cs="Times New Roman"/>
              </w:rPr>
            </w:pPr>
            <w:r w:rsidRPr="003C684F">
              <w:rPr>
                <w:rFonts w:hint="eastAsia" w:ascii="仿宋" w:hAnsi="仿宋" w:eastAsia="仿宋" w:cs="Times New Roman"/>
                <w:color w:val="000000"/>
              </w:rPr>
              <w:t>2～4级心肌炎：</w:t>
            </w:r>
            <w:r w:rsidRPr="003C684F" w:rsidR="0078000B">
              <w:rPr>
                <w:rFonts w:hint="eastAsia" w:ascii="仿宋" w:hAnsi="仿宋" w:eastAsia="仿宋" w:cs="Times New Roman"/>
                <w:color w:val="000000"/>
              </w:rPr>
              <w:t>永不考虑重启免疫治疗</w:t>
            </w:r>
          </w:p>
        </w:tc>
      </w:tr>
      <w:tr w:rsidRPr="003C684F" w:rsidR="009730C1" w14:paraId="3F4FD147" w14:textId="77777777">
        <w:tc>
          <w:tcPr>
            <w:tcW w:w="1135" w:type="dxa"/>
          </w:tcPr>
          <w:p w:rsidRPr="003C684F" w:rsidR="009730C1" w:rsidRDefault="00A315B9" w14:paraId="144E1E2B" w14:textId="77777777">
            <w:pPr>
              <w:rPr>
                <w:rFonts w:ascii="仿宋" w:hAnsi="仿宋" w:eastAsia="仿宋" w:cs="Times New Roman"/>
              </w:rPr>
            </w:pPr>
            <w:r w:rsidRPr="003C684F">
              <w:rPr>
                <w:rFonts w:hint="eastAsia" w:ascii="仿宋" w:hAnsi="仿宋" w:eastAsia="仿宋" w:cs="Times New Roman"/>
              </w:rPr>
              <w:t>内分泌</w:t>
            </w:r>
          </w:p>
        </w:tc>
        <w:tc>
          <w:tcPr>
            <w:tcW w:w="7195" w:type="dxa"/>
          </w:tcPr>
          <w:p w:rsidRPr="003C684F" w:rsidR="009730C1" w:rsidRDefault="00A315B9" w14:paraId="13E80C99"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甲状腺：甲状腺功能减退无需停药。对于类似</w:t>
            </w:r>
            <w:r w:rsidRPr="003C684F">
              <w:rPr>
                <w:rFonts w:ascii="仿宋" w:hAnsi="仿宋" w:eastAsia="仿宋" w:cs="Times New Roman"/>
                <w:color w:val="000000"/>
              </w:rPr>
              <w:t>Graves病的症状性甲状腺功能</w:t>
            </w:r>
            <w:r w:rsidRPr="003C684F">
              <w:rPr>
                <w:rFonts w:hint="eastAsia" w:ascii="仿宋" w:hAnsi="仿宋" w:eastAsia="仿宋" w:cs="Times New Roman"/>
                <w:color w:val="000000"/>
              </w:rPr>
              <w:t>亢进</w:t>
            </w:r>
            <w:r w:rsidRPr="003C684F">
              <w:rPr>
                <w:rFonts w:ascii="仿宋" w:hAnsi="仿宋" w:eastAsia="仿宋" w:cs="Times New Roman"/>
                <w:color w:val="000000"/>
              </w:rPr>
              <w:t>，考虑暂停免疫治疗，并在检查完成后且有证据表明甲状腺功能</w:t>
            </w:r>
            <w:r w:rsidRPr="003C684F">
              <w:rPr>
                <w:rFonts w:hint="eastAsia" w:ascii="仿宋" w:hAnsi="仿宋" w:eastAsia="仿宋" w:cs="Times New Roman"/>
                <w:color w:val="000000"/>
              </w:rPr>
              <w:t>及症状</w:t>
            </w:r>
            <w:r w:rsidRPr="003C684F">
              <w:rPr>
                <w:rFonts w:hint="eastAsia" w:ascii="仿宋" w:hAnsi="仿宋" w:eastAsia="仿宋" w:cs="Times New Roman"/>
                <w:color w:val="000000"/>
              </w:rPr>
              <w:lastRenderedPageBreak/>
              <w:t>改善后可重启免疫</w:t>
            </w:r>
            <w:r w:rsidRPr="003C684F">
              <w:rPr>
                <w:rFonts w:ascii="仿宋" w:hAnsi="仿宋" w:eastAsia="仿宋" w:cs="Times New Roman"/>
                <w:color w:val="000000"/>
              </w:rPr>
              <w:t>治疗</w:t>
            </w:r>
          </w:p>
          <w:p w:rsidRPr="003C684F" w:rsidR="009730C1" w:rsidRDefault="00A315B9" w14:paraId="48380D2B"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促肾上腺皮质激素</w:t>
            </w:r>
            <w:r w:rsidRPr="003C684F">
              <w:rPr>
                <w:rFonts w:ascii="仿宋" w:hAnsi="仿宋" w:eastAsia="仿宋" w:cs="Times New Roman"/>
                <w:color w:val="000000"/>
              </w:rPr>
              <w:t>、</w:t>
            </w:r>
            <w:r w:rsidRPr="003C684F">
              <w:rPr>
                <w:rFonts w:hint="eastAsia" w:ascii="仿宋" w:hAnsi="仿宋" w:eastAsia="仿宋" w:cs="Times New Roman"/>
                <w:color w:val="000000"/>
              </w:rPr>
              <w:t>促甲状腺激素</w:t>
            </w:r>
            <w:r w:rsidRPr="003C684F">
              <w:rPr>
                <w:rFonts w:ascii="仿宋" w:hAnsi="仿宋" w:eastAsia="仿宋" w:cs="Times New Roman"/>
                <w:color w:val="000000"/>
              </w:rPr>
              <w:t>和/或促性腺激素缺乏，但没有症状性垂体肿胀的垂体炎</w:t>
            </w:r>
            <w:r w:rsidRPr="003C684F">
              <w:rPr>
                <w:rFonts w:hint="eastAsia" w:ascii="仿宋" w:hAnsi="仿宋" w:eastAsia="仿宋" w:cs="Times New Roman"/>
                <w:color w:val="000000"/>
              </w:rPr>
              <w:t>：</w:t>
            </w:r>
            <w:r w:rsidRPr="003C684F" w:rsidR="0078000B">
              <w:rPr>
                <w:rFonts w:hint="eastAsia" w:ascii="仿宋" w:hAnsi="仿宋" w:eastAsia="仿宋" w:cs="Times New Roman"/>
                <w:color w:val="000000"/>
              </w:rPr>
              <w:t>在接受激素替代治疗后，可以重启免疫治疗</w:t>
            </w:r>
          </w:p>
          <w:p w:rsidRPr="003C684F" w:rsidR="009730C1" w:rsidRDefault="00A315B9" w14:paraId="295DFE51"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垂体炎伴垂体肿胀症状</w:t>
            </w:r>
            <w:r w:rsidRPr="003C684F">
              <w:rPr>
                <w:rFonts w:ascii="仿宋" w:hAnsi="仿宋" w:eastAsia="仿宋" w:cs="Times New Roman"/>
                <w:color w:val="000000"/>
              </w:rPr>
              <w:t>（如头痛、视觉障碍和/或神经功能障碍）：类固醇治疗</w:t>
            </w:r>
            <w:r w:rsidRPr="003C684F">
              <w:rPr>
                <w:rFonts w:hint="eastAsia" w:ascii="仿宋" w:hAnsi="仿宋" w:eastAsia="仿宋" w:cs="Times New Roman"/>
                <w:color w:val="000000"/>
              </w:rPr>
              <w:t>且</w:t>
            </w:r>
            <w:r w:rsidRPr="003C684F">
              <w:rPr>
                <w:rFonts w:ascii="仿宋" w:hAnsi="仿宋" w:eastAsia="仿宋" w:cs="Times New Roman"/>
                <w:color w:val="000000"/>
              </w:rPr>
              <w:t>与肿胀相关症状消退后</w:t>
            </w:r>
            <w:r w:rsidRPr="003C684F">
              <w:rPr>
                <w:rFonts w:hint="eastAsia" w:ascii="仿宋" w:hAnsi="仿宋" w:eastAsia="仿宋" w:cs="Times New Roman"/>
                <w:color w:val="000000"/>
              </w:rPr>
              <w:t>，</w:t>
            </w:r>
            <w:r w:rsidRPr="003C684F">
              <w:rPr>
                <w:rFonts w:ascii="仿宋" w:hAnsi="仿宋" w:eastAsia="仿宋" w:cs="Times New Roman"/>
                <w:color w:val="000000"/>
              </w:rPr>
              <w:t>考虑</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p>
          <w:p w:rsidRPr="003C684F" w:rsidR="009730C1" w:rsidRDefault="00A315B9" w14:paraId="15F23F26"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1型糖尿病伴有</w:t>
            </w:r>
            <w:r w:rsidRPr="003C684F">
              <w:rPr>
                <w:rFonts w:hint="eastAsia" w:ascii="仿宋" w:hAnsi="仿宋" w:eastAsia="仿宋" w:cs="Times New Roman"/>
                <w:color w:val="000000"/>
              </w:rPr>
              <w:t>酮症酸中毒：</w:t>
            </w:r>
            <w:r w:rsidRPr="003C684F">
              <w:rPr>
                <w:rFonts w:ascii="仿宋" w:hAnsi="仿宋" w:eastAsia="仿宋" w:cs="Times New Roman"/>
                <w:color w:val="000000"/>
              </w:rPr>
              <w:t>酮症酸中毒纠正且血糖水平稳定后，考虑</w:t>
            </w:r>
            <w:r w:rsidRPr="003C684F">
              <w:rPr>
                <w:rFonts w:hint="eastAsia" w:ascii="仿宋" w:hAnsi="仿宋" w:eastAsia="仿宋" w:cs="Times New Roman"/>
                <w:color w:val="000000"/>
              </w:rPr>
              <w:t>重启免疫</w:t>
            </w:r>
            <w:r w:rsidRPr="003C684F">
              <w:rPr>
                <w:rFonts w:ascii="仿宋" w:hAnsi="仿宋" w:eastAsia="仿宋" w:cs="Times New Roman"/>
                <w:color w:val="000000"/>
              </w:rPr>
              <w:t>治疗</w:t>
            </w:r>
          </w:p>
          <w:p w:rsidRPr="003C684F" w:rsidR="009730C1" w:rsidRDefault="00A315B9" w14:paraId="096D407E" w14:textId="77777777">
            <w:pPr>
              <w:spacing w:line="360" w:lineRule="auto"/>
              <w:jc w:val="left"/>
              <w:rPr>
                <w:rFonts w:ascii="等线" w:hAnsi="等线" w:cs="Times New Roman"/>
              </w:rPr>
            </w:pPr>
            <w:r w:rsidRPr="003C684F">
              <w:rPr>
                <w:rFonts w:hint="eastAsia" w:ascii="仿宋" w:hAnsi="仿宋" w:eastAsia="仿宋" w:cs="Times New Roman"/>
                <w:color w:val="000000"/>
              </w:rPr>
              <w:t>原发性肾上腺功能不全：</w:t>
            </w:r>
            <w:r w:rsidRPr="003C684F">
              <w:rPr>
                <w:rFonts w:ascii="仿宋" w:hAnsi="仿宋" w:eastAsia="仿宋" w:cs="Times New Roman"/>
                <w:color w:val="000000"/>
              </w:rPr>
              <w:t>在适当的替代内分泌治疗后，可继续免疫治疗</w:t>
            </w:r>
          </w:p>
        </w:tc>
      </w:tr>
      <w:tr w:rsidRPr="003C684F" w:rsidR="009730C1" w14:paraId="0649CB1B" w14:textId="77777777">
        <w:tc>
          <w:tcPr>
            <w:tcW w:w="1135" w:type="dxa"/>
          </w:tcPr>
          <w:p w:rsidRPr="003C684F" w:rsidR="009730C1" w:rsidP="0078000B" w:rsidRDefault="00A315B9" w14:paraId="741C70C6" w14:textId="77777777">
            <w:pPr>
              <w:rPr>
                <w:rFonts w:ascii="仿宋" w:hAnsi="仿宋" w:eastAsia="仿宋" w:cs="Times New Roman"/>
              </w:rPr>
            </w:pPr>
            <w:r w:rsidRPr="003C684F">
              <w:rPr>
                <w:rFonts w:hint="eastAsia" w:ascii="仿宋" w:hAnsi="仿宋" w:eastAsia="仿宋" w:cs="Times New Roman"/>
              </w:rPr>
              <w:lastRenderedPageBreak/>
              <w:t>眼</w:t>
            </w:r>
          </w:p>
        </w:tc>
        <w:tc>
          <w:tcPr>
            <w:tcW w:w="7195" w:type="dxa"/>
          </w:tcPr>
          <w:p w:rsidRPr="003C684F" w:rsidR="009730C1" w:rsidP="0078000B" w:rsidRDefault="00A315B9" w14:paraId="021F4FEC" w14:textId="77777777">
            <w:pPr>
              <w:spacing w:line="360" w:lineRule="auto"/>
              <w:jc w:val="left"/>
              <w:rPr>
                <w:rFonts w:ascii="等线" w:hAnsi="等线" w:cs="Times New Roman"/>
              </w:rPr>
            </w:pPr>
            <w:r w:rsidRPr="003C684F">
              <w:rPr>
                <w:rFonts w:ascii="仿宋" w:hAnsi="仿宋" w:eastAsia="仿宋" w:cs="Times New Roman"/>
                <w:color w:val="000000"/>
              </w:rPr>
              <w:t>2</w:t>
            </w:r>
            <w:r w:rsidRPr="003C684F">
              <w:rPr>
                <w:rFonts w:hint="eastAsia" w:ascii="仿宋" w:hAnsi="仿宋" w:eastAsia="仿宋" w:cs="Times New Roman"/>
                <w:color w:val="000000"/>
              </w:rPr>
              <w:t>～</w:t>
            </w:r>
            <w:r w:rsidRPr="003C684F">
              <w:rPr>
                <w:rFonts w:ascii="仿宋" w:hAnsi="仿宋" w:eastAsia="仿宋" w:cs="Times New Roman"/>
                <w:color w:val="000000"/>
              </w:rPr>
              <w:t>4级irAE</w:t>
            </w:r>
            <w:r w:rsidRPr="003C684F">
              <w:rPr>
                <w:rFonts w:hint="eastAsia" w:ascii="仿宋" w:hAnsi="仿宋" w:eastAsia="仿宋" w:cs="Times New Roman"/>
                <w:color w:val="000000"/>
              </w:rPr>
              <w:t>：</w:t>
            </w:r>
            <w:r w:rsidRPr="003C684F">
              <w:rPr>
                <w:rFonts w:ascii="仿宋" w:hAnsi="仿宋" w:eastAsia="仿宋" w:cs="Times New Roman"/>
                <w:color w:val="000000"/>
              </w:rPr>
              <w:t>根据指南暂停免疫治疗;在改善至≤1级时，请眼科会诊考虑</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r w:rsidRPr="003C684F" w:rsidR="0078000B">
              <w:rPr>
                <w:rFonts w:hint="eastAsia" w:ascii="仿宋" w:hAnsi="仿宋" w:eastAsia="仿宋" w:cs="Times New Roman"/>
                <w:color w:val="000000"/>
              </w:rPr>
              <w:t>，出现重度葡萄膜炎或巩膜外层炎（G3～G4），永不考虑重启免疫治疗</w:t>
            </w:r>
          </w:p>
        </w:tc>
      </w:tr>
      <w:tr w:rsidRPr="003C684F" w:rsidR="009730C1" w14:paraId="6DF28AE7" w14:textId="77777777">
        <w:tc>
          <w:tcPr>
            <w:tcW w:w="1135" w:type="dxa"/>
          </w:tcPr>
          <w:p w:rsidRPr="003C684F" w:rsidR="009730C1" w:rsidRDefault="00A315B9" w14:paraId="58019164" w14:textId="77777777">
            <w:pPr>
              <w:rPr>
                <w:rFonts w:ascii="仿宋" w:hAnsi="仿宋" w:eastAsia="仿宋" w:cs="Times New Roman"/>
              </w:rPr>
            </w:pPr>
            <w:r w:rsidRPr="003C684F">
              <w:rPr>
                <w:rFonts w:hint="eastAsia" w:ascii="仿宋" w:hAnsi="仿宋" w:eastAsia="仿宋" w:cs="Times New Roman"/>
              </w:rPr>
              <w:t>胃肠道</w:t>
            </w:r>
          </w:p>
        </w:tc>
        <w:tc>
          <w:tcPr>
            <w:tcW w:w="7195" w:type="dxa"/>
          </w:tcPr>
          <w:p w:rsidRPr="003C684F" w:rsidR="009730C1" w:rsidRDefault="00A315B9" w14:paraId="4F339E35" w14:textId="3F09B89B">
            <w:pPr>
              <w:spacing w:line="360" w:lineRule="auto"/>
              <w:jc w:val="left"/>
              <w:rPr>
                <w:rFonts w:ascii="仿宋" w:hAnsi="仿宋" w:eastAsia="仿宋" w:cs="Times New Roman"/>
                <w:color w:val="000000"/>
              </w:rPr>
            </w:pPr>
            <w:r w:rsidRPr="003C684F">
              <w:rPr>
                <w:rFonts w:ascii="仿宋" w:hAnsi="仿宋" w:eastAsia="仿宋" w:cs="Times New Roman"/>
                <w:color w:val="000000"/>
              </w:rPr>
              <w:t>PD-1/PD-L1</w:t>
            </w:r>
            <w:r w:rsidRPr="003C684F" w:rsidR="0078000B">
              <w:rPr>
                <w:rFonts w:hint="eastAsia" w:ascii="仿宋" w:hAnsi="仿宋" w:eastAsia="仿宋" w:cs="Times New Roman"/>
                <w:color w:val="000000"/>
              </w:rPr>
              <w:t>抑制剂</w:t>
            </w:r>
            <w:r w:rsidRPr="003C684F">
              <w:rPr>
                <w:rFonts w:hint="eastAsia" w:ascii="仿宋" w:hAnsi="仿宋" w:eastAsia="仿宋" w:cs="Times New Roman"/>
                <w:color w:val="000000"/>
              </w:rPr>
              <w:t>：</w:t>
            </w:r>
            <w:r w:rsidRPr="003C684F">
              <w:rPr>
                <w:rFonts w:ascii="仿宋" w:hAnsi="仿宋" w:eastAsia="仿宋" w:cs="Times New Roman"/>
                <w:color w:val="000000"/>
              </w:rPr>
              <w:t>2</w:t>
            </w:r>
            <w:r w:rsidRPr="003C684F">
              <w:rPr>
                <w:rFonts w:hint="eastAsia" w:ascii="仿宋" w:hAnsi="仿宋" w:eastAsia="仿宋" w:cs="Times New Roman"/>
                <w:color w:val="000000"/>
              </w:rPr>
              <w:t>～</w:t>
            </w:r>
            <w:r w:rsidRPr="003C684F">
              <w:rPr>
                <w:rFonts w:ascii="仿宋" w:hAnsi="仿宋" w:eastAsia="仿宋" w:cs="Times New Roman"/>
                <w:color w:val="000000"/>
              </w:rPr>
              <w:t>3级结肠炎后，在症状缓解至</w:t>
            </w:r>
            <w:r w:rsidRPr="003C684F">
              <w:rPr>
                <w:rFonts w:hint="eastAsia" w:ascii="仿宋" w:hAnsi="仿宋" w:eastAsia="仿宋" w:cs="Times New Roman"/>
                <w:color w:val="000000"/>
              </w:rPr>
              <w:t>≤</w:t>
            </w:r>
            <w:r w:rsidRPr="003C684F">
              <w:rPr>
                <w:rFonts w:ascii="仿宋" w:hAnsi="仿宋" w:eastAsia="仿宋" w:cs="Times New Roman"/>
                <w:color w:val="000000"/>
              </w:rPr>
              <w:t>1级</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免疫治疗。在极少数情况下，患者无法完全减量停用类固醇，且症状未消退，可在患者仍使用≤10mg/d泼尼松等效剂量的情况下</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免疫治疗。恢复PD-1/PD-L1</w:t>
            </w:r>
            <w:r w:rsidRPr="003C684F" w:rsidR="0078000B">
              <w:rPr>
                <w:rFonts w:hint="eastAsia" w:ascii="仿宋" w:hAnsi="仿宋" w:eastAsia="仿宋" w:cs="Times New Roman"/>
                <w:color w:val="000000"/>
              </w:rPr>
              <w:t>抑制剂</w:t>
            </w:r>
            <w:r w:rsidRPr="003C684F">
              <w:rPr>
                <w:rFonts w:ascii="仿宋" w:hAnsi="仿宋" w:eastAsia="仿宋" w:cs="Times New Roman"/>
                <w:color w:val="000000"/>
              </w:rPr>
              <w:t>治疗后，考虑</w:t>
            </w:r>
            <w:r w:rsidRPr="003C684F" w:rsidR="00C3674D">
              <w:rPr>
                <w:rFonts w:hint="eastAsia" w:ascii="仿宋" w:hAnsi="仿宋" w:eastAsia="仿宋" w:cs="Times New Roman"/>
                <w:color w:val="000000"/>
              </w:rPr>
              <w:t>联合</w:t>
            </w:r>
            <w:r w:rsidRPr="003C684F">
              <w:rPr>
                <w:rFonts w:hint="eastAsia" w:ascii="仿宋" w:hAnsi="仿宋" w:eastAsia="仿宋" w:cs="Times New Roman"/>
                <w:color w:val="000000"/>
              </w:rPr>
              <w:t>使用</w:t>
            </w:r>
            <w:r w:rsidRPr="003C684F">
              <w:rPr>
                <w:rFonts w:ascii="仿宋" w:hAnsi="仿宋" w:eastAsia="仿宋" w:cs="Times New Roman"/>
                <w:color w:val="000000"/>
              </w:rPr>
              <w:t>维多利珠单抗</w:t>
            </w:r>
          </w:p>
          <w:p w:rsidRPr="003C684F" w:rsidR="009730C1" w:rsidRDefault="00A315B9" w14:paraId="0A492F99"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CTLA-4药物;如果irAE重或危及生命，则停药</w:t>
            </w:r>
          </w:p>
          <w:p w:rsidRPr="003C684F" w:rsidR="009730C1" w:rsidRDefault="00A315B9" w14:paraId="34B3B9FA" w14:textId="77777777">
            <w:pPr>
              <w:spacing w:line="360" w:lineRule="auto"/>
              <w:jc w:val="left"/>
              <w:rPr>
                <w:rFonts w:ascii="等线" w:hAnsi="等线" w:cs="Times New Roman"/>
              </w:rPr>
            </w:pPr>
            <w:r w:rsidRPr="003C684F">
              <w:rPr>
                <w:rFonts w:hint="eastAsia" w:ascii="仿宋" w:hAnsi="仿宋" w:eastAsia="仿宋" w:cs="Times New Roman"/>
                <w:color w:val="000000"/>
                <w:vertAlign w:val="superscript"/>
              </w:rPr>
              <w:t>*</w:t>
            </w:r>
            <w:r w:rsidRPr="003C684F">
              <w:rPr>
                <w:rFonts w:ascii="仿宋" w:hAnsi="仿宋" w:eastAsia="仿宋" w:cs="Times New Roman"/>
                <w:color w:val="000000"/>
              </w:rPr>
              <w:t>请勿补</w:t>
            </w:r>
            <w:r w:rsidRPr="003C684F">
              <w:rPr>
                <w:rFonts w:hint="eastAsia" w:ascii="仿宋" w:hAnsi="仿宋" w:eastAsia="仿宋" w:cs="Times New Roman"/>
                <w:color w:val="000000"/>
              </w:rPr>
              <w:t>用</w:t>
            </w:r>
            <w:r w:rsidRPr="003C684F">
              <w:rPr>
                <w:rFonts w:ascii="仿宋" w:hAnsi="仿宋" w:eastAsia="仿宋" w:cs="Times New Roman"/>
                <w:color w:val="000000"/>
              </w:rPr>
              <w:t>因irAE和/或类固醇治疗而</w:t>
            </w:r>
            <w:r w:rsidRPr="003C684F">
              <w:rPr>
                <w:rFonts w:hint="eastAsia" w:ascii="仿宋" w:hAnsi="仿宋" w:eastAsia="仿宋" w:cs="Times New Roman"/>
                <w:color w:val="000000"/>
              </w:rPr>
              <w:t>错过</w:t>
            </w:r>
            <w:r w:rsidRPr="003C684F">
              <w:rPr>
                <w:rFonts w:ascii="仿宋" w:hAnsi="仿宋" w:eastAsia="仿宋" w:cs="Times New Roman"/>
                <w:color w:val="000000"/>
              </w:rPr>
              <w:t>的剂量</w:t>
            </w:r>
          </w:p>
        </w:tc>
      </w:tr>
      <w:tr w:rsidRPr="003C684F" w:rsidR="009730C1" w14:paraId="3997D06F" w14:textId="77777777">
        <w:tc>
          <w:tcPr>
            <w:tcW w:w="1135" w:type="dxa"/>
          </w:tcPr>
          <w:p w:rsidRPr="003C684F" w:rsidR="009730C1" w:rsidRDefault="00A315B9" w14:paraId="0CC7AD04" w14:textId="77777777">
            <w:pPr>
              <w:rPr>
                <w:rFonts w:ascii="仿宋" w:hAnsi="仿宋" w:eastAsia="仿宋" w:cs="Times New Roman"/>
              </w:rPr>
            </w:pPr>
            <w:r w:rsidRPr="003C684F">
              <w:rPr>
                <w:rFonts w:hint="eastAsia" w:ascii="仿宋" w:hAnsi="仿宋" w:eastAsia="仿宋" w:cs="Times New Roman"/>
              </w:rPr>
              <w:t>肾</w:t>
            </w:r>
          </w:p>
        </w:tc>
        <w:tc>
          <w:tcPr>
            <w:tcW w:w="7195" w:type="dxa"/>
          </w:tcPr>
          <w:p w:rsidRPr="003C684F" w:rsidR="009730C1" w:rsidRDefault="00A315B9" w14:paraId="634537E9"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根据指南暂停免疫治疗；</w:t>
            </w:r>
            <w:r w:rsidRPr="003C684F">
              <w:rPr>
                <w:rFonts w:ascii="仿宋" w:hAnsi="仿宋" w:eastAsia="仿宋" w:cs="Times New Roman"/>
                <w:color w:val="000000"/>
              </w:rPr>
              <w:t>在症状改善至</w:t>
            </w:r>
            <w:r w:rsidRPr="003C684F">
              <w:rPr>
                <w:rFonts w:hint="eastAsia" w:ascii="仿宋" w:hAnsi="仿宋" w:eastAsia="仿宋" w:cs="Times New Roman"/>
                <w:color w:val="000000"/>
              </w:rPr>
              <w:t>≤</w:t>
            </w:r>
            <w:r w:rsidRPr="003C684F">
              <w:rPr>
                <w:rFonts w:ascii="仿宋" w:hAnsi="仿宋" w:eastAsia="仿宋" w:cs="Times New Roman"/>
                <w:color w:val="000000"/>
              </w:rPr>
              <w:t>1级时，如果肌酐稳定，</w:t>
            </w:r>
            <w:r w:rsidRPr="003C684F" w:rsidR="0078000B">
              <w:rPr>
                <w:rFonts w:hint="eastAsia" w:ascii="仿宋" w:hAnsi="仿宋" w:eastAsia="仿宋" w:cs="Times New Roman"/>
                <w:color w:val="000000"/>
              </w:rPr>
              <w:t>可在同时使用糖皮质激素的情况下重启免疫治疗</w:t>
            </w:r>
          </w:p>
          <w:p w:rsidRPr="003C684F" w:rsidR="009730C1" w:rsidRDefault="00A315B9" w14:paraId="717ECE18"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重新开始免疫治疗后，每</w:t>
            </w:r>
            <w:r w:rsidRPr="003C684F">
              <w:rPr>
                <w:rFonts w:ascii="仿宋" w:hAnsi="仿宋" w:eastAsia="仿宋" w:cs="Times New Roman"/>
                <w:color w:val="000000"/>
              </w:rPr>
              <w:t>2</w:t>
            </w:r>
            <w:r w:rsidRPr="003C684F">
              <w:rPr>
                <w:rFonts w:hint="eastAsia" w:ascii="仿宋" w:hAnsi="仿宋" w:eastAsia="仿宋" w:cs="Times New Roman"/>
                <w:color w:val="000000"/>
              </w:rPr>
              <w:t>～</w:t>
            </w:r>
            <w:r w:rsidRPr="003C684F">
              <w:rPr>
                <w:rFonts w:ascii="仿宋" w:hAnsi="仿宋" w:eastAsia="仿宋" w:cs="Times New Roman"/>
                <w:color w:val="000000"/>
              </w:rPr>
              <w:t>3周监测肌酐或根据临床</w:t>
            </w:r>
            <w:r w:rsidRPr="003C684F">
              <w:rPr>
                <w:rFonts w:hint="eastAsia" w:ascii="仿宋" w:hAnsi="仿宋" w:eastAsia="仿宋" w:cs="Times New Roman"/>
                <w:color w:val="000000"/>
              </w:rPr>
              <w:t>指征</w:t>
            </w:r>
            <w:r w:rsidRPr="003C684F">
              <w:rPr>
                <w:rFonts w:ascii="仿宋" w:hAnsi="仿宋" w:eastAsia="仿宋" w:cs="Times New Roman"/>
                <w:color w:val="000000"/>
              </w:rPr>
              <w:t>更频繁地监测肌酐。如果肌酐保持稳定，考虑延长两次肌酐检查之间</w:t>
            </w:r>
            <w:r w:rsidRPr="003C684F">
              <w:rPr>
                <w:rFonts w:hint="eastAsia" w:ascii="仿宋" w:hAnsi="仿宋" w:eastAsia="仿宋" w:cs="Times New Roman"/>
                <w:color w:val="000000"/>
              </w:rPr>
              <w:t>的</w:t>
            </w:r>
            <w:r w:rsidRPr="003C684F">
              <w:rPr>
                <w:rFonts w:ascii="仿宋" w:hAnsi="仿宋" w:eastAsia="仿宋" w:cs="Times New Roman"/>
                <w:color w:val="000000"/>
              </w:rPr>
              <w:t>间隔时间</w:t>
            </w:r>
          </w:p>
          <w:p w:rsidRPr="003C684F" w:rsidR="0078000B" w:rsidRDefault="00A315B9" w14:paraId="28B55080"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重度（3</w:t>
            </w:r>
            <w:r w:rsidRPr="003C684F">
              <w:rPr>
                <w:rFonts w:hint="eastAsia" w:ascii="仿宋" w:hAnsi="仿宋" w:eastAsia="仿宋" w:cs="Times New Roman"/>
                <w:color w:val="000000"/>
              </w:rPr>
              <w:t>～</w:t>
            </w:r>
            <w:r w:rsidRPr="003C684F">
              <w:rPr>
                <w:rFonts w:ascii="仿宋" w:hAnsi="仿宋" w:eastAsia="仿宋" w:cs="Times New Roman"/>
                <w:color w:val="000000"/>
              </w:rPr>
              <w:t>4级）蛋白尿</w:t>
            </w:r>
            <w:r w:rsidRPr="003C684F">
              <w:rPr>
                <w:rFonts w:hint="eastAsia" w:ascii="仿宋" w:hAnsi="仿宋" w:eastAsia="仿宋" w:cs="Times New Roman"/>
                <w:color w:val="000000"/>
              </w:rPr>
              <w:t>：</w:t>
            </w:r>
            <w:r w:rsidRPr="003C684F" w:rsidR="0078000B">
              <w:rPr>
                <w:rFonts w:hint="eastAsia" w:ascii="仿宋" w:hAnsi="仿宋" w:eastAsia="仿宋" w:cs="Times New Roman"/>
                <w:color w:val="000000"/>
              </w:rPr>
              <w:t>永不考虑重启免疫治疗</w:t>
            </w:r>
          </w:p>
          <w:p w:rsidRPr="003C684F" w:rsidR="009730C1" w:rsidRDefault="00A315B9" w14:paraId="4EDE19FD" w14:textId="77777777">
            <w:pPr>
              <w:spacing w:line="360" w:lineRule="auto"/>
              <w:jc w:val="left"/>
              <w:rPr>
                <w:rFonts w:ascii="等线" w:hAnsi="等线" w:cs="Times New Roman"/>
              </w:rPr>
            </w:pPr>
            <w:r w:rsidRPr="003C684F">
              <w:rPr>
                <w:rFonts w:hint="eastAsia" w:ascii="仿宋" w:hAnsi="仿宋" w:eastAsia="仿宋" w:cs="Times New Roman"/>
                <w:color w:val="000000"/>
              </w:rPr>
              <w:t>对于已缓解的</w:t>
            </w:r>
            <w:r w:rsidRPr="003C684F">
              <w:rPr>
                <w:rFonts w:ascii="仿宋" w:hAnsi="仿宋" w:eastAsia="仿宋" w:cs="Times New Roman"/>
                <w:color w:val="000000"/>
              </w:rPr>
              <w:t>G2和/或G3肾脏irAE</w:t>
            </w:r>
            <w:r w:rsidRPr="003C684F">
              <w:rPr>
                <w:rFonts w:hint="eastAsia" w:ascii="仿宋" w:hAnsi="仿宋" w:eastAsia="仿宋" w:cs="Times New Roman"/>
                <w:color w:val="000000"/>
              </w:rPr>
              <w:t>：</w:t>
            </w:r>
            <w:r w:rsidRPr="003C684F">
              <w:rPr>
                <w:rFonts w:ascii="仿宋" w:hAnsi="仿宋" w:eastAsia="仿宋" w:cs="Times New Roman"/>
                <w:color w:val="000000"/>
              </w:rPr>
              <w:t>如果有临床指征，至少在暂停ICI治疗</w:t>
            </w:r>
            <w:r w:rsidRPr="003C684F">
              <w:rPr>
                <w:rFonts w:hint="eastAsia" w:ascii="仿宋" w:hAnsi="仿宋" w:eastAsia="仿宋" w:cs="Times New Roman"/>
                <w:color w:val="000000"/>
              </w:rPr>
              <w:t>≥</w:t>
            </w:r>
            <w:r w:rsidRPr="003C684F">
              <w:rPr>
                <w:rFonts w:ascii="仿宋" w:hAnsi="仿宋" w:eastAsia="仿宋" w:cs="Times New Roman"/>
                <w:color w:val="000000"/>
              </w:rPr>
              <w:t>2个月后，可考虑</w:t>
            </w:r>
            <w:r w:rsidRPr="003C684F">
              <w:rPr>
                <w:rFonts w:hint="eastAsia" w:ascii="仿宋" w:hAnsi="仿宋" w:eastAsia="仿宋" w:cs="Times New Roman"/>
                <w:color w:val="000000"/>
              </w:rPr>
              <w:t>重启</w:t>
            </w:r>
            <w:r w:rsidRPr="003C684F" w:rsidR="00A66646">
              <w:rPr>
                <w:rFonts w:hint="eastAsia" w:ascii="仿宋" w:hAnsi="仿宋" w:eastAsia="仿宋" w:cs="Times New Roman"/>
                <w:color w:val="000000"/>
              </w:rPr>
              <w:t>免疫治疗</w:t>
            </w:r>
          </w:p>
        </w:tc>
      </w:tr>
      <w:tr w:rsidRPr="003C684F" w:rsidR="009730C1" w14:paraId="60459C23" w14:textId="77777777">
        <w:tc>
          <w:tcPr>
            <w:tcW w:w="1135" w:type="dxa"/>
          </w:tcPr>
          <w:p w:rsidRPr="003C684F" w:rsidR="009730C1" w:rsidRDefault="00A315B9" w14:paraId="1023FDC8" w14:textId="77777777">
            <w:pPr>
              <w:rPr>
                <w:rFonts w:ascii="仿宋" w:hAnsi="仿宋" w:eastAsia="仿宋" w:cs="Times New Roman"/>
              </w:rPr>
            </w:pPr>
            <w:r w:rsidRPr="003C684F">
              <w:rPr>
                <w:rFonts w:hint="eastAsia" w:ascii="仿宋" w:hAnsi="仿宋" w:eastAsia="仿宋" w:cs="Times New Roman"/>
              </w:rPr>
              <w:t>肝脏</w:t>
            </w:r>
          </w:p>
        </w:tc>
        <w:tc>
          <w:tcPr>
            <w:tcW w:w="7195" w:type="dxa"/>
          </w:tcPr>
          <w:p w:rsidRPr="003C684F" w:rsidR="009730C1" w:rsidRDefault="00A315B9" w14:paraId="4FCB91C2"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转氨酶升高，不伴胆红素升高：</w:t>
            </w:r>
            <w:r w:rsidRPr="003C684F">
              <w:rPr>
                <w:rFonts w:ascii="仿宋" w:hAnsi="仿宋" w:eastAsia="仿宋" w:cs="Times New Roman"/>
                <w:color w:val="000000"/>
              </w:rPr>
              <w:t>发生2级irAE后，在谷丙转氨酶/谷草转氨酶恢复至基线水平，类固醇逐渐减量至≤10mg/d泼尼松等效剂量后考虑</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p>
          <w:p w:rsidRPr="003C684F" w:rsidR="009730C1" w:rsidRDefault="00A315B9" w14:paraId="4FA3B0D8"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3级肝炎</w:t>
            </w:r>
            <w:r w:rsidRPr="003C684F">
              <w:rPr>
                <w:rFonts w:hint="eastAsia" w:ascii="仿宋" w:hAnsi="仿宋" w:eastAsia="仿宋" w:cs="Times New Roman"/>
                <w:color w:val="000000"/>
              </w:rPr>
              <w:t>：</w:t>
            </w:r>
            <w:r w:rsidRPr="003C684F">
              <w:rPr>
                <w:rFonts w:ascii="仿宋" w:hAnsi="仿宋" w:eastAsia="仿宋" w:cs="Times New Roman"/>
                <w:color w:val="000000"/>
              </w:rPr>
              <w:t>如果使用CTLA-4</w:t>
            </w:r>
            <w:r w:rsidRPr="003C684F" w:rsidR="003B3589">
              <w:rPr>
                <w:rFonts w:hint="eastAsia" w:ascii="仿宋" w:hAnsi="仿宋" w:eastAsia="仿宋" w:cs="Times New Roman"/>
                <w:color w:val="000000"/>
              </w:rPr>
              <w:t>抑制剂</w:t>
            </w:r>
            <w:r w:rsidRPr="003C684F">
              <w:rPr>
                <w:rFonts w:ascii="仿宋" w:hAnsi="仿宋" w:eastAsia="仿宋" w:cs="Times New Roman"/>
                <w:color w:val="000000"/>
              </w:rPr>
              <w:t>联合PD-1/PD-L1</w:t>
            </w:r>
            <w:r w:rsidRPr="003C684F" w:rsidR="003B3589">
              <w:rPr>
                <w:rFonts w:hint="eastAsia" w:ascii="仿宋" w:hAnsi="仿宋" w:eastAsia="仿宋" w:cs="Times New Roman"/>
                <w:color w:val="000000"/>
              </w:rPr>
              <w:t>抑制剂</w:t>
            </w:r>
            <w:r w:rsidRPr="003C684F">
              <w:rPr>
                <w:rFonts w:ascii="仿宋" w:hAnsi="仿宋" w:eastAsia="仿宋" w:cs="Times New Roman"/>
                <w:color w:val="000000"/>
              </w:rPr>
              <w:t>治疗，仅重新开始PD-1/PD-L1</w:t>
            </w:r>
            <w:r w:rsidRPr="003C684F" w:rsidR="003B3589">
              <w:rPr>
                <w:rFonts w:hint="eastAsia" w:ascii="仿宋" w:hAnsi="仿宋" w:eastAsia="仿宋" w:cs="Times New Roman"/>
                <w:color w:val="000000"/>
              </w:rPr>
              <w:t>抑制剂</w:t>
            </w:r>
            <w:r w:rsidRPr="003C684F">
              <w:rPr>
                <w:rFonts w:ascii="仿宋" w:hAnsi="仿宋" w:eastAsia="仿宋" w:cs="Times New Roman"/>
                <w:color w:val="000000"/>
              </w:rPr>
              <w:t>治疗</w:t>
            </w:r>
          </w:p>
          <w:p w:rsidRPr="003C684F" w:rsidR="009730C1" w:rsidRDefault="00A315B9" w14:paraId="55C4217D" w14:textId="77777777">
            <w:pPr>
              <w:spacing w:line="360" w:lineRule="auto"/>
              <w:jc w:val="left"/>
              <w:rPr>
                <w:rFonts w:ascii="等线" w:hAnsi="等线" w:cs="Times New Roman"/>
              </w:rPr>
            </w:pPr>
            <w:r w:rsidRPr="003C684F">
              <w:rPr>
                <w:rFonts w:ascii="仿宋" w:hAnsi="仿宋" w:eastAsia="仿宋" w:cs="Times New Roman"/>
                <w:color w:val="000000"/>
              </w:rPr>
              <w:lastRenderedPageBreak/>
              <w:t>重度或危及生命（4级）的肝炎</w:t>
            </w:r>
            <w:r w:rsidRPr="003C684F">
              <w:rPr>
                <w:rFonts w:hint="eastAsia" w:ascii="仿宋" w:hAnsi="仿宋" w:eastAsia="仿宋" w:cs="Times New Roman"/>
                <w:color w:val="000000"/>
              </w:rPr>
              <w:t>：</w:t>
            </w:r>
            <w:r w:rsidRPr="003C684F" w:rsidR="003B3589">
              <w:rPr>
                <w:rFonts w:hint="eastAsia" w:ascii="仿宋" w:hAnsi="仿宋" w:eastAsia="仿宋" w:cs="Times New Roman"/>
                <w:color w:val="000000"/>
              </w:rPr>
              <w:t>永不考虑重启免疫治疗</w:t>
            </w:r>
          </w:p>
        </w:tc>
      </w:tr>
      <w:tr w:rsidRPr="003C684F" w:rsidR="009730C1" w14:paraId="1165D9E8" w14:textId="77777777">
        <w:tc>
          <w:tcPr>
            <w:tcW w:w="1135" w:type="dxa"/>
          </w:tcPr>
          <w:p w:rsidRPr="003C684F" w:rsidR="009730C1" w:rsidRDefault="00A315B9" w14:paraId="6983E1D9" w14:textId="77777777">
            <w:pPr>
              <w:rPr>
                <w:rFonts w:ascii="仿宋" w:hAnsi="仿宋" w:eastAsia="仿宋" w:cs="Times New Roman"/>
              </w:rPr>
            </w:pPr>
            <w:r w:rsidRPr="003C684F">
              <w:rPr>
                <w:rFonts w:hint="eastAsia" w:ascii="仿宋" w:hAnsi="仿宋" w:eastAsia="仿宋" w:cs="Times New Roman"/>
              </w:rPr>
              <w:lastRenderedPageBreak/>
              <w:t>肺</w:t>
            </w:r>
          </w:p>
        </w:tc>
        <w:tc>
          <w:tcPr>
            <w:tcW w:w="7195" w:type="dxa"/>
          </w:tcPr>
          <w:p w:rsidRPr="003C684F" w:rsidR="009730C1" w:rsidRDefault="00A315B9" w14:paraId="037C3AB2"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进行性</w:t>
            </w:r>
            <w:r w:rsidRPr="003C684F">
              <w:rPr>
                <w:rFonts w:ascii="仿宋" w:hAnsi="仿宋" w:eastAsia="仿宋" w:cs="Times New Roman"/>
                <w:color w:val="000000"/>
              </w:rPr>
              <w:t>1级非感染性肺</w:t>
            </w:r>
            <w:r w:rsidRPr="003C684F">
              <w:rPr>
                <w:rFonts w:hint="eastAsia" w:ascii="仿宋" w:hAnsi="仿宋" w:eastAsia="仿宋" w:cs="Times New Roman"/>
                <w:color w:val="000000"/>
              </w:rPr>
              <w:t>炎：</w:t>
            </w:r>
            <w:r w:rsidRPr="003C684F">
              <w:rPr>
                <w:rFonts w:ascii="仿宋" w:hAnsi="仿宋" w:eastAsia="仿宋" w:cs="Times New Roman"/>
                <w:color w:val="000000"/>
              </w:rPr>
              <w:t>影像学有改善证据，考虑</w:t>
            </w:r>
            <w:r w:rsidRPr="003C684F">
              <w:rPr>
                <w:rFonts w:hint="eastAsia" w:ascii="仿宋" w:hAnsi="仿宋" w:eastAsia="仿宋" w:cs="Times New Roman"/>
                <w:color w:val="000000"/>
              </w:rPr>
              <w:t>重启免疫</w:t>
            </w:r>
            <w:r w:rsidRPr="003C684F">
              <w:rPr>
                <w:rFonts w:ascii="仿宋" w:hAnsi="仿宋" w:eastAsia="仿宋" w:cs="Times New Roman"/>
                <w:color w:val="000000"/>
              </w:rPr>
              <w:t>治疗</w:t>
            </w:r>
          </w:p>
          <w:p w:rsidRPr="003C684F" w:rsidR="009730C1" w:rsidRDefault="00A315B9" w14:paraId="4FE4719D"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2级</w:t>
            </w:r>
            <w:r w:rsidRPr="003C684F">
              <w:rPr>
                <w:rFonts w:hint="eastAsia" w:ascii="仿宋" w:hAnsi="仿宋" w:eastAsia="仿宋" w:cs="Times New Roman"/>
                <w:color w:val="000000"/>
              </w:rPr>
              <w:t>：</w:t>
            </w:r>
            <w:r w:rsidRPr="003C684F">
              <w:rPr>
                <w:rFonts w:ascii="仿宋" w:hAnsi="仿宋" w:eastAsia="仿宋" w:cs="Times New Roman"/>
                <w:color w:val="000000"/>
              </w:rPr>
              <w:t>肺炎缓解至≤1级且患者停用类固醇</w:t>
            </w:r>
            <w:r w:rsidRPr="003C684F">
              <w:rPr>
                <w:rFonts w:hint="eastAsia" w:ascii="仿宋" w:hAnsi="仿宋" w:eastAsia="仿宋" w:cs="Times New Roman"/>
                <w:color w:val="000000"/>
              </w:rPr>
              <w:t>或</w:t>
            </w:r>
            <w:r w:rsidRPr="003C684F">
              <w:rPr>
                <w:rFonts w:ascii="仿宋" w:hAnsi="仿宋" w:eastAsia="仿宋" w:cs="Times New Roman"/>
                <w:color w:val="000000"/>
              </w:rPr>
              <w:t>皮质类固醇剂量≤10mg/d泼尼松，则</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p>
          <w:p w:rsidRPr="003C684F" w:rsidR="009730C1" w:rsidRDefault="00A315B9" w14:paraId="09E781A9" w14:textId="77777777">
            <w:pPr>
              <w:spacing w:line="360" w:lineRule="auto"/>
              <w:jc w:val="left"/>
              <w:rPr>
                <w:rFonts w:ascii="等线" w:hAnsi="等线" w:cs="Times New Roman"/>
              </w:rPr>
            </w:pPr>
            <w:r w:rsidRPr="003C684F">
              <w:rPr>
                <w:rFonts w:hint="eastAsia" w:ascii="仿宋" w:hAnsi="仿宋" w:eastAsia="仿宋" w:cs="Times New Roman"/>
                <w:color w:val="000000"/>
              </w:rPr>
              <w:t>重度</w:t>
            </w:r>
            <w:r w:rsidRPr="003C684F">
              <w:rPr>
                <w:rFonts w:ascii="仿宋" w:hAnsi="仿宋" w:eastAsia="仿宋" w:cs="Times New Roman"/>
                <w:color w:val="000000"/>
              </w:rPr>
              <w:t>（3</w:t>
            </w:r>
            <w:r w:rsidRPr="003C684F">
              <w:rPr>
                <w:rFonts w:hint="eastAsia" w:ascii="仿宋" w:hAnsi="仿宋" w:eastAsia="仿宋" w:cs="Times New Roman"/>
                <w:color w:val="000000"/>
              </w:rPr>
              <w:t>～</w:t>
            </w:r>
            <w:r w:rsidRPr="003C684F">
              <w:rPr>
                <w:rFonts w:ascii="仿宋" w:hAnsi="仿宋" w:eastAsia="仿宋" w:cs="Times New Roman"/>
                <w:color w:val="000000"/>
              </w:rPr>
              <w:t>4级）肺炎</w:t>
            </w:r>
            <w:r w:rsidRPr="003C684F">
              <w:rPr>
                <w:rFonts w:hint="eastAsia" w:ascii="仿宋" w:hAnsi="仿宋" w:eastAsia="仿宋" w:cs="Times New Roman"/>
                <w:color w:val="000000"/>
              </w:rPr>
              <w:t>：</w:t>
            </w:r>
            <w:r w:rsidRPr="003C684F" w:rsidR="003B3589">
              <w:rPr>
                <w:rFonts w:hint="eastAsia" w:ascii="仿宋" w:hAnsi="仿宋" w:eastAsia="仿宋" w:cs="Times New Roman"/>
                <w:color w:val="000000"/>
              </w:rPr>
              <w:t>永不考虑重启免疫治疗</w:t>
            </w:r>
          </w:p>
        </w:tc>
      </w:tr>
      <w:tr w:rsidRPr="003C684F" w:rsidR="009730C1" w14:paraId="55583BFD" w14:textId="77777777">
        <w:tc>
          <w:tcPr>
            <w:tcW w:w="1135" w:type="dxa"/>
          </w:tcPr>
          <w:p w:rsidRPr="003C684F" w:rsidR="009730C1" w:rsidRDefault="00A315B9" w14:paraId="0B6564E3" w14:textId="77777777">
            <w:pPr>
              <w:rPr>
                <w:rFonts w:ascii="仿宋" w:hAnsi="仿宋" w:eastAsia="仿宋" w:cs="Times New Roman"/>
              </w:rPr>
            </w:pPr>
            <w:r w:rsidRPr="003C684F">
              <w:rPr>
                <w:rFonts w:hint="eastAsia" w:ascii="仿宋" w:hAnsi="仿宋" w:eastAsia="仿宋" w:cs="Times New Roman"/>
              </w:rPr>
              <w:t>肌肉、骨骼</w:t>
            </w:r>
          </w:p>
        </w:tc>
        <w:tc>
          <w:tcPr>
            <w:tcW w:w="7195" w:type="dxa"/>
          </w:tcPr>
          <w:p w:rsidRPr="003C684F" w:rsidR="009730C1" w:rsidRDefault="00A315B9" w14:paraId="4BDC1681" w14:textId="77777777">
            <w:pPr>
              <w:spacing w:line="360" w:lineRule="auto"/>
              <w:jc w:val="left"/>
              <w:rPr>
                <w:rFonts w:ascii="等线" w:hAnsi="等线" w:cs="Times New Roman"/>
              </w:rPr>
            </w:pPr>
            <w:r w:rsidRPr="003C684F">
              <w:rPr>
                <w:rFonts w:hint="eastAsia" w:ascii="仿宋" w:hAnsi="仿宋" w:eastAsia="仿宋" w:cs="Times New Roman"/>
                <w:color w:val="000000"/>
              </w:rPr>
              <w:t>炎性关节炎</w:t>
            </w:r>
            <w:r w:rsidRPr="003C684F">
              <w:rPr>
                <w:rFonts w:ascii="仿宋" w:hAnsi="仿宋" w:eastAsia="仿宋" w:cs="Times New Roman"/>
                <w:color w:val="000000"/>
              </w:rPr>
              <w:t>（中度至重度irAE暂停治疗）</w:t>
            </w:r>
            <w:r w:rsidRPr="003C684F">
              <w:rPr>
                <w:rFonts w:hint="eastAsia" w:ascii="仿宋" w:hAnsi="仿宋" w:eastAsia="仿宋" w:cs="Times New Roman"/>
                <w:color w:val="000000"/>
              </w:rPr>
              <w:t>：</w:t>
            </w:r>
            <w:r w:rsidRPr="003C684F">
              <w:rPr>
                <w:rFonts w:ascii="仿宋" w:hAnsi="仿宋" w:eastAsia="仿宋" w:cs="Times New Roman"/>
                <w:color w:val="000000"/>
              </w:rPr>
              <w:t>待病情稳定或得到充分治疗后</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免疫治疗。对于显著损害日常生活能力和生活质量的重度炎性关节炎，</w:t>
            </w:r>
            <w:r w:rsidRPr="003C684F" w:rsidR="00D333D0">
              <w:rPr>
                <w:rFonts w:hint="eastAsia" w:ascii="仿宋" w:hAnsi="仿宋" w:eastAsia="仿宋" w:cs="Times New Roman"/>
                <w:color w:val="000000"/>
              </w:rPr>
              <w:t>永不考虑重启免疫治疗</w:t>
            </w:r>
          </w:p>
        </w:tc>
      </w:tr>
      <w:tr w:rsidRPr="003C684F" w:rsidR="009730C1" w14:paraId="40D1E062" w14:textId="77777777">
        <w:tc>
          <w:tcPr>
            <w:tcW w:w="1135" w:type="dxa"/>
          </w:tcPr>
          <w:p w:rsidRPr="003C684F" w:rsidR="009730C1" w:rsidRDefault="00A315B9" w14:paraId="35022CAE" w14:textId="77777777">
            <w:pPr>
              <w:rPr>
                <w:rFonts w:ascii="仿宋" w:hAnsi="仿宋" w:eastAsia="仿宋" w:cs="Times New Roman"/>
              </w:rPr>
            </w:pPr>
            <w:r w:rsidRPr="003C684F">
              <w:rPr>
                <w:rFonts w:hint="eastAsia" w:ascii="仿宋" w:hAnsi="仿宋" w:eastAsia="仿宋" w:cs="Times New Roman"/>
              </w:rPr>
              <w:t>神经系统</w:t>
            </w:r>
          </w:p>
        </w:tc>
        <w:tc>
          <w:tcPr>
            <w:tcW w:w="7195" w:type="dxa"/>
          </w:tcPr>
          <w:p w:rsidRPr="003C684F" w:rsidR="009730C1" w:rsidRDefault="00A315B9" w14:paraId="2F78EBE6"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重症肌无力：</w:t>
            </w:r>
            <w:r w:rsidRPr="003C684F" w:rsidR="003B3589">
              <w:rPr>
                <w:rFonts w:hint="eastAsia" w:ascii="仿宋" w:hAnsi="仿宋" w:eastAsia="仿宋" w:cs="Times New Roman"/>
                <w:color w:val="000000"/>
              </w:rPr>
              <w:t>2级且经糖皮质激素治疗缓解后，可以重启治疗，而3～4级则永不考虑重启治疗</w:t>
            </w:r>
          </w:p>
          <w:p w:rsidRPr="003C684F" w:rsidR="009730C1" w:rsidRDefault="00DD0B90" w14:paraId="4CFEA47B"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格林-巴利综合征</w:t>
            </w:r>
            <w:r w:rsidRPr="003C684F" w:rsidR="00A315B9">
              <w:rPr>
                <w:rFonts w:hint="eastAsia" w:ascii="仿宋" w:hAnsi="仿宋" w:eastAsia="仿宋" w:cs="Times New Roman"/>
                <w:color w:val="000000"/>
              </w:rPr>
              <w:t>：</w:t>
            </w:r>
            <w:r w:rsidRPr="003C684F" w:rsidR="003B3589">
              <w:rPr>
                <w:rFonts w:hint="eastAsia" w:ascii="仿宋" w:hAnsi="仿宋" w:eastAsia="仿宋" w:cs="Times New Roman"/>
                <w:color w:val="000000"/>
              </w:rPr>
              <w:t>任何级别的</w:t>
            </w:r>
            <w:r w:rsidRPr="003C684F">
              <w:rPr>
                <w:rFonts w:hint="eastAsia" w:ascii="仿宋" w:hAnsi="仿宋" w:eastAsia="仿宋" w:cs="Times New Roman"/>
                <w:color w:val="000000"/>
              </w:rPr>
              <w:t>格林-巴利综合征</w:t>
            </w:r>
            <w:r w:rsidRPr="003C684F" w:rsidR="003B3589">
              <w:rPr>
                <w:rFonts w:hint="eastAsia" w:ascii="仿宋" w:hAnsi="仿宋" w:eastAsia="仿宋" w:cs="Times New Roman"/>
                <w:color w:val="000000"/>
              </w:rPr>
              <w:t>均永不考虑重启治疗</w:t>
            </w:r>
          </w:p>
          <w:p w:rsidRPr="003C684F" w:rsidR="009730C1" w:rsidRDefault="00A315B9" w14:paraId="5FF8D8ED"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周围神经病变：1～</w:t>
            </w:r>
            <w:r w:rsidRPr="003C684F">
              <w:rPr>
                <w:rFonts w:ascii="仿宋" w:hAnsi="仿宋" w:eastAsia="仿宋" w:cs="Times New Roman"/>
                <w:color w:val="000000"/>
              </w:rPr>
              <w:t>2</w:t>
            </w:r>
            <w:r w:rsidRPr="003C684F">
              <w:rPr>
                <w:rFonts w:hint="eastAsia" w:ascii="仿宋" w:hAnsi="仿宋" w:eastAsia="仿宋" w:cs="Times New Roman"/>
                <w:color w:val="000000"/>
              </w:rPr>
              <w:t>级ir</w:t>
            </w:r>
            <w:r w:rsidRPr="003C684F">
              <w:rPr>
                <w:rFonts w:ascii="仿宋" w:hAnsi="仿宋" w:eastAsia="仿宋" w:cs="Times New Roman"/>
                <w:color w:val="000000"/>
              </w:rPr>
              <w:t>AE</w:t>
            </w:r>
            <w:r w:rsidRPr="003C684F">
              <w:rPr>
                <w:rFonts w:hint="eastAsia" w:ascii="仿宋" w:hAnsi="仿宋" w:eastAsia="仿宋" w:cs="Times New Roman"/>
                <w:color w:val="000000"/>
              </w:rPr>
              <w:t>，暂停治疗</w:t>
            </w:r>
            <w:r w:rsidRPr="003C684F">
              <w:rPr>
                <w:rFonts w:ascii="仿宋" w:hAnsi="仿宋" w:eastAsia="仿宋" w:cs="Times New Roman"/>
                <w:color w:val="000000"/>
              </w:rPr>
              <w:t>，如果症状消退至≤1级或患者的孤立性疼痛感觉神经病变得到良好控制，考虚</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p>
          <w:p w:rsidRPr="003C684F" w:rsidR="009730C1" w:rsidRDefault="00A315B9" w14:paraId="68A6D88F"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无菌性脑膜炎</w:t>
            </w:r>
            <w:r w:rsidRPr="003C684F">
              <w:rPr>
                <w:rFonts w:hint="eastAsia" w:ascii="仿宋" w:hAnsi="仿宋" w:eastAsia="仿宋" w:cs="Times New Roman"/>
                <w:color w:val="000000"/>
              </w:rPr>
              <w:t>：</w:t>
            </w:r>
            <w:r w:rsidRPr="003C684F">
              <w:rPr>
                <w:rFonts w:ascii="仿宋" w:hAnsi="仿宋" w:eastAsia="仿宋" w:cs="Times New Roman"/>
                <w:color w:val="000000"/>
              </w:rPr>
              <w:t>轻度至中度</w:t>
            </w:r>
            <w:r w:rsidRPr="003C684F">
              <w:rPr>
                <w:rFonts w:hint="eastAsia" w:ascii="仿宋" w:hAnsi="仿宋" w:eastAsia="仿宋" w:cs="Times New Roman"/>
                <w:color w:val="000000"/>
              </w:rPr>
              <w:t>ir</w:t>
            </w:r>
            <w:r w:rsidRPr="003C684F">
              <w:rPr>
                <w:rFonts w:ascii="仿宋" w:hAnsi="仿宋" w:eastAsia="仿宋" w:cs="Times New Roman"/>
                <w:color w:val="000000"/>
              </w:rPr>
              <w:t>AE，如果症状缓解至0级，考虑</w:t>
            </w:r>
            <w:r w:rsidRPr="003C684F">
              <w:rPr>
                <w:rFonts w:hint="eastAsia" w:ascii="仿宋" w:hAnsi="仿宋" w:eastAsia="仿宋" w:cs="Times New Roman"/>
                <w:color w:val="000000"/>
              </w:rPr>
              <w:t>重启</w:t>
            </w:r>
            <w:r w:rsidRPr="003C684F">
              <w:rPr>
                <w:rFonts w:ascii="仿宋" w:hAnsi="仿宋" w:eastAsia="仿宋" w:cs="Times New Roman"/>
                <w:color w:val="000000"/>
              </w:rPr>
              <w:t>免疫治疗</w:t>
            </w:r>
          </w:p>
          <w:p w:rsidRPr="003C684F" w:rsidR="009730C1" w:rsidRDefault="00A315B9" w14:paraId="63CEC555"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脑炎</w:t>
            </w:r>
            <w:r w:rsidRPr="003C684F">
              <w:rPr>
                <w:rFonts w:hint="eastAsia" w:ascii="仿宋" w:hAnsi="仿宋" w:eastAsia="仿宋" w:cs="Times New Roman"/>
                <w:color w:val="000000"/>
              </w:rPr>
              <w:t>：</w:t>
            </w:r>
            <w:r w:rsidRPr="003C684F">
              <w:rPr>
                <w:rFonts w:ascii="仿宋" w:hAnsi="仿宋" w:eastAsia="仿宋" w:cs="Times New Roman"/>
                <w:color w:val="000000"/>
              </w:rPr>
              <w:t>在中度至重度脑炎（2</w:t>
            </w:r>
            <w:r w:rsidRPr="003C684F">
              <w:rPr>
                <w:rFonts w:hint="eastAsia" w:ascii="仿宋" w:hAnsi="仿宋" w:eastAsia="仿宋" w:cs="Times New Roman"/>
                <w:color w:val="000000"/>
              </w:rPr>
              <w:t>～</w:t>
            </w:r>
            <w:r w:rsidRPr="003C684F">
              <w:rPr>
                <w:rFonts w:ascii="仿宋" w:hAnsi="仿宋" w:eastAsia="仿宋" w:cs="Times New Roman"/>
                <w:color w:val="000000"/>
              </w:rPr>
              <w:t>4级）的情况下，</w:t>
            </w:r>
            <w:r w:rsidRPr="003C684F" w:rsidR="003B3589">
              <w:rPr>
                <w:rFonts w:hint="eastAsia" w:ascii="仿宋" w:hAnsi="仿宋" w:eastAsia="仿宋" w:cs="Times New Roman"/>
                <w:color w:val="000000"/>
              </w:rPr>
              <w:t>永不考虑重启免疫治疗</w:t>
            </w:r>
          </w:p>
          <w:p w:rsidRPr="003C684F" w:rsidR="009730C1" w:rsidRDefault="00A315B9" w14:paraId="0E75307D" w14:textId="77777777">
            <w:pPr>
              <w:spacing w:line="360" w:lineRule="auto"/>
              <w:jc w:val="left"/>
              <w:rPr>
                <w:rFonts w:ascii="等线" w:hAnsi="等线" w:cs="Times New Roman"/>
              </w:rPr>
            </w:pPr>
            <w:r w:rsidRPr="003C684F">
              <w:rPr>
                <w:rFonts w:ascii="仿宋" w:hAnsi="仿宋" w:eastAsia="仿宋" w:cs="Times New Roman"/>
                <w:color w:val="000000"/>
              </w:rPr>
              <w:t>横贯性脊髓炎</w:t>
            </w:r>
            <w:r w:rsidRPr="003C684F">
              <w:rPr>
                <w:rFonts w:hint="eastAsia" w:ascii="仿宋" w:hAnsi="仿宋" w:eastAsia="仿宋" w:cs="Times New Roman"/>
                <w:color w:val="000000"/>
              </w:rPr>
              <w:t>：</w:t>
            </w:r>
            <w:r w:rsidRPr="003C684F">
              <w:rPr>
                <w:rFonts w:ascii="仿宋" w:hAnsi="仿宋" w:eastAsia="仿宋" w:cs="Times New Roman"/>
                <w:color w:val="000000"/>
              </w:rPr>
              <w:t>任何级别横贯性</w:t>
            </w:r>
            <w:r w:rsidRPr="003C684F">
              <w:rPr>
                <w:rFonts w:hint="eastAsia" w:ascii="仿宋" w:hAnsi="仿宋" w:eastAsia="仿宋" w:cs="Times New Roman"/>
                <w:color w:val="000000"/>
              </w:rPr>
              <w:t>脊髓</w:t>
            </w:r>
            <w:r w:rsidRPr="003C684F">
              <w:rPr>
                <w:rFonts w:ascii="仿宋" w:hAnsi="仿宋" w:eastAsia="仿宋" w:cs="Times New Roman"/>
                <w:color w:val="000000"/>
              </w:rPr>
              <w:t>炎</w:t>
            </w:r>
            <w:r w:rsidRPr="003C684F" w:rsidR="003B3589">
              <w:rPr>
                <w:rFonts w:hint="eastAsia" w:ascii="仿宋" w:hAnsi="仿宋" w:eastAsia="仿宋" w:cs="Times New Roman"/>
                <w:color w:val="000000"/>
              </w:rPr>
              <w:t>永不考虑重启免疫治疗</w:t>
            </w:r>
          </w:p>
        </w:tc>
      </w:tr>
      <w:tr w:rsidRPr="003C684F" w:rsidR="009730C1" w14:paraId="16C96E68" w14:textId="77777777">
        <w:tc>
          <w:tcPr>
            <w:tcW w:w="1135" w:type="dxa"/>
          </w:tcPr>
          <w:p w:rsidRPr="003C684F" w:rsidR="009730C1" w:rsidRDefault="00A315B9" w14:paraId="4E99F98D" w14:textId="77777777">
            <w:pPr>
              <w:rPr>
                <w:rFonts w:ascii="仿宋" w:hAnsi="仿宋" w:eastAsia="仿宋" w:cs="Times New Roman"/>
              </w:rPr>
            </w:pPr>
            <w:r w:rsidRPr="003C684F">
              <w:rPr>
                <w:rFonts w:hint="eastAsia" w:ascii="仿宋" w:hAnsi="仿宋" w:eastAsia="仿宋" w:cs="Times New Roman"/>
              </w:rPr>
              <w:t>胰腺</w:t>
            </w:r>
          </w:p>
        </w:tc>
        <w:tc>
          <w:tcPr>
            <w:tcW w:w="7195" w:type="dxa"/>
          </w:tcPr>
          <w:p w:rsidRPr="003C684F" w:rsidR="009730C1" w:rsidRDefault="003B3589" w14:paraId="040769EC" w14:textId="77777777">
            <w:pPr>
              <w:spacing w:line="360" w:lineRule="auto"/>
              <w:jc w:val="left"/>
              <w:rPr>
                <w:rFonts w:ascii="仿宋" w:hAnsi="仿宋" w:eastAsia="仿宋" w:cs="Times New Roman"/>
                <w:color w:val="000000"/>
              </w:rPr>
            </w:pPr>
            <w:r w:rsidRPr="003C684F">
              <w:rPr>
                <w:rFonts w:hint="eastAsia" w:ascii="仿宋" w:hAnsi="仿宋" w:eastAsia="仿宋" w:cs="Times New Roman"/>
                <w:color w:val="000000"/>
              </w:rPr>
              <w:t>有症状的2级胰腺炎，如果已经没有胰腺炎的临床或影像学证据，且淀粉酶、脂肪酶恢复正常，可以考虑重启免疫治疗</w:t>
            </w:r>
          </w:p>
          <w:p w:rsidRPr="003C684F" w:rsidR="009730C1" w:rsidP="003B3589" w:rsidRDefault="003B3589" w14:paraId="2B773217" w14:textId="77777777">
            <w:pPr>
              <w:spacing w:line="360" w:lineRule="auto"/>
              <w:jc w:val="left"/>
              <w:rPr>
                <w:rFonts w:ascii="等线" w:hAnsi="等线" w:cs="Times New Roman"/>
              </w:rPr>
            </w:pPr>
            <w:r w:rsidRPr="003C684F">
              <w:rPr>
                <w:rFonts w:hint="eastAsia" w:ascii="仿宋" w:hAnsi="仿宋" w:eastAsia="仿宋" w:cs="Times New Roman"/>
                <w:color w:val="000000"/>
              </w:rPr>
              <w:t>3～4级胰腺炎永不考虑重启免疫治疗</w:t>
            </w:r>
          </w:p>
        </w:tc>
      </w:tr>
      <w:tr w:rsidRPr="003C684F" w:rsidR="009730C1" w14:paraId="27446D25" w14:textId="77777777">
        <w:tc>
          <w:tcPr>
            <w:tcW w:w="1135" w:type="dxa"/>
          </w:tcPr>
          <w:p w:rsidRPr="003C684F" w:rsidR="009730C1" w:rsidRDefault="00A315B9" w14:paraId="489D3B49" w14:textId="77777777">
            <w:pPr>
              <w:rPr>
                <w:rFonts w:ascii="仿宋" w:hAnsi="仿宋" w:eastAsia="仿宋" w:cs="Times New Roman"/>
              </w:rPr>
            </w:pPr>
            <w:r w:rsidRPr="003C684F">
              <w:rPr>
                <w:rFonts w:hint="eastAsia" w:ascii="仿宋" w:hAnsi="仿宋" w:eastAsia="仿宋" w:cs="Times New Roman"/>
              </w:rPr>
              <w:t>皮肤</w:t>
            </w:r>
          </w:p>
        </w:tc>
        <w:tc>
          <w:tcPr>
            <w:tcW w:w="7195" w:type="dxa"/>
          </w:tcPr>
          <w:p w:rsidRPr="003C684F" w:rsidR="009730C1" w:rsidRDefault="00A315B9" w14:paraId="52F83F80"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斑丘疹和</w:t>
            </w:r>
            <w:r w:rsidRPr="003C684F">
              <w:rPr>
                <w:rFonts w:hint="eastAsia" w:ascii="仿宋" w:hAnsi="仿宋" w:eastAsia="仿宋" w:cs="Times New Roman"/>
                <w:color w:val="000000"/>
              </w:rPr>
              <w:t>/或瘙痒：</w:t>
            </w:r>
            <w:r w:rsidRPr="003C684F">
              <w:rPr>
                <w:rFonts w:ascii="仿宋" w:hAnsi="仿宋" w:eastAsia="仿宋" w:cs="Times New Roman"/>
                <w:color w:val="000000"/>
              </w:rPr>
              <w:t>在症状</w:t>
            </w:r>
            <w:r w:rsidRPr="003C684F">
              <w:rPr>
                <w:rFonts w:hint="eastAsia" w:ascii="仿宋" w:hAnsi="仿宋" w:eastAsia="仿宋" w:cs="Times New Roman"/>
                <w:color w:val="000000"/>
              </w:rPr>
              <w:t>缓解</w:t>
            </w:r>
            <w:r w:rsidRPr="003C684F">
              <w:rPr>
                <w:rFonts w:ascii="仿宋" w:hAnsi="仿宋" w:eastAsia="仿宋" w:cs="Times New Roman"/>
                <w:color w:val="000000"/>
              </w:rPr>
              <w:t>至</w:t>
            </w:r>
            <w:r w:rsidRPr="003C684F">
              <w:rPr>
                <w:rFonts w:hint="eastAsia" w:ascii="仿宋" w:hAnsi="仿宋" w:eastAsia="仿宋" w:cs="Times New Roman"/>
                <w:color w:val="000000"/>
              </w:rPr>
              <w:t>≤</w:t>
            </w:r>
            <w:r w:rsidRPr="003C684F">
              <w:rPr>
                <w:rFonts w:ascii="仿宋" w:hAnsi="仿宋" w:eastAsia="仿宋" w:cs="Times New Roman"/>
                <w:color w:val="000000"/>
              </w:rPr>
              <w:t>1级（即，</w:t>
            </w:r>
            <w:r w:rsidRPr="003C684F">
              <w:rPr>
                <w:rFonts w:hint="eastAsia" w:ascii="仿宋" w:hAnsi="仿宋" w:eastAsia="仿宋" w:cs="Times New Roman"/>
                <w:color w:val="000000"/>
              </w:rPr>
              <w:t>皮肤状况良好且只需局部干预</w:t>
            </w:r>
            <w:r w:rsidRPr="003C684F">
              <w:rPr>
                <w:rFonts w:ascii="仿宋" w:hAnsi="仿宋" w:eastAsia="仿宋" w:cs="Times New Roman"/>
                <w:color w:val="000000"/>
              </w:rPr>
              <w:t>）</w:t>
            </w:r>
            <w:r w:rsidRPr="003C684F" w:rsidR="004D124B">
              <w:rPr>
                <w:rFonts w:hint="eastAsia" w:ascii="仿宋" w:hAnsi="仿宋" w:eastAsia="仿宋" w:cs="Times New Roman"/>
                <w:color w:val="000000"/>
              </w:rPr>
              <w:t>，可以考虑重启免疫治疗</w:t>
            </w:r>
          </w:p>
          <w:p w:rsidRPr="003C684F" w:rsidR="009730C1" w:rsidRDefault="00A315B9" w14:paraId="18A9057E" w14:textId="77777777">
            <w:pPr>
              <w:spacing w:line="360" w:lineRule="auto"/>
              <w:jc w:val="left"/>
              <w:rPr>
                <w:rFonts w:ascii="等线" w:hAnsi="等线" w:cs="Times New Roman"/>
              </w:rPr>
            </w:pPr>
            <w:r w:rsidRPr="003C684F">
              <w:rPr>
                <w:rFonts w:hint="eastAsia" w:ascii="仿宋" w:hAnsi="仿宋" w:eastAsia="仿宋" w:cs="Times New Roman"/>
                <w:color w:val="000000"/>
              </w:rPr>
              <w:t>重度（</w:t>
            </w:r>
            <w:r w:rsidRPr="003C684F">
              <w:rPr>
                <w:rFonts w:ascii="仿宋" w:hAnsi="仿宋" w:eastAsia="仿宋" w:cs="Times New Roman"/>
                <w:color w:val="000000"/>
              </w:rPr>
              <w:t>3</w:t>
            </w:r>
            <w:r w:rsidRPr="003C684F">
              <w:rPr>
                <w:rFonts w:hint="eastAsia" w:ascii="仿宋" w:hAnsi="仿宋" w:eastAsia="仿宋" w:cs="Times New Roman"/>
                <w:color w:val="000000"/>
              </w:rPr>
              <w:t>～</w:t>
            </w:r>
            <w:r w:rsidRPr="003C684F">
              <w:rPr>
                <w:rFonts w:ascii="仿宋" w:hAnsi="仿宋" w:eastAsia="仿宋" w:cs="Times New Roman"/>
                <w:color w:val="000000"/>
              </w:rPr>
              <w:t>4</w:t>
            </w:r>
            <w:r w:rsidRPr="003C684F">
              <w:rPr>
                <w:rFonts w:hint="eastAsia" w:ascii="仿宋" w:hAnsi="仿宋" w:eastAsia="仿宋" w:cs="Times New Roman"/>
                <w:color w:val="000000"/>
              </w:rPr>
              <w:t>级</w:t>
            </w:r>
            <w:r w:rsidRPr="003C684F">
              <w:rPr>
                <w:rFonts w:ascii="仿宋" w:hAnsi="仿宋" w:eastAsia="仿宋" w:cs="Times New Roman"/>
                <w:color w:val="000000"/>
              </w:rPr>
              <w:t>）</w:t>
            </w:r>
            <w:r w:rsidRPr="003C684F">
              <w:rPr>
                <w:rFonts w:hint="eastAsia" w:ascii="仿宋" w:hAnsi="仿宋" w:eastAsia="仿宋" w:cs="Times New Roman"/>
                <w:color w:val="000000"/>
              </w:rPr>
              <w:t>或危及生命的大疱性疾病（包括</w:t>
            </w:r>
            <w:r w:rsidRPr="003C684F">
              <w:rPr>
                <w:rFonts w:ascii="仿宋" w:hAnsi="仿宋" w:eastAsia="仿宋" w:cs="Times New Roman"/>
                <w:color w:val="000000"/>
              </w:rPr>
              <w:t>S</w:t>
            </w:r>
            <w:r w:rsidRPr="003C684F">
              <w:rPr>
                <w:rFonts w:hint="eastAsia" w:ascii="仿宋" w:hAnsi="仿宋" w:eastAsia="仿宋" w:cs="Times New Roman"/>
                <w:color w:val="000000"/>
              </w:rPr>
              <w:t>evens</w:t>
            </w:r>
            <w:r w:rsidRPr="003C684F">
              <w:rPr>
                <w:rFonts w:ascii="仿宋" w:hAnsi="仿宋" w:eastAsia="仿宋" w:cs="Times New Roman"/>
                <w:color w:val="000000"/>
              </w:rPr>
              <w:t>-</w:t>
            </w:r>
            <w:r w:rsidRPr="003C684F">
              <w:rPr>
                <w:rFonts w:hint="eastAsia" w:ascii="仿宋" w:hAnsi="仿宋" w:eastAsia="仿宋" w:cs="Times New Roman"/>
                <w:color w:val="000000"/>
              </w:rPr>
              <w:t>Johnson综合征和中毒性表皮坏死松懈病症）：</w:t>
            </w:r>
            <w:r w:rsidRPr="003C684F" w:rsidR="004D124B">
              <w:rPr>
                <w:rFonts w:hint="eastAsia" w:ascii="仿宋" w:hAnsi="仿宋" w:eastAsia="仿宋" w:cs="Times New Roman"/>
                <w:color w:val="000000"/>
              </w:rPr>
              <w:t>永不考虑重启免疫治疗</w:t>
            </w:r>
          </w:p>
        </w:tc>
      </w:tr>
    </w:tbl>
    <w:p w:rsidRPr="003C684F" w:rsidR="009730C1" w:rsidRDefault="00A315B9" w14:paraId="071BEB07" w14:textId="77777777">
      <w:pPr>
        <w:spacing w:line="360" w:lineRule="auto"/>
        <w:ind w:firstLine="360" w:firstLineChars="200"/>
        <w:rPr>
          <w:rFonts w:ascii="仿宋" w:hAnsi="仿宋" w:eastAsia="仿宋" w:cs="Times New Roman"/>
          <w:sz w:val="18"/>
          <w:szCs w:val="18"/>
        </w:rPr>
      </w:pPr>
      <w:r w:rsidRPr="003C684F">
        <w:rPr>
          <w:rFonts w:ascii="仿宋" w:hAnsi="仿宋" w:eastAsia="仿宋" w:cs="Times New Roman"/>
          <w:sz w:val="18"/>
          <w:szCs w:val="18"/>
        </w:rPr>
        <w:t>注</w:t>
      </w:r>
      <w:r w:rsidRPr="003C684F">
        <w:rPr>
          <w:rFonts w:hint="eastAsia" w:ascii="仿宋" w:hAnsi="仿宋" w:eastAsia="仿宋" w:cs="Times New Roman"/>
          <w:sz w:val="18"/>
          <w:szCs w:val="18"/>
        </w:rPr>
        <w:t>：</w:t>
      </w:r>
      <w:r w:rsidRPr="003C684F">
        <w:rPr>
          <w:rFonts w:ascii="仿宋" w:hAnsi="仿宋" w:eastAsia="仿宋" w:cs="Times New Roman"/>
          <w:sz w:val="18"/>
          <w:szCs w:val="18"/>
        </w:rPr>
        <w:t>本表内容来源</w:t>
      </w:r>
      <w:r w:rsidRPr="003C684F">
        <w:rPr>
          <w:rFonts w:hint="eastAsia" w:ascii="仿宋" w:hAnsi="仿宋" w:eastAsia="仿宋" w:cs="Times New Roman"/>
          <w:sz w:val="18"/>
          <w:szCs w:val="18"/>
        </w:rPr>
        <w:t>：</w:t>
      </w:r>
      <w:r w:rsidRPr="003C684F">
        <w:rPr>
          <w:rFonts w:ascii="仿宋" w:hAnsi="仿宋" w:eastAsia="仿宋" w:cs="Times New Roman"/>
          <w:sz w:val="18"/>
          <w:szCs w:val="18"/>
        </w:rPr>
        <w:t>NCCN</w:t>
      </w:r>
      <w:r w:rsidRPr="003C684F">
        <w:rPr>
          <w:rFonts w:hint="eastAsia" w:ascii="仿宋" w:hAnsi="仿宋" w:eastAsia="仿宋" w:cs="Times New Roman"/>
          <w:sz w:val="18"/>
          <w:szCs w:val="18"/>
        </w:rPr>
        <w:t>免疫检查点抑制剂相关毒性管理指南</w:t>
      </w:r>
      <w:r w:rsidRPr="003C684F">
        <w:rPr>
          <w:rFonts w:ascii="仿宋" w:hAnsi="仿宋" w:eastAsia="仿宋" w:cs="Times New Roman"/>
          <w:sz w:val="18"/>
          <w:szCs w:val="18"/>
        </w:rPr>
        <w:t>V 1.2022</w:t>
      </w:r>
    </w:p>
    <w:p w:rsidRPr="003C684F" w:rsidR="009730C1" w:rsidRDefault="00A315B9" w14:paraId="55142310" w14:textId="77777777">
      <w:pPr>
        <w:spacing w:line="360" w:lineRule="auto"/>
        <w:ind w:firstLine="422" w:firstLineChars="200"/>
        <w:rPr>
          <w:rFonts w:ascii="仿宋" w:hAnsi="仿宋" w:eastAsia="仿宋" w:cs="Times New Roman"/>
          <w:b/>
          <w:szCs w:val="22"/>
        </w:rPr>
      </w:pPr>
      <w:r w:rsidRPr="003C684F">
        <w:rPr>
          <w:rFonts w:hint="eastAsia" w:ascii="仿宋" w:hAnsi="仿宋" w:eastAsia="仿宋" w:cs="Times New Roman"/>
          <w:b/>
          <w:szCs w:val="22"/>
        </w:rPr>
        <w:t>一般原则：</w:t>
      </w:r>
    </w:p>
    <w:p w:rsidRPr="003C684F" w:rsidR="009730C1" w:rsidRDefault="00A315B9" w14:paraId="00920D82" w14:textId="7BF58F26">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1.在发生重大irA</w:t>
      </w:r>
      <w:r w:rsidRPr="003C684F" w:rsidR="00C360AB">
        <w:rPr>
          <w:rFonts w:hint="eastAsia" w:ascii="仿宋" w:hAnsi="仿宋" w:eastAsia="仿宋" w:cs="Times New Roman"/>
          <w:szCs w:val="22"/>
        </w:rPr>
        <w:t>E</w:t>
      </w:r>
      <w:r w:rsidRPr="003C684F">
        <w:rPr>
          <w:rFonts w:hint="eastAsia" w:ascii="仿宋" w:hAnsi="仿宋" w:eastAsia="仿宋" w:cs="Times New Roman"/>
          <w:szCs w:val="22"/>
        </w:rPr>
        <w:t>后考虑重启免疫治疗时应谨慎。重启免疫治疗应按以下情况密切随访，以监测复发症状。</w:t>
      </w:r>
    </w:p>
    <w:p w:rsidRPr="003C684F" w:rsidR="009730C1" w:rsidRDefault="00A315B9" w14:paraId="7E1CEEE4" w14:textId="77777777">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1.1如重启免疫治疗后毒性复发，则永久终止免疫治疗。</w:t>
      </w:r>
    </w:p>
    <w:p w:rsidRPr="003C684F" w:rsidR="009730C1" w:rsidRDefault="00A315B9" w14:paraId="3705A9A6" w14:textId="77777777">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1.2重启免疫治疗前评估患者的肿瘤状态，如果ICI治疗达到客观缓解（完全或部分缓</w:t>
      </w:r>
      <w:r w:rsidRPr="003C684F">
        <w:rPr>
          <w:rFonts w:hint="eastAsia" w:ascii="仿宋" w:hAnsi="仿宋" w:eastAsia="仿宋" w:cs="Times New Roman"/>
          <w:szCs w:val="22"/>
        </w:rPr>
        <w:lastRenderedPageBreak/>
        <w:t>解），由于毒性复发风险，不建议重启免疫治疗，应与患者讨论重启免疫治疗的风险/获益。</w:t>
      </w:r>
    </w:p>
    <w:p w:rsidRPr="003C684F" w:rsidR="009730C1" w:rsidRDefault="00A315B9" w14:paraId="6F4A1E3E" w14:textId="77777777">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2.一种免疫治疗引起重度irAE的情况下，通常需要永久停用这种免疫治疗，而在中度irAE情况下，则可能需要永久停用这类免疫疗法。例如，患者在接受含伊匹木单抗的治疗方案后出现3级或4级毒性，在早期毒性消退后，后期可考虑采用PD-1</w:t>
      </w:r>
      <w:r w:rsidRPr="003C684F" w:rsidR="004D124B">
        <w:rPr>
          <w:rFonts w:hint="eastAsia" w:ascii="仿宋" w:hAnsi="仿宋" w:eastAsia="仿宋" w:cs="Times New Roman"/>
          <w:szCs w:val="22"/>
        </w:rPr>
        <w:t>抑制剂</w:t>
      </w:r>
      <w:r w:rsidRPr="003C684F">
        <w:rPr>
          <w:rFonts w:hint="eastAsia" w:ascii="仿宋" w:hAnsi="仿宋" w:eastAsia="仿宋" w:cs="Times New Roman"/>
          <w:szCs w:val="22"/>
        </w:rPr>
        <w:t>或PD-L1</w:t>
      </w:r>
      <w:r w:rsidRPr="003C684F" w:rsidR="004D124B">
        <w:rPr>
          <w:rFonts w:hint="eastAsia" w:ascii="仿宋" w:hAnsi="仿宋" w:eastAsia="仿宋" w:cs="Times New Roman"/>
          <w:szCs w:val="22"/>
        </w:rPr>
        <w:t>抑制剂</w:t>
      </w:r>
      <w:r w:rsidRPr="003C684F">
        <w:rPr>
          <w:rFonts w:hint="eastAsia" w:ascii="仿宋" w:hAnsi="仿宋" w:eastAsia="仿宋" w:cs="Times New Roman"/>
          <w:szCs w:val="22"/>
        </w:rPr>
        <w:t>单药治疗。</w:t>
      </w:r>
    </w:p>
    <w:p w:rsidRPr="003C684F" w:rsidR="009730C1" w:rsidRDefault="00A315B9" w14:paraId="097721AB" w14:textId="77777777">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3.除一些例外情况，2级irAE消退至≤1级后可考虑重启免疫治疗。</w:t>
      </w:r>
    </w:p>
    <w:p w:rsidRPr="003C684F" w:rsidR="009730C1" w:rsidRDefault="00A315B9" w14:paraId="3A535B63" w14:textId="77777777">
      <w:pPr>
        <w:spacing w:line="360" w:lineRule="auto"/>
        <w:ind w:firstLine="420" w:firstLineChars="200"/>
        <w:rPr>
          <w:rFonts w:ascii="仿宋" w:hAnsi="仿宋" w:eastAsia="仿宋" w:cs="Times New Roman"/>
          <w:szCs w:val="22"/>
        </w:rPr>
      </w:pPr>
      <w:r w:rsidRPr="003C684F">
        <w:rPr>
          <w:rFonts w:hint="eastAsia" w:ascii="仿宋" w:hAnsi="仿宋" w:eastAsia="仿宋" w:cs="Times New Roman"/>
          <w:szCs w:val="22"/>
        </w:rPr>
        <w:t>4.因irAE暂停免疫治疗后，在重启免疫治疗前，建议咨询相应器官专家会诊。</w:t>
      </w:r>
    </w:p>
    <w:p w:rsidRPr="003C684F" w:rsidR="009730C1" w:rsidRDefault="009730C1" w14:paraId="2AE5BCA2" w14:textId="77777777">
      <w:pPr>
        <w:rPr>
          <w:rFonts w:ascii="仿宋" w:hAnsi="仿宋" w:eastAsia="仿宋" w:cs="Times New Roman"/>
          <w:szCs w:val="22"/>
        </w:rPr>
      </w:pPr>
    </w:p>
    <w:p w:rsidRPr="003C684F" w:rsidR="009730C1" w:rsidRDefault="00A315B9" w14:paraId="4A825A42" w14:textId="77777777">
      <w:pPr>
        <w:spacing w:line="360" w:lineRule="auto"/>
        <w:ind w:firstLine="422" w:firstLineChars="200"/>
        <w:jc w:val="center"/>
        <w:rPr>
          <w:rFonts w:ascii="仿宋" w:hAnsi="仿宋" w:eastAsia="仿宋" w:cs="Times New Roman"/>
          <w:b/>
          <w:color w:val="000000"/>
        </w:rPr>
      </w:pPr>
      <w:r w:rsidRPr="003C684F">
        <w:rPr>
          <w:rFonts w:hint="eastAsia" w:ascii="仿宋" w:hAnsi="仿宋" w:eastAsia="仿宋" w:cs="Times New Roman"/>
          <w:b/>
          <w:color w:val="000000"/>
        </w:rPr>
        <w:t>附表</w:t>
      </w:r>
      <w:r w:rsidRPr="003C684F">
        <w:rPr>
          <w:rFonts w:ascii="仿宋" w:hAnsi="仿宋" w:eastAsia="仿宋" w:cs="Times New Roman"/>
          <w:b/>
          <w:color w:val="000000"/>
        </w:rPr>
        <w:t>3</w:t>
      </w:r>
      <w:r w:rsidRPr="003C684F">
        <w:rPr>
          <w:rFonts w:hint="eastAsia" w:ascii="仿宋" w:hAnsi="仿宋" w:eastAsia="仿宋" w:cs="Times New Roman"/>
          <w:b/>
          <w:color w:val="000000"/>
        </w:rPr>
        <w:t xml:space="preserve">　</w:t>
      </w:r>
      <w:r w:rsidRPr="003C684F">
        <w:rPr>
          <w:rFonts w:ascii="仿宋" w:hAnsi="仿宋" w:eastAsia="仿宋" w:cs="Times New Roman"/>
          <w:b/>
          <w:color w:val="000000"/>
        </w:rPr>
        <w:t>反应性毛细血管增生症分级标准和治疗建议</w:t>
      </w:r>
      <w:r w:rsidRPr="003C684F" w:rsidR="00F25617">
        <w:rPr>
          <w:rFonts w:hint="eastAsia" w:ascii="仿宋" w:hAnsi="仿宋" w:eastAsia="仿宋" w:cs="Times New Roman"/>
          <w:sz w:val="18"/>
          <w:szCs w:val="18"/>
          <w:vertAlign w:val="superscript"/>
        </w:rPr>
        <w:t>*</w:t>
      </w:r>
    </w:p>
    <w:tbl>
      <w:tblPr>
        <w:tblW w:w="85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59"/>
        <w:gridCol w:w="2693"/>
        <w:gridCol w:w="4870"/>
      </w:tblGrid>
      <w:tr w:rsidRPr="003C684F" w:rsidR="009730C1" w14:paraId="169B4D6F"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05CD73CA" w14:textId="77777777">
            <w:pPr>
              <w:spacing w:line="360" w:lineRule="auto"/>
              <w:rPr>
                <w:rFonts w:ascii="仿宋" w:hAnsi="仿宋" w:eastAsia="仿宋" w:cs="Times New Roman"/>
                <w:b/>
                <w:color w:val="000000"/>
              </w:rPr>
            </w:pPr>
            <w:r w:rsidRPr="003C684F">
              <w:rPr>
                <w:rFonts w:ascii="仿宋" w:hAnsi="仿宋" w:eastAsia="仿宋" w:cs="Times New Roman"/>
                <w:b/>
                <w:color w:val="000000"/>
              </w:rPr>
              <w:t>分级</w:t>
            </w:r>
          </w:p>
        </w:tc>
        <w:tc>
          <w:tcPr>
            <w:tcW w:w="2693"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35DFCFBF" w14:textId="77777777">
            <w:pPr>
              <w:spacing w:line="360" w:lineRule="auto"/>
              <w:rPr>
                <w:rFonts w:ascii="仿宋" w:hAnsi="仿宋" w:eastAsia="仿宋" w:cs="Times New Roman"/>
                <w:b/>
                <w:color w:val="000000"/>
              </w:rPr>
            </w:pPr>
            <w:r w:rsidRPr="003C684F">
              <w:rPr>
                <w:rFonts w:ascii="仿宋" w:hAnsi="仿宋" w:eastAsia="仿宋" w:cs="Times New Roman"/>
                <w:b/>
                <w:color w:val="000000"/>
              </w:rPr>
              <w:t>临床表现</w:t>
            </w:r>
          </w:p>
        </w:tc>
        <w:tc>
          <w:tcPr>
            <w:tcW w:w="4870"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6631912D" w14:textId="77777777">
            <w:pPr>
              <w:spacing w:line="360" w:lineRule="auto"/>
              <w:rPr>
                <w:rFonts w:ascii="仿宋" w:hAnsi="仿宋" w:eastAsia="仿宋" w:cs="Times New Roman"/>
                <w:b/>
                <w:color w:val="000000"/>
              </w:rPr>
            </w:pPr>
            <w:r w:rsidRPr="003C684F">
              <w:rPr>
                <w:rFonts w:ascii="仿宋" w:hAnsi="仿宋" w:eastAsia="仿宋" w:cs="Times New Roman"/>
                <w:b/>
                <w:color w:val="000000"/>
              </w:rPr>
              <w:t>治疗建议</w:t>
            </w:r>
          </w:p>
        </w:tc>
      </w:tr>
      <w:tr w:rsidRPr="003C684F" w:rsidR="009730C1" w14:paraId="250AA57A"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5EF645E2"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1级</w:t>
            </w:r>
          </w:p>
        </w:tc>
        <w:tc>
          <w:tcPr>
            <w:tcW w:w="2693"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28E3CF89"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单个最大直径≤10mm，伴或不伴破溃出血</w:t>
            </w:r>
          </w:p>
        </w:tc>
        <w:tc>
          <w:tcPr>
            <w:tcW w:w="4870"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469D8BD8"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继续用药，易摩擦部位可用纱布保护，避免出血。破溃出血者可采用局部压迫止血治疗</w:t>
            </w:r>
          </w:p>
        </w:tc>
      </w:tr>
      <w:tr w:rsidRPr="003C684F" w:rsidR="009730C1" w14:paraId="7DAC855F"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247B0227"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2级</w:t>
            </w:r>
          </w:p>
        </w:tc>
        <w:tc>
          <w:tcPr>
            <w:tcW w:w="2693" w:type="dxa"/>
            <w:tcBorders>
              <w:top w:val="single" w:color="auto" w:sz="4" w:space="0"/>
              <w:left w:val="single" w:color="auto" w:sz="4" w:space="0"/>
              <w:bottom w:val="single" w:color="auto" w:sz="4" w:space="0"/>
              <w:right w:val="single" w:color="auto" w:sz="4" w:space="0"/>
            </w:tcBorders>
          </w:tcPr>
          <w:p w:rsidRPr="003C684F" w:rsidR="009730C1" w:rsidRDefault="00A315B9" w14:paraId="1E0E5AED" w14:textId="77777777">
            <w:pPr>
              <w:spacing w:line="360" w:lineRule="auto"/>
              <w:rPr>
                <w:rFonts w:ascii="仿宋" w:hAnsi="仿宋" w:eastAsia="仿宋" w:cs="Times New Roman"/>
                <w:color w:val="000000"/>
              </w:rPr>
            </w:pPr>
            <w:r w:rsidRPr="003C684F">
              <w:rPr>
                <w:rFonts w:ascii="仿宋" w:hAnsi="仿宋" w:eastAsia="仿宋" w:cs="Times New Roman"/>
                <w:color w:val="000000"/>
              </w:rPr>
              <w:t>单个最大直径＞10mm，伴或不伴破溃出血</w:t>
            </w:r>
          </w:p>
        </w:tc>
        <w:tc>
          <w:tcPr>
            <w:tcW w:w="4870"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27C2F7E3"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继续用药，易摩擦部位可用纱布保护，避免出血。破溃出血者可局部压迫止血，或采取局部治疗措施，如激光或手术切除等。避免破溃处感染</w:t>
            </w:r>
          </w:p>
        </w:tc>
      </w:tr>
      <w:tr w:rsidRPr="003C684F" w:rsidR="009730C1" w14:paraId="698C1139"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5E857968"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3级</w:t>
            </w:r>
          </w:p>
        </w:tc>
        <w:tc>
          <w:tcPr>
            <w:tcW w:w="2693" w:type="dxa"/>
            <w:tcBorders>
              <w:top w:val="single" w:color="auto" w:sz="4" w:space="0"/>
              <w:left w:val="single" w:color="auto" w:sz="4" w:space="0"/>
              <w:bottom w:val="single" w:color="auto" w:sz="4" w:space="0"/>
              <w:right w:val="single" w:color="auto" w:sz="4" w:space="0"/>
            </w:tcBorders>
          </w:tcPr>
          <w:p w:rsidRPr="003C684F" w:rsidR="009730C1" w:rsidRDefault="00A315B9" w14:paraId="418F7A33" w14:textId="77777777">
            <w:pPr>
              <w:spacing w:line="360" w:lineRule="auto"/>
              <w:rPr>
                <w:rFonts w:ascii="仿宋" w:hAnsi="仿宋" w:eastAsia="仿宋" w:cs="Times New Roman"/>
                <w:color w:val="000000"/>
              </w:rPr>
            </w:pPr>
            <w:r w:rsidRPr="003C684F">
              <w:rPr>
                <w:rFonts w:ascii="仿宋" w:hAnsi="仿宋" w:eastAsia="仿宋" w:cs="Times New Roman"/>
                <w:color w:val="000000"/>
              </w:rPr>
              <w:t>呈泛发性，可以并发皮肤感染，可能需要住院治疗</w:t>
            </w:r>
          </w:p>
        </w:tc>
        <w:tc>
          <w:tcPr>
            <w:tcW w:w="4870"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384FD430"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暂停用药，待恢复至≤1级后恢复给药，易摩擦部位可用纱布保护，避免出血。破溃出血者可局部压迫止血，或采取局部治疗措施如激光或手术切除等，并发感染者给予抗感染治疗</w:t>
            </w:r>
          </w:p>
        </w:tc>
      </w:tr>
      <w:tr w:rsidRPr="003C684F" w:rsidR="009730C1" w14:paraId="06883843"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3D7DA51A"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4级</w:t>
            </w:r>
          </w:p>
        </w:tc>
        <w:tc>
          <w:tcPr>
            <w:tcW w:w="2693"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1833B7C8"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多发和泛发，威胁生命</w:t>
            </w:r>
          </w:p>
        </w:tc>
        <w:tc>
          <w:tcPr>
            <w:tcW w:w="4870" w:type="dxa"/>
            <w:tcBorders>
              <w:top w:val="single" w:color="auto" w:sz="4" w:space="0"/>
              <w:left w:val="single" w:color="auto" w:sz="4" w:space="0"/>
              <w:bottom w:val="single" w:color="auto" w:sz="4" w:space="0"/>
              <w:right w:val="single" w:color="auto" w:sz="4" w:space="0"/>
            </w:tcBorders>
            <w:vAlign w:val="center"/>
          </w:tcPr>
          <w:p w:rsidRPr="003C684F" w:rsidR="009730C1" w:rsidRDefault="00373DC1" w14:paraId="131E2543" w14:textId="7516C4F7">
            <w:pPr>
              <w:spacing w:line="360" w:lineRule="auto"/>
              <w:jc w:val="left"/>
              <w:rPr>
                <w:rFonts w:ascii="仿宋" w:hAnsi="仿宋" w:eastAsia="仿宋" w:cs="Times New Roman"/>
                <w:color w:val="000000"/>
              </w:rPr>
            </w:pPr>
            <w:r w:rsidRPr="003C684F">
              <w:rPr>
                <w:rFonts w:ascii="仿宋" w:hAnsi="仿宋" w:eastAsia="仿宋" w:cs="Times New Roman"/>
                <w:color w:val="000000"/>
              </w:rPr>
              <w:t>永久停用</w:t>
            </w:r>
          </w:p>
        </w:tc>
      </w:tr>
      <w:tr w:rsidRPr="003C684F" w:rsidR="009730C1" w14:paraId="5E229ED2" w14:textId="77777777">
        <w:tc>
          <w:tcPr>
            <w:tcW w:w="959"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32E3094E"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5级</w:t>
            </w:r>
          </w:p>
        </w:tc>
        <w:tc>
          <w:tcPr>
            <w:tcW w:w="2693" w:type="dxa"/>
            <w:tcBorders>
              <w:top w:val="single" w:color="auto" w:sz="4" w:space="0"/>
              <w:left w:val="single" w:color="auto" w:sz="4" w:space="0"/>
              <w:bottom w:val="single" w:color="auto" w:sz="4" w:space="0"/>
              <w:right w:val="single" w:color="auto" w:sz="4" w:space="0"/>
            </w:tcBorders>
            <w:vAlign w:val="center"/>
          </w:tcPr>
          <w:p w:rsidRPr="003C684F" w:rsidR="009730C1" w:rsidRDefault="00A315B9" w14:paraId="4AE8BA32" w14:textId="77777777">
            <w:pPr>
              <w:spacing w:line="360" w:lineRule="auto"/>
              <w:jc w:val="left"/>
              <w:rPr>
                <w:rFonts w:ascii="仿宋" w:hAnsi="仿宋" w:eastAsia="仿宋" w:cs="Times New Roman"/>
                <w:color w:val="000000"/>
              </w:rPr>
            </w:pPr>
            <w:r w:rsidRPr="003C684F">
              <w:rPr>
                <w:rFonts w:ascii="仿宋" w:hAnsi="仿宋" w:eastAsia="仿宋" w:cs="Times New Roman"/>
                <w:color w:val="000000"/>
              </w:rPr>
              <w:t>死亡</w:t>
            </w:r>
          </w:p>
        </w:tc>
        <w:tc>
          <w:tcPr>
            <w:tcW w:w="4870" w:type="dxa"/>
            <w:vAlign w:val="center"/>
          </w:tcPr>
          <w:p w:rsidRPr="003C684F" w:rsidR="009730C1" w:rsidRDefault="009730C1" w14:paraId="5D3BE73B" w14:textId="77777777">
            <w:pPr>
              <w:spacing w:line="360" w:lineRule="auto"/>
              <w:jc w:val="left"/>
              <w:rPr>
                <w:rFonts w:ascii="仿宋" w:hAnsi="仿宋" w:eastAsia="仿宋" w:cs="Times New Roman"/>
                <w:color w:val="000000"/>
              </w:rPr>
            </w:pPr>
          </w:p>
        </w:tc>
      </w:tr>
    </w:tbl>
    <w:p w:rsidRPr="00F25617" w:rsidR="009730C1" w:rsidRDefault="00F25617" w14:paraId="7133B6B4" w14:textId="77777777">
      <w:pPr>
        <w:spacing w:line="360" w:lineRule="auto"/>
        <w:rPr>
          <w:rFonts w:ascii="仿宋" w:hAnsi="仿宋" w:eastAsia="仿宋" w:cs="Times New Roman"/>
          <w:sz w:val="18"/>
          <w:szCs w:val="18"/>
        </w:rPr>
      </w:pPr>
      <w:r w:rsidRPr="003C684F">
        <w:rPr>
          <w:rFonts w:hint="eastAsia" w:ascii="仿宋" w:hAnsi="仿宋" w:eastAsia="仿宋" w:cs="Times New Roman"/>
          <w:sz w:val="18"/>
          <w:szCs w:val="18"/>
          <w:vertAlign w:val="superscript"/>
        </w:rPr>
        <w:t>*</w:t>
      </w:r>
      <w:r w:rsidRPr="003C684F">
        <w:rPr>
          <w:rFonts w:hint="eastAsia" w:ascii="仿宋" w:hAnsi="仿宋" w:eastAsia="仿宋" w:cs="Times New Roman"/>
          <w:sz w:val="18"/>
          <w:szCs w:val="18"/>
        </w:rPr>
        <w:t>分级依据《CSCO免疫检查点抑制剂相关的毒性管理指南2019》</w:t>
      </w:r>
    </w:p>
    <w:p w:rsidR="009730C1" w:rsidRDefault="009730C1" w14:paraId="67F4FE1D" w14:textId="77777777"/>
    <w:sectPr w:rsidR="009730C1" w:rsidSect="000C7EAE">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B95F0" w14:textId="77777777" w:rsidR="00FA1059" w:rsidRDefault="00FA1059">
      <w:r>
        <w:separator/>
      </w:r>
    </w:p>
  </w:endnote>
  <w:endnote w:type="continuationSeparator" w:id="0">
    <w:p w14:paraId="200F08AA" w14:textId="77777777" w:rsidR="00FA1059" w:rsidRDefault="00FA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haker 2 Lancet">
    <w:altName w:val="仿宋"/>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Yu Gothic"/>
    <w:charset w:val="80"/>
    <w:family w:val="auto"/>
    <w:pitch w:val="default"/>
    <w:sig w:usb0="00000000" w:usb1="00000000" w:usb2="00000010" w:usb3="00000000" w:csb0="00020000" w:csb1="00000000"/>
  </w:font>
  <w:font w:name="Yu Gothic">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8448"/>
    </w:sdtPr>
    <w:sdtContent>
      <w:p w14:paraId="6378D691" w14:textId="77777777" w:rsidR="00C46BD8" w:rsidRDefault="00C46BD8">
        <w:pPr>
          <w:pStyle w:val="a8"/>
          <w:jc w:val="center"/>
        </w:pPr>
        <w:r>
          <w:fldChar w:fldCharType="begin"/>
        </w:r>
        <w:r>
          <w:instrText>PAGE   \* MERGEFORMAT</w:instrText>
        </w:r>
        <w:r>
          <w:fldChar w:fldCharType="separate"/>
        </w:r>
        <w:r w:rsidR="00CA34D1" w:rsidRPr="00CA34D1">
          <w:rPr>
            <w:noProof/>
            <w:lang w:val="zh-CN"/>
          </w:rPr>
          <w:t>5</w:t>
        </w:r>
        <w:r>
          <w:rPr>
            <w:noProof/>
            <w:lang w:val="zh-CN"/>
          </w:rPr>
          <w:fldChar w:fldCharType="end"/>
        </w:r>
      </w:p>
    </w:sdtContent>
  </w:sdt>
  <w:p w14:paraId="2DCC5D9B" w14:textId="77777777" w:rsidR="00C46BD8" w:rsidRDefault="00C46B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E2FFD" w14:textId="77777777" w:rsidR="00FA1059" w:rsidRDefault="00FA1059">
      <w:r>
        <w:separator/>
      </w:r>
    </w:p>
  </w:footnote>
  <w:footnote w:type="continuationSeparator" w:id="0">
    <w:p w14:paraId="70AB0FFD" w14:textId="77777777" w:rsidR="00FA1059" w:rsidRDefault="00FA105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QIN">
    <w15:presenceInfo w15:providerId="Windows Live" w15:userId="3d23dd033a9c2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MjE1M2YzOTExMTI0YWMxZmI3OGU2ODk4OThmZTkifQ=="/>
  </w:docVars>
  <w:rsids>
    <w:rsidRoot w:val="00CC23C6"/>
    <w:rsid w:val="000015C8"/>
    <w:rsid w:val="00002220"/>
    <w:rsid w:val="00002662"/>
    <w:rsid w:val="0000322B"/>
    <w:rsid w:val="00004CFA"/>
    <w:rsid w:val="0000720B"/>
    <w:rsid w:val="00010164"/>
    <w:rsid w:val="000102F1"/>
    <w:rsid w:val="00010C09"/>
    <w:rsid w:val="00010C96"/>
    <w:rsid w:val="00012FFF"/>
    <w:rsid w:val="00013F83"/>
    <w:rsid w:val="000143C3"/>
    <w:rsid w:val="000155CE"/>
    <w:rsid w:val="000159E8"/>
    <w:rsid w:val="000166BA"/>
    <w:rsid w:val="00017EC8"/>
    <w:rsid w:val="0002053F"/>
    <w:rsid w:val="00020E32"/>
    <w:rsid w:val="00021022"/>
    <w:rsid w:val="000212D5"/>
    <w:rsid w:val="0002272E"/>
    <w:rsid w:val="00022870"/>
    <w:rsid w:val="0002333E"/>
    <w:rsid w:val="00023B79"/>
    <w:rsid w:val="000252A3"/>
    <w:rsid w:val="00030CC0"/>
    <w:rsid w:val="00031088"/>
    <w:rsid w:val="000316E6"/>
    <w:rsid w:val="00033474"/>
    <w:rsid w:val="00033565"/>
    <w:rsid w:val="0004041D"/>
    <w:rsid w:val="0004135C"/>
    <w:rsid w:val="0004174B"/>
    <w:rsid w:val="00042068"/>
    <w:rsid w:val="00042105"/>
    <w:rsid w:val="0004286F"/>
    <w:rsid w:val="00042AC9"/>
    <w:rsid w:val="00043196"/>
    <w:rsid w:val="000434AB"/>
    <w:rsid w:val="00043D7E"/>
    <w:rsid w:val="00044309"/>
    <w:rsid w:val="00044CFD"/>
    <w:rsid w:val="00045998"/>
    <w:rsid w:val="00045CC0"/>
    <w:rsid w:val="0004657D"/>
    <w:rsid w:val="00046D31"/>
    <w:rsid w:val="0005195D"/>
    <w:rsid w:val="00051CA5"/>
    <w:rsid w:val="000523E4"/>
    <w:rsid w:val="00052915"/>
    <w:rsid w:val="00052EE2"/>
    <w:rsid w:val="00054400"/>
    <w:rsid w:val="00056F8A"/>
    <w:rsid w:val="00060148"/>
    <w:rsid w:val="00060F8E"/>
    <w:rsid w:val="00063488"/>
    <w:rsid w:val="00065F67"/>
    <w:rsid w:val="00066D71"/>
    <w:rsid w:val="000679FC"/>
    <w:rsid w:val="00070D09"/>
    <w:rsid w:val="00071357"/>
    <w:rsid w:val="000729C9"/>
    <w:rsid w:val="00072A25"/>
    <w:rsid w:val="00072D91"/>
    <w:rsid w:val="000738EE"/>
    <w:rsid w:val="000756CF"/>
    <w:rsid w:val="000761A4"/>
    <w:rsid w:val="00076460"/>
    <w:rsid w:val="00077834"/>
    <w:rsid w:val="00077B7B"/>
    <w:rsid w:val="00080269"/>
    <w:rsid w:val="00080B1E"/>
    <w:rsid w:val="0008262F"/>
    <w:rsid w:val="0009013C"/>
    <w:rsid w:val="00093E4F"/>
    <w:rsid w:val="000951BC"/>
    <w:rsid w:val="000A0616"/>
    <w:rsid w:val="000A09BD"/>
    <w:rsid w:val="000A17C1"/>
    <w:rsid w:val="000A1878"/>
    <w:rsid w:val="000A2867"/>
    <w:rsid w:val="000A37EC"/>
    <w:rsid w:val="000A4BD5"/>
    <w:rsid w:val="000A6736"/>
    <w:rsid w:val="000B0394"/>
    <w:rsid w:val="000B057B"/>
    <w:rsid w:val="000B247C"/>
    <w:rsid w:val="000B2FBD"/>
    <w:rsid w:val="000B307A"/>
    <w:rsid w:val="000B48CA"/>
    <w:rsid w:val="000B4B11"/>
    <w:rsid w:val="000B4BAE"/>
    <w:rsid w:val="000B5A8E"/>
    <w:rsid w:val="000B5C3B"/>
    <w:rsid w:val="000B61DA"/>
    <w:rsid w:val="000B641A"/>
    <w:rsid w:val="000B6C8F"/>
    <w:rsid w:val="000B7689"/>
    <w:rsid w:val="000B78C1"/>
    <w:rsid w:val="000B7BDE"/>
    <w:rsid w:val="000C1343"/>
    <w:rsid w:val="000C259D"/>
    <w:rsid w:val="000C2AB9"/>
    <w:rsid w:val="000C2E24"/>
    <w:rsid w:val="000C3042"/>
    <w:rsid w:val="000C5EAA"/>
    <w:rsid w:val="000C65E8"/>
    <w:rsid w:val="000C7EAE"/>
    <w:rsid w:val="000C7F03"/>
    <w:rsid w:val="000D2436"/>
    <w:rsid w:val="000D2448"/>
    <w:rsid w:val="000D4211"/>
    <w:rsid w:val="000D49FD"/>
    <w:rsid w:val="000D6430"/>
    <w:rsid w:val="000D750D"/>
    <w:rsid w:val="000E21AF"/>
    <w:rsid w:val="000E2874"/>
    <w:rsid w:val="000E3392"/>
    <w:rsid w:val="000E5E6A"/>
    <w:rsid w:val="000E5F34"/>
    <w:rsid w:val="000E6B04"/>
    <w:rsid w:val="000E7D1A"/>
    <w:rsid w:val="000E7D5B"/>
    <w:rsid w:val="000F151F"/>
    <w:rsid w:val="000F1790"/>
    <w:rsid w:val="000F1AA0"/>
    <w:rsid w:val="000F4671"/>
    <w:rsid w:val="000F6CB7"/>
    <w:rsid w:val="00101D08"/>
    <w:rsid w:val="00104162"/>
    <w:rsid w:val="001043BD"/>
    <w:rsid w:val="001049F2"/>
    <w:rsid w:val="00104ED4"/>
    <w:rsid w:val="00110850"/>
    <w:rsid w:val="001114A1"/>
    <w:rsid w:val="00111F6C"/>
    <w:rsid w:val="001120EE"/>
    <w:rsid w:val="00113ED0"/>
    <w:rsid w:val="00115D19"/>
    <w:rsid w:val="00116ABB"/>
    <w:rsid w:val="00117982"/>
    <w:rsid w:val="00121244"/>
    <w:rsid w:val="0012296A"/>
    <w:rsid w:val="00122A87"/>
    <w:rsid w:val="001246F6"/>
    <w:rsid w:val="0012476F"/>
    <w:rsid w:val="00124B87"/>
    <w:rsid w:val="0012743B"/>
    <w:rsid w:val="00130370"/>
    <w:rsid w:val="00130743"/>
    <w:rsid w:val="00131E87"/>
    <w:rsid w:val="00134659"/>
    <w:rsid w:val="001347AB"/>
    <w:rsid w:val="00135CD9"/>
    <w:rsid w:val="00136292"/>
    <w:rsid w:val="00136556"/>
    <w:rsid w:val="001408E2"/>
    <w:rsid w:val="0014337E"/>
    <w:rsid w:val="001435B3"/>
    <w:rsid w:val="00143AEA"/>
    <w:rsid w:val="00144A13"/>
    <w:rsid w:val="00145188"/>
    <w:rsid w:val="00145F95"/>
    <w:rsid w:val="0014630B"/>
    <w:rsid w:val="00146F26"/>
    <w:rsid w:val="00147EDB"/>
    <w:rsid w:val="00150D96"/>
    <w:rsid w:val="00151D42"/>
    <w:rsid w:val="00152F22"/>
    <w:rsid w:val="00152F4D"/>
    <w:rsid w:val="00152F7C"/>
    <w:rsid w:val="001543C4"/>
    <w:rsid w:val="00154BFF"/>
    <w:rsid w:val="00156AB0"/>
    <w:rsid w:val="00157324"/>
    <w:rsid w:val="00157949"/>
    <w:rsid w:val="001610C5"/>
    <w:rsid w:val="0016228A"/>
    <w:rsid w:val="001628C8"/>
    <w:rsid w:val="00167DC6"/>
    <w:rsid w:val="00167EA1"/>
    <w:rsid w:val="00173018"/>
    <w:rsid w:val="00173AAE"/>
    <w:rsid w:val="00173CD0"/>
    <w:rsid w:val="00174265"/>
    <w:rsid w:val="001744CD"/>
    <w:rsid w:val="00174564"/>
    <w:rsid w:val="00177305"/>
    <w:rsid w:val="0017782B"/>
    <w:rsid w:val="00180E82"/>
    <w:rsid w:val="00180F2E"/>
    <w:rsid w:val="00182687"/>
    <w:rsid w:val="00182E64"/>
    <w:rsid w:val="00182EC9"/>
    <w:rsid w:val="0018308B"/>
    <w:rsid w:val="00184B13"/>
    <w:rsid w:val="00185BA6"/>
    <w:rsid w:val="00185D1A"/>
    <w:rsid w:val="00185D43"/>
    <w:rsid w:val="0019092B"/>
    <w:rsid w:val="00190CE9"/>
    <w:rsid w:val="00190D0F"/>
    <w:rsid w:val="00192B3B"/>
    <w:rsid w:val="00193972"/>
    <w:rsid w:val="00196A5E"/>
    <w:rsid w:val="00196ED5"/>
    <w:rsid w:val="0019722B"/>
    <w:rsid w:val="001A0B64"/>
    <w:rsid w:val="001A121C"/>
    <w:rsid w:val="001A1396"/>
    <w:rsid w:val="001A1806"/>
    <w:rsid w:val="001A1C97"/>
    <w:rsid w:val="001A4594"/>
    <w:rsid w:val="001A51BA"/>
    <w:rsid w:val="001A5363"/>
    <w:rsid w:val="001A5940"/>
    <w:rsid w:val="001A5DCC"/>
    <w:rsid w:val="001A6225"/>
    <w:rsid w:val="001A7354"/>
    <w:rsid w:val="001B0289"/>
    <w:rsid w:val="001B2F5A"/>
    <w:rsid w:val="001B39FD"/>
    <w:rsid w:val="001B3B0B"/>
    <w:rsid w:val="001B438B"/>
    <w:rsid w:val="001B5AA3"/>
    <w:rsid w:val="001B6FD3"/>
    <w:rsid w:val="001C26D4"/>
    <w:rsid w:val="001C3C52"/>
    <w:rsid w:val="001D0629"/>
    <w:rsid w:val="001D102C"/>
    <w:rsid w:val="001D1DD0"/>
    <w:rsid w:val="001D2B3C"/>
    <w:rsid w:val="001D36F1"/>
    <w:rsid w:val="001D3929"/>
    <w:rsid w:val="001D3D66"/>
    <w:rsid w:val="001D5693"/>
    <w:rsid w:val="001D5D49"/>
    <w:rsid w:val="001D5E6A"/>
    <w:rsid w:val="001D6B7A"/>
    <w:rsid w:val="001E04C3"/>
    <w:rsid w:val="001E1B48"/>
    <w:rsid w:val="001E379A"/>
    <w:rsid w:val="001E3D21"/>
    <w:rsid w:val="001E3EBC"/>
    <w:rsid w:val="001E76B4"/>
    <w:rsid w:val="001F15C4"/>
    <w:rsid w:val="001F2411"/>
    <w:rsid w:val="001F28A7"/>
    <w:rsid w:val="001F37D8"/>
    <w:rsid w:val="001F41FF"/>
    <w:rsid w:val="001F4A1E"/>
    <w:rsid w:val="001F52C2"/>
    <w:rsid w:val="001F7192"/>
    <w:rsid w:val="001F77BD"/>
    <w:rsid w:val="001F79F0"/>
    <w:rsid w:val="00201640"/>
    <w:rsid w:val="0020290E"/>
    <w:rsid w:val="00203B09"/>
    <w:rsid w:val="002045AB"/>
    <w:rsid w:val="00204EA0"/>
    <w:rsid w:val="00206CE4"/>
    <w:rsid w:val="0020798E"/>
    <w:rsid w:val="00210641"/>
    <w:rsid w:val="00210705"/>
    <w:rsid w:val="00212410"/>
    <w:rsid w:val="00212C71"/>
    <w:rsid w:val="002146F5"/>
    <w:rsid w:val="002153AA"/>
    <w:rsid w:val="00215857"/>
    <w:rsid w:val="00215FD8"/>
    <w:rsid w:val="0021641A"/>
    <w:rsid w:val="00216BA0"/>
    <w:rsid w:val="002172EB"/>
    <w:rsid w:val="002174B3"/>
    <w:rsid w:val="00217F19"/>
    <w:rsid w:val="00220377"/>
    <w:rsid w:val="0022063F"/>
    <w:rsid w:val="002219BC"/>
    <w:rsid w:val="00222497"/>
    <w:rsid w:val="002224AA"/>
    <w:rsid w:val="0022257B"/>
    <w:rsid w:val="00222F45"/>
    <w:rsid w:val="00224074"/>
    <w:rsid w:val="00225536"/>
    <w:rsid w:val="00225B86"/>
    <w:rsid w:val="002261EC"/>
    <w:rsid w:val="0022633B"/>
    <w:rsid w:val="002272D0"/>
    <w:rsid w:val="00227338"/>
    <w:rsid w:val="0022775C"/>
    <w:rsid w:val="00232A8F"/>
    <w:rsid w:val="00233536"/>
    <w:rsid w:val="00233A29"/>
    <w:rsid w:val="002343E6"/>
    <w:rsid w:val="00234C92"/>
    <w:rsid w:val="00235C81"/>
    <w:rsid w:val="00236412"/>
    <w:rsid w:val="0024039E"/>
    <w:rsid w:val="00240843"/>
    <w:rsid w:val="00241201"/>
    <w:rsid w:val="00242E9A"/>
    <w:rsid w:val="00243D99"/>
    <w:rsid w:val="00243F23"/>
    <w:rsid w:val="002440A2"/>
    <w:rsid w:val="002459D9"/>
    <w:rsid w:val="00245ECE"/>
    <w:rsid w:val="00247180"/>
    <w:rsid w:val="00247273"/>
    <w:rsid w:val="00250451"/>
    <w:rsid w:val="002504D2"/>
    <w:rsid w:val="00251381"/>
    <w:rsid w:val="00251560"/>
    <w:rsid w:val="00253488"/>
    <w:rsid w:val="00253D84"/>
    <w:rsid w:val="00253DAE"/>
    <w:rsid w:val="00254006"/>
    <w:rsid w:val="00254680"/>
    <w:rsid w:val="00257001"/>
    <w:rsid w:val="00257533"/>
    <w:rsid w:val="00257D45"/>
    <w:rsid w:val="0026197B"/>
    <w:rsid w:val="00262772"/>
    <w:rsid w:val="00265185"/>
    <w:rsid w:val="00265801"/>
    <w:rsid w:val="00266336"/>
    <w:rsid w:val="00266D71"/>
    <w:rsid w:val="002673B3"/>
    <w:rsid w:val="00267FE3"/>
    <w:rsid w:val="00270076"/>
    <w:rsid w:val="00270BB4"/>
    <w:rsid w:val="0027238F"/>
    <w:rsid w:val="00272AE2"/>
    <w:rsid w:val="00272EF0"/>
    <w:rsid w:val="002731EE"/>
    <w:rsid w:val="002745F4"/>
    <w:rsid w:val="00275190"/>
    <w:rsid w:val="002768BC"/>
    <w:rsid w:val="00276B76"/>
    <w:rsid w:val="00276FBA"/>
    <w:rsid w:val="0027760F"/>
    <w:rsid w:val="0027767B"/>
    <w:rsid w:val="00277923"/>
    <w:rsid w:val="00281181"/>
    <w:rsid w:val="00281BFA"/>
    <w:rsid w:val="00281C19"/>
    <w:rsid w:val="00281F9F"/>
    <w:rsid w:val="00282038"/>
    <w:rsid w:val="00282C32"/>
    <w:rsid w:val="00282EA6"/>
    <w:rsid w:val="00286ACE"/>
    <w:rsid w:val="00287425"/>
    <w:rsid w:val="0028795E"/>
    <w:rsid w:val="00287B0E"/>
    <w:rsid w:val="00287C84"/>
    <w:rsid w:val="00290892"/>
    <w:rsid w:val="00291CED"/>
    <w:rsid w:val="00292F07"/>
    <w:rsid w:val="0029352D"/>
    <w:rsid w:val="0029486A"/>
    <w:rsid w:val="0029507D"/>
    <w:rsid w:val="00295CA0"/>
    <w:rsid w:val="00296DF6"/>
    <w:rsid w:val="00297BC1"/>
    <w:rsid w:val="002A207A"/>
    <w:rsid w:val="002A2E81"/>
    <w:rsid w:val="002A34F6"/>
    <w:rsid w:val="002A3A4F"/>
    <w:rsid w:val="002A3DF9"/>
    <w:rsid w:val="002A4FF5"/>
    <w:rsid w:val="002A53AE"/>
    <w:rsid w:val="002A5B85"/>
    <w:rsid w:val="002A6150"/>
    <w:rsid w:val="002A61FF"/>
    <w:rsid w:val="002A6861"/>
    <w:rsid w:val="002A6AF4"/>
    <w:rsid w:val="002A7C3C"/>
    <w:rsid w:val="002B1106"/>
    <w:rsid w:val="002B23EC"/>
    <w:rsid w:val="002B2A3D"/>
    <w:rsid w:val="002B2DC1"/>
    <w:rsid w:val="002B4DF0"/>
    <w:rsid w:val="002B60B6"/>
    <w:rsid w:val="002B6C70"/>
    <w:rsid w:val="002B7292"/>
    <w:rsid w:val="002C0756"/>
    <w:rsid w:val="002C09A9"/>
    <w:rsid w:val="002C1C15"/>
    <w:rsid w:val="002C1C35"/>
    <w:rsid w:val="002C4E76"/>
    <w:rsid w:val="002C4FB3"/>
    <w:rsid w:val="002C7259"/>
    <w:rsid w:val="002C7339"/>
    <w:rsid w:val="002D02D2"/>
    <w:rsid w:val="002D04E7"/>
    <w:rsid w:val="002D294E"/>
    <w:rsid w:val="002D3030"/>
    <w:rsid w:val="002D37B3"/>
    <w:rsid w:val="002D39D8"/>
    <w:rsid w:val="002D65D8"/>
    <w:rsid w:val="002D744B"/>
    <w:rsid w:val="002E0F0E"/>
    <w:rsid w:val="002E1783"/>
    <w:rsid w:val="002E19D0"/>
    <w:rsid w:val="002E25AC"/>
    <w:rsid w:val="002E4DE2"/>
    <w:rsid w:val="002E618D"/>
    <w:rsid w:val="002E61A0"/>
    <w:rsid w:val="002F0237"/>
    <w:rsid w:val="002F26CE"/>
    <w:rsid w:val="002F5CE7"/>
    <w:rsid w:val="002F7654"/>
    <w:rsid w:val="00302B00"/>
    <w:rsid w:val="00304626"/>
    <w:rsid w:val="00304A4E"/>
    <w:rsid w:val="00305B33"/>
    <w:rsid w:val="00306CA3"/>
    <w:rsid w:val="003079EF"/>
    <w:rsid w:val="0031046C"/>
    <w:rsid w:val="003106A1"/>
    <w:rsid w:val="003109D5"/>
    <w:rsid w:val="00310D22"/>
    <w:rsid w:val="003112BA"/>
    <w:rsid w:val="0031155D"/>
    <w:rsid w:val="003121B4"/>
    <w:rsid w:val="00313906"/>
    <w:rsid w:val="00315D2B"/>
    <w:rsid w:val="00317BD0"/>
    <w:rsid w:val="00320B31"/>
    <w:rsid w:val="00321586"/>
    <w:rsid w:val="00323667"/>
    <w:rsid w:val="00326017"/>
    <w:rsid w:val="00326BD7"/>
    <w:rsid w:val="00326D28"/>
    <w:rsid w:val="00327562"/>
    <w:rsid w:val="00332312"/>
    <w:rsid w:val="003331F1"/>
    <w:rsid w:val="00333E9B"/>
    <w:rsid w:val="00336E38"/>
    <w:rsid w:val="00336E63"/>
    <w:rsid w:val="00337FBA"/>
    <w:rsid w:val="0034039E"/>
    <w:rsid w:val="00341050"/>
    <w:rsid w:val="00342152"/>
    <w:rsid w:val="00342853"/>
    <w:rsid w:val="00343444"/>
    <w:rsid w:val="00343661"/>
    <w:rsid w:val="00344225"/>
    <w:rsid w:val="00345E94"/>
    <w:rsid w:val="003465A8"/>
    <w:rsid w:val="003468BB"/>
    <w:rsid w:val="00346F82"/>
    <w:rsid w:val="0034776A"/>
    <w:rsid w:val="00347EF0"/>
    <w:rsid w:val="00350EEF"/>
    <w:rsid w:val="00351112"/>
    <w:rsid w:val="003537EE"/>
    <w:rsid w:val="00355705"/>
    <w:rsid w:val="003559CC"/>
    <w:rsid w:val="0035739C"/>
    <w:rsid w:val="00357502"/>
    <w:rsid w:val="00357726"/>
    <w:rsid w:val="003641AB"/>
    <w:rsid w:val="00364D54"/>
    <w:rsid w:val="00366291"/>
    <w:rsid w:val="003707AD"/>
    <w:rsid w:val="0037252A"/>
    <w:rsid w:val="00372DEB"/>
    <w:rsid w:val="00373942"/>
    <w:rsid w:val="00373AD4"/>
    <w:rsid w:val="00373DC1"/>
    <w:rsid w:val="0037581D"/>
    <w:rsid w:val="00376556"/>
    <w:rsid w:val="0037660B"/>
    <w:rsid w:val="0037679B"/>
    <w:rsid w:val="003822D1"/>
    <w:rsid w:val="003823A3"/>
    <w:rsid w:val="00384350"/>
    <w:rsid w:val="00387084"/>
    <w:rsid w:val="00387437"/>
    <w:rsid w:val="003900BE"/>
    <w:rsid w:val="00390123"/>
    <w:rsid w:val="00390178"/>
    <w:rsid w:val="003902E2"/>
    <w:rsid w:val="0039108E"/>
    <w:rsid w:val="00391A94"/>
    <w:rsid w:val="00391D3E"/>
    <w:rsid w:val="003922C5"/>
    <w:rsid w:val="003928C1"/>
    <w:rsid w:val="00392E00"/>
    <w:rsid w:val="003930C6"/>
    <w:rsid w:val="00393E7D"/>
    <w:rsid w:val="00394C91"/>
    <w:rsid w:val="003950D0"/>
    <w:rsid w:val="0039753D"/>
    <w:rsid w:val="003A1568"/>
    <w:rsid w:val="003A5C08"/>
    <w:rsid w:val="003A5F17"/>
    <w:rsid w:val="003A7D7C"/>
    <w:rsid w:val="003B1A7C"/>
    <w:rsid w:val="003B211C"/>
    <w:rsid w:val="003B22A8"/>
    <w:rsid w:val="003B2C49"/>
    <w:rsid w:val="003B2E33"/>
    <w:rsid w:val="003B34D3"/>
    <w:rsid w:val="003B3589"/>
    <w:rsid w:val="003B4209"/>
    <w:rsid w:val="003B4880"/>
    <w:rsid w:val="003B495A"/>
    <w:rsid w:val="003B5891"/>
    <w:rsid w:val="003B5C35"/>
    <w:rsid w:val="003B6B49"/>
    <w:rsid w:val="003B72FA"/>
    <w:rsid w:val="003B7493"/>
    <w:rsid w:val="003B7924"/>
    <w:rsid w:val="003C1E68"/>
    <w:rsid w:val="003C33B1"/>
    <w:rsid w:val="003C5B49"/>
    <w:rsid w:val="003C5B59"/>
    <w:rsid w:val="003C684F"/>
    <w:rsid w:val="003C7A5B"/>
    <w:rsid w:val="003C7F95"/>
    <w:rsid w:val="003D0377"/>
    <w:rsid w:val="003D10C2"/>
    <w:rsid w:val="003D2DAE"/>
    <w:rsid w:val="003D2DDC"/>
    <w:rsid w:val="003D2EB8"/>
    <w:rsid w:val="003D46F6"/>
    <w:rsid w:val="003D57ED"/>
    <w:rsid w:val="003D5B63"/>
    <w:rsid w:val="003D5DD7"/>
    <w:rsid w:val="003D695B"/>
    <w:rsid w:val="003E1691"/>
    <w:rsid w:val="003E19A0"/>
    <w:rsid w:val="003E2A34"/>
    <w:rsid w:val="003E2A4C"/>
    <w:rsid w:val="003E40AA"/>
    <w:rsid w:val="003E4E4A"/>
    <w:rsid w:val="003E5D39"/>
    <w:rsid w:val="003E7533"/>
    <w:rsid w:val="003F0051"/>
    <w:rsid w:val="003F11E4"/>
    <w:rsid w:val="003F1AA1"/>
    <w:rsid w:val="003F7378"/>
    <w:rsid w:val="00400C5C"/>
    <w:rsid w:val="00400D67"/>
    <w:rsid w:val="00405DE0"/>
    <w:rsid w:val="004066EE"/>
    <w:rsid w:val="00406856"/>
    <w:rsid w:val="00407159"/>
    <w:rsid w:val="0040716A"/>
    <w:rsid w:val="004077FC"/>
    <w:rsid w:val="00407C90"/>
    <w:rsid w:val="00407E47"/>
    <w:rsid w:val="00410F5C"/>
    <w:rsid w:val="004120CF"/>
    <w:rsid w:val="004137A7"/>
    <w:rsid w:val="00413863"/>
    <w:rsid w:val="00414674"/>
    <w:rsid w:val="00414EA2"/>
    <w:rsid w:val="004153C7"/>
    <w:rsid w:val="00416BDE"/>
    <w:rsid w:val="0042010E"/>
    <w:rsid w:val="00420704"/>
    <w:rsid w:val="00420C42"/>
    <w:rsid w:val="00421D4C"/>
    <w:rsid w:val="004220E1"/>
    <w:rsid w:val="00424917"/>
    <w:rsid w:val="00426601"/>
    <w:rsid w:val="00426F57"/>
    <w:rsid w:val="00431BBA"/>
    <w:rsid w:val="00434C83"/>
    <w:rsid w:val="00435225"/>
    <w:rsid w:val="00435316"/>
    <w:rsid w:val="00436264"/>
    <w:rsid w:val="00437AAC"/>
    <w:rsid w:val="00437CAC"/>
    <w:rsid w:val="00441EC2"/>
    <w:rsid w:val="004422C9"/>
    <w:rsid w:val="004426B8"/>
    <w:rsid w:val="00442EB1"/>
    <w:rsid w:val="00443EED"/>
    <w:rsid w:val="004469BA"/>
    <w:rsid w:val="00446A60"/>
    <w:rsid w:val="00447C36"/>
    <w:rsid w:val="004509F1"/>
    <w:rsid w:val="00451918"/>
    <w:rsid w:val="0045211B"/>
    <w:rsid w:val="00453D00"/>
    <w:rsid w:val="00455A9E"/>
    <w:rsid w:val="00457DF3"/>
    <w:rsid w:val="00461E1C"/>
    <w:rsid w:val="00464950"/>
    <w:rsid w:val="00464F7C"/>
    <w:rsid w:val="00465330"/>
    <w:rsid w:val="00466093"/>
    <w:rsid w:val="00466562"/>
    <w:rsid w:val="00466DC0"/>
    <w:rsid w:val="00467932"/>
    <w:rsid w:val="00467ACD"/>
    <w:rsid w:val="0047180D"/>
    <w:rsid w:val="00472437"/>
    <w:rsid w:val="004735B7"/>
    <w:rsid w:val="0047380C"/>
    <w:rsid w:val="00473C18"/>
    <w:rsid w:val="0047445D"/>
    <w:rsid w:val="00474932"/>
    <w:rsid w:val="0047500A"/>
    <w:rsid w:val="00475388"/>
    <w:rsid w:val="004755E9"/>
    <w:rsid w:val="004756B1"/>
    <w:rsid w:val="004765CB"/>
    <w:rsid w:val="0047778B"/>
    <w:rsid w:val="00477C60"/>
    <w:rsid w:val="004804A4"/>
    <w:rsid w:val="00480C2F"/>
    <w:rsid w:val="00481C97"/>
    <w:rsid w:val="0048223C"/>
    <w:rsid w:val="00482E1B"/>
    <w:rsid w:val="004840F8"/>
    <w:rsid w:val="00484EB1"/>
    <w:rsid w:val="00486A97"/>
    <w:rsid w:val="00490710"/>
    <w:rsid w:val="00490C51"/>
    <w:rsid w:val="00491689"/>
    <w:rsid w:val="00492692"/>
    <w:rsid w:val="00493ADB"/>
    <w:rsid w:val="00493E90"/>
    <w:rsid w:val="004953D2"/>
    <w:rsid w:val="004953DC"/>
    <w:rsid w:val="00495815"/>
    <w:rsid w:val="004965C0"/>
    <w:rsid w:val="00496918"/>
    <w:rsid w:val="00496F2C"/>
    <w:rsid w:val="00497056"/>
    <w:rsid w:val="004A0B13"/>
    <w:rsid w:val="004A115F"/>
    <w:rsid w:val="004A25A7"/>
    <w:rsid w:val="004A619C"/>
    <w:rsid w:val="004A6784"/>
    <w:rsid w:val="004A6B68"/>
    <w:rsid w:val="004B0F6C"/>
    <w:rsid w:val="004B1BA5"/>
    <w:rsid w:val="004B2491"/>
    <w:rsid w:val="004B2CF0"/>
    <w:rsid w:val="004B2D1B"/>
    <w:rsid w:val="004B304F"/>
    <w:rsid w:val="004B4965"/>
    <w:rsid w:val="004B4C01"/>
    <w:rsid w:val="004B5B86"/>
    <w:rsid w:val="004B6B8C"/>
    <w:rsid w:val="004B7474"/>
    <w:rsid w:val="004C0FCA"/>
    <w:rsid w:val="004C526B"/>
    <w:rsid w:val="004C5765"/>
    <w:rsid w:val="004C7A87"/>
    <w:rsid w:val="004D124B"/>
    <w:rsid w:val="004D1712"/>
    <w:rsid w:val="004D336E"/>
    <w:rsid w:val="004D43BF"/>
    <w:rsid w:val="004D487C"/>
    <w:rsid w:val="004D4C1A"/>
    <w:rsid w:val="004D5E71"/>
    <w:rsid w:val="004D76EA"/>
    <w:rsid w:val="004D78CC"/>
    <w:rsid w:val="004E0363"/>
    <w:rsid w:val="004E1E9F"/>
    <w:rsid w:val="004E20F3"/>
    <w:rsid w:val="004E243F"/>
    <w:rsid w:val="004E2527"/>
    <w:rsid w:val="004E365C"/>
    <w:rsid w:val="004E6918"/>
    <w:rsid w:val="004F0A93"/>
    <w:rsid w:val="004F1A9D"/>
    <w:rsid w:val="004F3D78"/>
    <w:rsid w:val="004F446D"/>
    <w:rsid w:val="004F6ABC"/>
    <w:rsid w:val="004F6C0C"/>
    <w:rsid w:val="00500567"/>
    <w:rsid w:val="005028CF"/>
    <w:rsid w:val="005049B7"/>
    <w:rsid w:val="00505281"/>
    <w:rsid w:val="00506282"/>
    <w:rsid w:val="0050656D"/>
    <w:rsid w:val="0050769C"/>
    <w:rsid w:val="0051033E"/>
    <w:rsid w:val="00510660"/>
    <w:rsid w:val="0051360F"/>
    <w:rsid w:val="0051385D"/>
    <w:rsid w:val="00514A14"/>
    <w:rsid w:val="00514C3F"/>
    <w:rsid w:val="00516E2C"/>
    <w:rsid w:val="00517360"/>
    <w:rsid w:val="00520231"/>
    <w:rsid w:val="005226FC"/>
    <w:rsid w:val="00522FDC"/>
    <w:rsid w:val="00523590"/>
    <w:rsid w:val="005267FC"/>
    <w:rsid w:val="00527185"/>
    <w:rsid w:val="005276F6"/>
    <w:rsid w:val="00527762"/>
    <w:rsid w:val="0053443A"/>
    <w:rsid w:val="00534EEE"/>
    <w:rsid w:val="00535BD5"/>
    <w:rsid w:val="00535BE3"/>
    <w:rsid w:val="00536BF6"/>
    <w:rsid w:val="00536D75"/>
    <w:rsid w:val="00536FE6"/>
    <w:rsid w:val="0054190C"/>
    <w:rsid w:val="00541D57"/>
    <w:rsid w:val="0054281B"/>
    <w:rsid w:val="00543A9A"/>
    <w:rsid w:val="00544166"/>
    <w:rsid w:val="00544974"/>
    <w:rsid w:val="00546401"/>
    <w:rsid w:val="0054738C"/>
    <w:rsid w:val="00547D1C"/>
    <w:rsid w:val="00550236"/>
    <w:rsid w:val="005508B7"/>
    <w:rsid w:val="005509C9"/>
    <w:rsid w:val="005521A9"/>
    <w:rsid w:val="005548F1"/>
    <w:rsid w:val="00554AF7"/>
    <w:rsid w:val="00555056"/>
    <w:rsid w:val="00557541"/>
    <w:rsid w:val="00557735"/>
    <w:rsid w:val="00557C23"/>
    <w:rsid w:val="00557DEE"/>
    <w:rsid w:val="00561259"/>
    <w:rsid w:val="0056192C"/>
    <w:rsid w:val="00563A3E"/>
    <w:rsid w:val="00563BC9"/>
    <w:rsid w:val="00563D7F"/>
    <w:rsid w:val="005649EE"/>
    <w:rsid w:val="00564AE8"/>
    <w:rsid w:val="00565DBB"/>
    <w:rsid w:val="00565E5E"/>
    <w:rsid w:val="005672E6"/>
    <w:rsid w:val="005678F6"/>
    <w:rsid w:val="00571633"/>
    <w:rsid w:val="0057213D"/>
    <w:rsid w:val="00573374"/>
    <w:rsid w:val="005760F0"/>
    <w:rsid w:val="005767E9"/>
    <w:rsid w:val="005836D4"/>
    <w:rsid w:val="00584CC8"/>
    <w:rsid w:val="005854C4"/>
    <w:rsid w:val="00585EB9"/>
    <w:rsid w:val="00590D41"/>
    <w:rsid w:val="00590F8C"/>
    <w:rsid w:val="00594899"/>
    <w:rsid w:val="005975D6"/>
    <w:rsid w:val="00597922"/>
    <w:rsid w:val="005A01FE"/>
    <w:rsid w:val="005A171B"/>
    <w:rsid w:val="005A17B2"/>
    <w:rsid w:val="005A1D22"/>
    <w:rsid w:val="005A5227"/>
    <w:rsid w:val="005A5E51"/>
    <w:rsid w:val="005A6599"/>
    <w:rsid w:val="005B0631"/>
    <w:rsid w:val="005B081D"/>
    <w:rsid w:val="005B1503"/>
    <w:rsid w:val="005B16DD"/>
    <w:rsid w:val="005B1E6B"/>
    <w:rsid w:val="005B389F"/>
    <w:rsid w:val="005B4B2B"/>
    <w:rsid w:val="005B4C3E"/>
    <w:rsid w:val="005B52FD"/>
    <w:rsid w:val="005B6DD7"/>
    <w:rsid w:val="005C17B5"/>
    <w:rsid w:val="005C47B9"/>
    <w:rsid w:val="005C586D"/>
    <w:rsid w:val="005C6D33"/>
    <w:rsid w:val="005C7218"/>
    <w:rsid w:val="005D24EC"/>
    <w:rsid w:val="005D3E8E"/>
    <w:rsid w:val="005D5752"/>
    <w:rsid w:val="005D6058"/>
    <w:rsid w:val="005D6219"/>
    <w:rsid w:val="005D6976"/>
    <w:rsid w:val="005D72D0"/>
    <w:rsid w:val="005D77F3"/>
    <w:rsid w:val="005D7F1E"/>
    <w:rsid w:val="005D7F31"/>
    <w:rsid w:val="005E0015"/>
    <w:rsid w:val="005E0F98"/>
    <w:rsid w:val="005E4B40"/>
    <w:rsid w:val="005E551C"/>
    <w:rsid w:val="005E61A0"/>
    <w:rsid w:val="005E6ED3"/>
    <w:rsid w:val="005E730D"/>
    <w:rsid w:val="005F1AB5"/>
    <w:rsid w:val="005F3D28"/>
    <w:rsid w:val="005F40F6"/>
    <w:rsid w:val="005F4EC4"/>
    <w:rsid w:val="005F637D"/>
    <w:rsid w:val="005F69C7"/>
    <w:rsid w:val="005F6F10"/>
    <w:rsid w:val="0060115F"/>
    <w:rsid w:val="00601BC5"/>
    <w:rsid w:val="00602395"/>
    <w:rsid w:val="006043E7"/>
    <w:rsid w:val="00606C97"/>
    <w:rsid w:val="00607296"/>
    <w:rsid w:val="006073D9"/>
    <w:rsid w:val="00607E15"/>
    <w:rsid w:val="00607E22"/>
    <w:rsid w:val="006120F6"/>
    <w:rsid w:val="00613807"/>
    <w:rsid w:val="00614A26"/>
    <w:rsid w:val="0061630F"/>
    <w:rsid w:val="00616A18"/>
    <w:rsid w:val="006203D1"/>
    <w:rsid w:val="00620A15"/>
    <w:rsid w:val="00620FBD"/>
    <w:rsid w:val="00621507"/>
    <w:rsid w:val="00621CC1"/>
    <w:rsid w:val="00622D19"/>
    <w:rsid w:val="006239E3"/>
    <w:rsid w:val="00624026"/>
    <w:rsid w:val="00624A91"/>
    <w:rsid w:val="006259AC"/>
    <w:rsid w:val="006272CC"/>
    <w:rsid w:val="00627EA9"/>
    <w:rsid w:val="00630F3C"/>
    <w:rsid w:val="00631B81"/>
    <w:rsid w:val="00631D5E"/>
    <w:rsid w:val="00631EFD"/>
    <w:rsid w:val="006333E2"/>
    <w:rsid w:val="00633EA4"/>
    <w:rsid w:val="00634464"/>
    <w:rsid w:val="0063485D"/>
    <w:rsid w:val="00634CFB"/>
    <w:rsid w:val="00634DF7"/>
    <w:rsid w:val="00640D98"/>
    <w:rsid w:val="00642291"/>
    <w:rsid w:val="00642721"/>
    <w:rsid w:val="006438F7"/>
    <w:rsid w:val="00644D3C"/>
    <w:rsid w:val="006455D2"/>
    <w:rsid w:val="0064581A"/>
    <w:rsid w:val="00645A3D"/>
    <w:rsid w:val="00646473"/>
    <w:rsid w:val="006464ED"/>
    <w:rsid w:val="0064717F"/>
    <w:rsid w:val="00647ECD"/>
    <w:rsid w:val="0065496A"/>
    <w:rsid w:val="006566E3"/>
    <w:rsid w:val="006577A4"/>
    <w:rsid w:val="00657D6E"/>
    <w:rsid w:val="00660120"/>
    <w:rsid w:val="00660887"/>
    <w:rsid w:val="006622C3"/>
    <w:rsid w:val="00662967"/>
    <w:rsid w:val="00665A04"/>
    <w:rsid w:val="00666BD9"/>
    <w:rsid w:val="00666E4D"/>
    <w:rsid w:val="006706A6"/>
    <w:rsid w:val="00673903"/>
    <w:rsid w:val="00674D55"/>
    <w:rsid w:val="006753C4"/>
    <w:rsid w:val="0067717E"/>
    <w:rsid w:val="00677557"/>
    <w:rsid w:val="00677821"/>
    <w:rsid w:val="00677923"/>
    <w:rsid w:val="0068012C"/>
    <w:rsid w:val="0068107B"/>
    <w:rsid w:val="006818F1"/>
    <w:rsid w:val="006822D8"/>
    <w:rsid w:val="006830B3"/>
    <w:rsid w:val="00685892"/>
    <w:rsid w:val="00687D9B"/>
    <w:rsid w:val="00691DA8"/>
    <w:rsid w:val="00691EDE"/>
    <w:rsid w:val="00692216"/>
    <w:rsid w:val="00693E21"/>
    <w:rsid w:val="00695347"/>
    <w:rsid w:val="00695B7B"/>
    <w:rsid w:val="006965BE"/>
    <w:rsid w:val="00696657"/>
    <w:rsid w:val="00697949"/>
    <w:rsid w:val="006A00EB"/>
    <w:rsid w:val="006A0C04"/>
    <w:rsid w:val="006A23F0"/>
    <w:rsid w:val="006A2A1F"/>
    <w:rsid w:val="006A2DCD"/>
    <w:rsid w:val="006A5178"/>
    <w:rsid w:val="006A5A62"/>
    <w:rsid w:val="006A7E13"/>
    <w:rsid w:val="006B2A3F"/>
    <w:rsid w:val="006B3D5D"/>
    <w:rsid w:val="006B40EC"/>
    <w:rsid w:val="006B433A"/>
    <w:rsid w:val="006B4699"/>
    <w:rsid w:val="006B4A59"/>
    <w:rsid w:val="006B4B8D"/>
    <w:rsid w:val="006B571C"/>
    <w:rsid w:val="006B5F53"/>
    <w:rsid w:val="006B6D63"/>
    <w:rsid w:val="006B7A72"/>
    <w:rsid w:val="006C0A86"/>
    <w:rsid w:val="006C0B50"/>
    <w:rsid w:val="006C4935"/>
    <w:rsid w:val="006C4F1F"/>
    <w:rsid w:val="006C55E0"/>
    <w:rsid w:val="006C5E33"/>
    <w:rsid w:val="006C60AB"/>
    <w:rsid w:val="006C650C"/>
    <w:rsid w:val="006D074A"/>
    <w:rsid w:val="006D1E6F"/>
    <w:rsid w:val="006D3A78"/>
    <w:rsid w:val="006D40E7"/>
    <w:rsid w:val="006D530E"/>
    <w:rsid w:val="006D5DFE"/>
    <w:rsid w:val="006D5E21"/>
    <w:rsid w:val="006D5F2D"/>
    <w:rsid w:val="006D5F7D"/>
    <w:rsid w:val="006D62A6"/>
    <w:rsid w:val="006E171A"/>
    <w:rsid w:val="006E2137"/>
    <w:rsid w:val="006E213B"/>
    <w:rsid w:val="006E2304"/>
    <w:rsid w:val="006E2F6B"/>
    <w:rsid w:val="006E37F5"/>
    <w:rsid w:val="006E57F2"/>
    <w:rsid w:val="006E6B54"/>
    <w:rsid w:val="006E79E1"/>
    <w:rsid w:val="006E7E32"/>
    <w:rsid w:val="006F1C74"/>
    <w:rsid w:val="006F2000"/>
    <w:rsid w:val="006F5F1F"/>
    <w:rsid w:val="006F648C"/>
    <w:rsid w:val="006F6D60"/>
    <w:rsid w:val="006F755F"/>
    <w:rsid w:val="00701C08"/>
    <w:rsid w:val="00701C73"/>
    <w:rsid w:val="00703498"/>
    <w:rsid w:val="00703E7F"/>
    <w:rsid w:val="00705CE8"/>
    <w:rsid w:val="00706C91"/>
    <w:rsid w:val="00707006"/>
    <w:rsid w:val="0071399F"/>
    <w:rsid w:val="00713DB2"/>
    <w:rsid w:val="00713EA9"/>
    <w:rsid w:val="00715C24"/>
    <w:rsid w:val="00717097"/>
    <w:rsid w:val="00721AF7"/>
    <w:rsid w:val="0072200E"/>
    <w:rsid w:val="00722E76"/>
    <w:rsid w:val="00725698"/>
    <w:rsid w:val="00726526"/>
    <w:rsid w:val="00727E36"/>
    <w:rsid w:val="00730916"/>
    <w:rsid w:val="00730E79"/>
    <w:rsid w:val="007318CE"/>
    <w:rsid w:val="00731B72"/>
    <w:rsid w:val="00731C51"/>
    <w:rsid w:val="00732549"/>
    <w:rsid w:val="00733468"/>
    <w:rsid w:val="00734383"/>
    <w:rsid w:val="00735BDC"/>
    <w:rsid w:val="0073649C"/>
    <w:rsid w:val="007369B0"/>
    <w:rsid w:val="007402D8"/>
    <w:rsid w:val="007405BB"/>
    <w:rsid w:val="00742AC3"/>
    <w:rsid w:val="00742EF8"/>
    <w:rsid w:val="00743210"/>
    <w:rsid w:val="00743DCA"/>
    <w:rsid w:val="0074404A"/>
    <w:rsid w:val="00744124"/>
    <w:rsid w:val="00746B2D"/>
    <w:rsid w:val="00747039"/>
    <w:rsid w:val="0074704E"/>
    <w:rsid w:val="00750A52"/>
    <w:rsid w:val="00750AFB"/>
    <w:rsid w:val="0075196E"/>
    <w:rsid w:val="00752596"/>
    <w:rsid w:val="00752B41"/>
    <w:rsid w:val="00753077"/>
    <w:rsid w:val="00754568"/>
    <w:rsid w:val="00754B37"/>
    <w:rsid w:val="0075534F"/>
    <w:rsid w:val="007559D3"/>
    <w:rsid w:val="00755B3D"/>
    <w:rsid w:val="00756071"/>
    <w:rsid w:val="00757113"/>
    <w:rsid w:val="0076144F"/>
    <w:rsid w:val="0076157E"/>
    <w:rsid w:val="00763990"/>
    <w:rsid w:val="0076500F"/>
    <w:rsid w:val="00767038"/>
    <w:rsid w:val="0076721A"/>
    <w:rsid w:val="00767B50"/>
    <w:rsid w:val="00772F72"/>
    <w:rsid w:val="0077473D"/>
    <w:rsid w:val="00775896"/>
    <w:rsid w:val="00777725"/>
    <w:rsid w:val="0078000B"/>
    <w:rsid w:val="007811E9"/>
    <w:rsid w:val="00781D50"/>
    <w:rsid w:val="0078292E"/>
    <w:rsid w:val="00783329"/>
    <w:rsid w:val="00784DF5"/>
    <w:rsid w:val="00785692"/>
    <w:rsid w:val="00785929"/>
    <w:rsid w:val="00785A9A"/>
    <w:rsid w:val="0079082E"/>
    <w:rsid w:val="0079129E"/>
    <w:rsid w:val="0079196B"/>
    <w:rsid w:val="00791FBD"/>
    <w:rsid w:val="007953BF"/>
    <w:rsid w:val="00795D79"/>
    <w:rsid w:val="007967FC"/>
    <w:rsid w:val="00796D56"/>
    <w:rsid w:val="00797587"/>
    <w:rsid w:val="007A0655"/>
    <w:rsid w:val="007A13F6"/>
    <w:rsid w:val="007A1672"/>
    <w:rsid w:val="007A4114"/>
    <w:rsid w:val="007A4D82"/>
    <w:rsid w:val="007A4D8C"/>
    <w:rsid w:val="007A4D91"/>
    <w:rsid w:val="007A5335"/>
    <w:rsid w:val="007A5601"/>
    <w:rsid w:val="007A68CB"/>
    <w:rsid w:val="007B0555"/>
    <w:rsid w:val="007B110A"/>
    <w:rsid w:val="007B264B"/>
    <w:rsid w:val="007B35B3"/>
    <w:rsid w:val="007B39DE"/>
    <w:rsid w:val="007B4287"/>
    <w:rsid w:val="007B436F"/>
    <w:rsid w:val="007B476B"/>
    <w:rsid w:val="007B5082"/>
    <w:rsid w:val="007B6064"/>
    <w:rsid w:val="007B6F25"/>
    <w:rsid w:val="007C037D"/>
    <w:rsid w:val="007C0DE8"/>
    <w:rsid w:val="007C186F"/>
    <w:rsid w:val="007C2C31"/>
    <w:rsid w:val="007C35C5"/>
    <w:rsid w:val="007C37FA"/>
    <w:rsid w:val="007C4EC7"/>
    <w:rsid w:val="007C5497"/>
    <w:rsid w:val="007C5F0C"/>
    <w:rsid w:val="007C69B5"/>
    <w:rsid w:val="007C6B6F"/>
    <w:rsid w:val="007C79AD"/>
    <w:rsid w:val="007D086A"/>
    <w:rsid w:val="007D1889"/>
    <w:rsid w:val="007D2479"/>
    <w:rsid w:val="007D27A5"/>
    <w:rsid w:val="007D36F3"/>
    <w:rsid w:val="007D4647"/>
    <w:rsid w:val="007D4B00"/>
    <w:rsid w:val="007D4B7E"/>
    <w:rsid w:val="007D7E1B"/>
    <w:rsid w:val="007E12F4"/>
    <w:rsid w:val="007E1666"/>
    <w:rsid w:val="007E26EB"/>
    <w:rsid w:val="007E3B3B"/>
    <w:rsid w:val="007E640E"/>
    <w:rsid w:val="007E6D22"/>
    <w:rsid w:val="007E7300"/>
    <w:rsid w:val="007F10D1"/>
    <w:rsid w:val="007F1D45"/>
    <w:rsid w:val="007F32AD"/>
    <w:rsid w:val="007F3658"/>
    <w:rsid w:val="007F3E52"/>
    <w:rsid w:val="007F405C"/>
    <w:rsid w:val="007F464E"/>
    <w:rsid w:val="007F6F66"/>
    <w:rsid w:val="007F758E"/>
    <w:rsid w:val="007F791C"/>
    <w:rsid w:val="00800980"/>
    <w:rsid w:val="00801446"/>
    <w:rsid w:val="00801496"/>
    <w:rsid w:val="00802ACA"/>
    <w:rsid w:val="00804DF2"/>
    <w:rsid w:val="00805590"/>
    <w:rsid w:val="008059FB"/>
    <w:rsid w:val="00805DFB"/>
    <w:rsid w:val="00807432"/>
    <w:rsid w:val="0081166F"/>
    <w:rsid w:val="00812F5C"/>
    <w:rsid w:val="0081419E"/>
    <w:rsid w:val="008142EF"/>
    <w:rsid w:val="00816110"/>
    <w:rsid w:val="00817159"/>
    <w:rsid w:val="0081752B"/>
    <w:rsid w:val="008203A3"/>
    <w:rsid w:val="008207D7"/>
    <w:rsid w:val="008208EA"/>
    <w:rsid w:val="00820D7B"/>
    <w:rsid w:val="008214F5"/>
    <w:rsid w:val="00821727"/>
    <w:rsid w:val="00821C69"/>
    <w:rsid w:val="00822518"/>
    <w:rsid w:val="00824B15"/>
    <w:rsid w:val="00825254"/>
    <w:rsid w:val="008265A3"/>
    <w:rsid w:val="008271F9"/>
    <w:rsid w:val="00830DDA"/>
    <w:rsid w:val="00831266"/>
    <w:rsid w:val="00831366"/>
    <w:rsid w:val="00831603"/>
    <w:rsid w:val="00832AA4"/>
    <w:rsid w:val="00833196"/>
    <w:rsid w:val="00834663"/>
    <w:rsid w:val="00836136"/>
    <w:rsid w:val="008362F1"/>
    <w:rsid w:val="00836BE9"/>
    <w:rsid w:val="00837F1C"/>
    <w:rsid w:val="0084014D"/>
    <w:rsid w:val="00840917"/>
    <w:rsid w:val="008425F5"/>
    <w:rsid w:val="008477B4"/>
    <w:rsid w:val="00851A08"/>
    <w:rsid w:val="008526DF"/>
    <w:rsid w:val="008527DF"/>
    <w:rsid w:val="008545B3"/>
    <w:rsid w:val="0085477E"/>
    <w:rsid w:val="00855E90"/>
    <w:rsid w:val="00857FD7"/>
    <w:rsid w:val="00860CA7"/>
    <w:rsid w:val="00860FAD"/>
    <w:rsid w:val="00861AE4"/>
    <w:rsid w:val="00862216"/>
    <w:rsid w:val="00862809"/>
    <w:rsid w:val="00862F7D"/>
    <w:rsid w:val="00864FE8"/>
    <w:rsid w:val="00865397"/>
    <w:rsid w:val="008663CF"/>
    <w:rsid w:val="00870022"/>
    <w:rsid w:val="00871E4A"/>
    <w:rsid w:val="00872611"/>
    <w:rsid w:val="00875232"/>
    <w:rsid w:val="0088045B"/>
    <w:rsid w:val="008860B0"/>
    <w:rsid w:val="0088740D"/>
    <w:rsid w:val="00887E7C"/>
    <w:rsid w:val="00891127"/>
    <w:rsid w:val="008911E7"/>
    <w:rsid w:val="008917F2"/>
    <w:rsid w:val="00891C65"/>
    <w:rsid w:val="008926AF"/>
    <w:rsid w:val="008943E0"/>
    <w:rsid w:val="0089453C"/>
    <w:rsid w:val="00894906"/>
    <w:rsid w:val="00897186"/>
    <w:rsid w:val="00897D23"/>
    <w:rsid w:val="00897EDC"/>
    <w:rsid w:val="008A07EA"/>
    <w:rsid w:val="008A15D5"/>
    <w:rsid w:val="008A2137"/>
    <w:rsid w:val="008A2B57"/>
    <w:rsid w:val="008A520E"/>
    <w:rsid w:val="008A5478"/>
    <w:rsid w:val="008A7BC6"/>
    <w:rsid w:val="008B2731"/>
    <w:rsid w:val="008B2D3C"/>
    <w:rsid w:val="008B4874"/>
    <w:rsid w:val="008B6B38"/>
    <w:rsid w:val="008B6DCE"/>
    <w:rsid w:val="008B7220"/>
    <w:rsid w:val="008C03D8"/>
    <w:rsid w:val="008C2451"/>
    <w:rsid w:val="008C2948"/>
    <w:rsid w:val="008C4B3A"/>
    <w:rsid w:val="008C4C47"/>
    <w:rsid w:val="008C50B5"/>
    <w:rsid w:val="008C5F87"/>
    <w:rsid w:val="008C6481"/>
    <w:rsid w:val="008C6544"/>
    <w:rsid w:val="008D0314"/>
    <w:rsid w:val="008D079A"/>
    <w:rsid w:val="008D35E8"/>
    <w:rsid w:val="008D542F"/>
    <w:rsid w:val="008D5973"/>
    <w:rsid w:val="008D621A"/>
    <w:rsid w:val="008D676B"/>
    <w:rsid w:val="008E0F81"/>
    <w:rsid w:val="008E3F4F"/>
    <w:rsid w:val="008E42B3"/>
    <w:rsid w:val="008E5E9F"/>
    <w:rsid w:val="008F14C3"/>
    <w:rsid w:val="008F2107"/>
    <w:rsid w:val="008F2C50"/>
    <w:rsid w:val="008F2CA4"/>
    <w:rsid w:val="008F2DDB"/>
    <w:rsid w:val="008F4059"/>
    <w:rsid w:val="008F61D2"/>
    <w:rsid w:val="008F77F4"/>
    <w:rsid w:val="008F78D3"/>
    <w:rsid w:val="008F7CED"/>
    <w:rsid w:val="0090070D"/>
    <w:rsid w:val="00900838"/>
    <w:rsid w:val="0090378B"/>
    <w:rsid w:val="0090671B"/>
    <w:rsid w:val="00906AB8"/>
    <w:rsid w:val="0091274D"/>
    <w:rsid w:val="009130EC"/>
    <w:rsid w:val="00913EC5"/>
    <w:rsid w:val="00913F0D"/>
    <w:rsid w:val="0091415E"/>
    <w:rsid w:val="009158E3"/>
    <w:rsid w:val="009160FF"/>
    <w:rsid w:val="00920F6F"/>
    <w:rsid w:val="00922782"/>
    <w:rsid w:val="00922D41"/>
    <w:rsid w:val="00923B3D"/>
    <w:rsid w:val="00924021"/>
    <w:rsid w:val="009244EF"/>
    <w:rsid w:val="009244FB"/>
    <w:rsid w:val="00925628"/>
    <w:rsid w:val="00926257"/>
    <w:rsid w:val="00927C9F"/>
    <w:rsid w:val="00930804"/>
    <w:rsid w:val="00931D98"/>
    <w:rsid w:val="0093256F"/>
    <w:rsid w:val="00934F0F"/>
    <w:rsid w:val="009351DE"/>
    <w:rsid w:val="0094440B"/>
    <w:rsid w:val="00944798"/>
    <w:rsid w:val="00945632"/>
    <w:rsid w:val="009465E2"/>
    <w:rsid w:val="00950A91"/>
    <w:rsid w:val="00950C80"/>
    <w:rsid w:val="009530AE"/>
    <w:rsid w:val="00955CC4"/>
    <w:rsid w:val="00955DEE"/>
    <w:rsid w:val="0095756E"/>
    <w:rsid w:val="00960AAE"/>
    <w:rsid w:val="009616C0"/>
    <w:rsid w:val="009621AF"/>
    <w:rsid w:val="00963CB1"/>
    <w:rsid w:val="00966EE3"/>
    <w:rsid w:val="00967AE8"/>
    <w:rsid w:val="009700D7"/>
    <w:rsid w:val="00971082"/>
    <w:rsid w:val="0097232D"/>
    <w:rsid w:val="00972FFD"/>
    <w:rsid w:val="009730C1"/>
    <w:rsid w:val="0097367A"/>
    <w:rsid w:val="00973A38"/>
    <w:rsid w:val="00974106"/>
    <w:rsid w:val="009749A2"/>
    <w:rsid w:val="0097521E"/>
    <w:rsid w:val="00976666"/>
    <w:rsid w:val="0097798C"/>
    <w:rsid w:val="0098147D"/>
    <w:rsid w:val="009827D0"/>
    <w:rsid w:val="0098321B"/>
    <w:rsid w:val="00983D7C"/>
    <w:rsid w:val="00984C4D"/>
    <w:rsid w:val="0098577A"/>
    <w:rsid w:val="00985E79"/>
    <w:rsid w:val="00985FBF"/>
    <w:rsid w:val="00987A8B"/>
    <w:rsid w:val="00990357"/>
    <w:rsid w:val="009907CE"/>
    <w:rsid w:val="00993740"/>
    <w:rsid w:val="0099442E"/>
    <w:rsid w:val="0099673E"/>
    <w:rsid w:val="00996BF9"/>
    <w:rsid w:val="00996D24"/>
    <w:rsid w:val="009A068D"/>
    <w:rsid w:val="009A0A72"/>
    <w:rsid w:val="009A1A90"/>
    <w:rsid w:val="009A2122"/>
    <w:rsid w:val="009A3907"/>
    <w:rsid w:val="009A3ACC"/>
    <w:rsid w:val="009A3CC6"/>
    <w:rsid w:val="009A3DB6"/>
    <w:rsid w:val="009A5090"/>
    <w:rsid w:val="009A56E3"/>
    <w:rsid w:val="009A71AE"/>
    <w:rsid w:val="009B14DD"/>
    <w:rsid w:val="009B1615"/>
    <w:rsid w:val="009B2E6B"/>
    <w:rsid w:val="009B308B"/>
    <w:rsid w:val="009B461B"/>
    <w:rsid w:val="009B465F"/>
    <w:rsid w:val="009B4A5D"/>
    <w:rsid w:val="009B5B90"/>
    <w:rsid w:val="009B619A"/>
    <w:rsid w:val="009B78A0"/>
    <w:rsid w:val="009C0B36"/>
    <w:rsid w:val="009C0E66"/>
    <w:rsid w:val="009C1296"/>
    <w:rsid w:val="009C1DF6"/>
    <w:rsid w:val="009C2530"/>
    <w:rsid w:val="009C3B0A"/>
    <w:rsid w:val="009C42EB"/>
    <w:rsid w:val="009C5B56"/>
    <w:rsid w:val="009C73A8"/>
    <w:rsid w:val="009C7CD2"/>
    <w:rsid w:val="009D028E"/>
    <w:rsid w:val="009D4D78"/>
    <w:rsid w:val="009D61B0"/>
    <w:rsid w:val="009D63EE"/>
    <w:rsid w:val="009E2197"/>
    <w:rsid w:val="009E42B2"/>
    <w:rsid w:val="009E7012"/>
    <w:rsid w:val="009E71E0"/>
    <w:rsid w:val="009F0BA8"/>
    <w:rsid w:val="009F1A53"/>
    <w:rsid w:val="009F1FB5"/>
    <w:rsid w:val="009F2219"/>
    <w:rsid w:val="009F2C41"/>
    <w:rsid w:val="009F3135"/>
    <w:rsid w:val="009F53F2"/>
    <w:rsid w:val="009F705C"/>
    <w:rsid w:val="009F7148"/>
    <w:rsid w:val="009F7868"/>
    <w:rsid w:val="00A004B9"/>
    <w:rsid w:val="00A00712"/>
    <w:rsid w:val="00A012BF"/>
    <w:rsid w:val="00A014ED"/>
    <w:rsid w:val="00A018AC"/>
    <w:rsid w:val="00A018BC"/>
    <w:rsid w:val="00A029C2"/>
    <w:rsid w:val="00A02B5E"/>
    <w:rsid w:val="00A02D56"/>
    <w:rsid w:val="00A03CB5"/>
    <w:rsid w:val="00A04F2E"/>
    <w:rsid w:val="00A07D89"/>
    <w:rsid w:val="00A07E03"/>
    <w:rsid w:val="00A10954"/>
    <w:rsid w:val="00A1227D"/>
    <w:rsid w:val="00A12A3F"/>
    <w:rsid w:val="00A12A68"/>
    <w:rsid w:val="00A13E17"/>
    <w:rsid w:val="00A15529"/>
    <w:rsid w:val="00A218F5"/>
    <w:rsid w:val="00A21F47"/>
    <w:rsid w:val="00A22080"/>
    <w:rsid w:val="00A235AA"/>
    <w:rsid w:val="00A236A6"/>
    <w:rsid w:val="00A244E6"/>
    <w:rsid w:val="00A245B0"/>
    <w:rsid w:val="00A24989"/>
    <w:rsid w:val="00A2544F"/>
    <w:rsid w:val="00A25C87"/>
    <w:rsid w:val="00A26F0B"/>
    <w:rsid w:val="00A30A65"/>
    <w:rsid w:val="00A30FE8"/>
    <w:rsid w:val="00A315B9"/>
    <w:rsid w:val="00A324CD"/>
    <w:rsid w:val="00A3338A"/>
    <w:rsid w:val="00A34D0E"/>
    <w:rsid w:val="00A35187"/>
    <w:rsid w:val="00A35A09"/>
    <w:rsid w:val="00A3687B"/>
    <w:rsid w:val="00A400E4"/>
    <w:rsid w:val="00A4234A"/>
    <w:rsid w:val="00A439EF"/>
    <w:rsid w:val="00A44273"/>
    <w:rsid w:val="00A463B6"/>
    <w:rsid w:val="00A4660A"/>
    <w:rsid w:val="00A50804"/>
    <w:rsid w:val="00A52852"/>
    <w:rsid w:val="00A52911"/>
    <w:rsid w:val="00A52987"/>
    <w:rsid w:val="00A564F6"/>
    <w:rsid w:val="00A60337"/>
    <w:rsid w:val="00A611BC"/>
    <w:rsid w:val="00A61787"/>
    <w:rsid w:val="00A62E58"/>
    <w:rsid w:val="00A63D34"/>
    <w:rsid w:val="00A65206"/>
    <w:rsid w:val="00A6604B"/>
    <w:rsid w:val="00A66646"/>
    <w:rsid w:val="00A71765"/>
    <w:rsid w:val="00A71E51"/>
    <w:rsid w:val="00A72BC7"/>
    <w:rsid w:val="00A72E14"/>
    <w:rsid w:val="00A72FC5"/>
    <w:rsid w:val="00A73006"/>
    <w:rsid w:val="00A7325A"/>
    <w:rsid w:val="00A739E3"/>
    <w:rsid w:val="00A74778"/>
    <w:rsid w:val="00A7546B"/>
    <w:rsid w:val="00A7557C"/>
    <w:rsid w:val="00A76332"/>
    <w:rsid w:val="00A7668E"/>
    <w:rsid w:val="00A80484"/>
    <w:rsid w:val="00A826B3"/>
    <w:rsid w:val="00A84EFE"/>
    <w:rsid w:val="00A8668C"/>
    <w:rsid w:val="00A903F7"/>
    <w:rsid w:val="00A92DE1"/>
    <w:rsid w:val="00A935AB"/>
    <w:rsid w:val="00A93A59"/>
    <w:rsid w:val="00AA023F"/>
    <w:rsid w:val="00AA0252"/>
    <w:rsid w:val="00AA068D"/>
    <w:rsid w:val="00AA0DC5"/>
    <w:rsid w:val="00AA1736"/>
    <w:rsid w:val="00AA2932"/>
    <w:rsid w:val="00AA2BE3"/>
    <w:rsid w:val="00AA5190"/>
    <w:rsid w:val="00AA6E39"/>
    <w:rsid w:val="00AA7EF5"/>
    <w:rsid w:val="00AA7FAD"/>
    <w:rsid w:val="00AB132F"/>
    <w:rsid w:val="00AB20AA"/>
    <w:rsid w:val="00AB216A"/>
    <w:rsid w:val="00AB33F8"/>
    <w:rsid w:val="00AB4C69"/>
    <w:rsid w:val="00AB5576"/>
    <w:rsid w:val="00AB5984"/>
    <w:rsid w:val="00AB5A28"/>
    <w:rsid w:val="00AB6A53"/>
    <w:rsid w:val="00AC06DF"/>
    <w:rsid w:val="00AC0782"/>
    <w:rsid w:val="00AC229A"/>
    <w:rsid w:val="00AC2BEC"/>
    <w:rsid w:val="00AC44C5"/>
    <w:rsid w:val="00AC506C"/>
    <w:rsid w:val="00AD15DD"/>
    <w:rsid w:val="00AD1B88"/>
    <w:rsid w:val="00AD2891"/>
    <w:rsid w:val="00AD30D5"/>
    <w:rsid w:val="00AD33F4"/>
    <w:rsid w:val="00AD5C27"/>
    <w:rsid w:val="00AD63E2"/>
    <w:rsid w:val="00AD7DB2"/>
    <w:rsid w:val="00AE03AD"/>
    <w:rsid w:val="00AE0FA2"/>
    <w:rsid w:val="00AE28C5"/>
    <w:rsid w:val="00AE423E"/>
    <w:rsid w:val="00AE4D87"/>
    <w:rsid w:val="00AE555B"/>
    <w:rsid w:val="00AE707B"/>
    <w:rsid w:val="00AE7345"/>
    <w:rsid w:val="00AE7A3B"/>
    <w:rsid w:val="00AE7A4A"/>
    <w:rsid w:val="00AE7A9B"/>
    <w:rsid w:val="00AF2150"/>
    <w:rsid w:val="00AF3499"/>
    <w:rsid w:val="00AF48CD"/>
    <w:rsid w:val="00AF5004"/>
    <w:rsid w:val="00AF513D"/>
    <w:rsid w:val="00AF5179"/>
    <w:rsid w:val="00AF52BF"/>
    <w:rsid w:val="00AF5576"/>
    <w:rsid w:val="00B036B4"/>
    <w:rsid w:val="00B039F0"/>
    <w:rsid w:val="00B04935"/>
    <w:rsid w:val="00B0499F"/>
    <w:rsid w:val="00B05458"/>
    <w:rsid w:val="00B056CD"/>
    <w:rsid w:val="00B05794"/>
    <w:rsid w:val="00B10657"/>
    <w:rsid w:val="00B10B49"/>
    <w:rsid w:val="00B12017"/>
    <w:rsid w:val="00B1251E"/>
    <w:rsid w:val="00B143D0"/>
    <w:rsid w:val="00B15939"/>
    <w:rsid w:val="00B15F1F"/>
    <w:rsid w:val="00B20329"/>
    <w:rsid w:val="00B2101B"/>
    <w:rsid w:val="00B22C98"/>
    <w:rsid w:val="00B23344"/>
    <w:rsid w:val="00B2644B"/>
    <w:rsid w:val="00B33D31"/>
    <w:rsid w:val="00B34265"/>
    <w:rsid w:val="00B34E54"/>
    <w:rsid w:val="00B3541C"/>
    <w:rsid w:val="00B35D20"/>
    <w:rsid w:val="00B36180"/>
    <w:rsid w:val="00B36A19"/>
    <w:rsid w:val="00B37CC2"/>
    <w:rsid w:val="00B403E5"/>
    <w:rsid w:val="00B4174E"/>
    <w:rsid w:val="00B41C46"/>
    <w:rsid w:val="00B43581"/>
    <w:rsid w:val="00B438EC"/>
    <w:rsid w:val="00B43920"/>
    <w:rsid w:val="00B45504"/>
    <w:rsid w:val="00B45CFB"/>
    <w:rsid w:val="00B4648B"/>
    <w:rsid w:val="00B46BBD"/>
    <w:rsid w:val="00B4755D"/>
    <w:rsid w:val="00B51981"/>
    <w:rsid w:val="00B53733"/>
    <w:rsid w:val="00B5420F"/>
    <w:rsid w:val="00B54837"/>
    <w:rsid w:val="00B54F7D"/>
    <w:rsid w:val="00B558B9"/>
    <w:rsid w:val="00B55CB0"/>
    <w:rsid w:val="00B55E66"/>
    <w:rsid w:val="00B60C44"/>
    <w:rsid w:val="00B60E5A"/>
    <w:rsid w:val="00B61824"/>
    <w:rsid w:val="00B62004"/>
    <w:rsid w:val="00B6234E"/>
    <w:rsid w:val="00B63957"/>
    <w:rsid w:val="00B64171"/>
    <w:rsid w:val="00B64A61"/>
    <w:rsid w:val="00B64E65"/>
    <w:rsid w:val="00B650F9"/>
    <w:rsid w:val="00B65A50"/>
    <w:rsid w:val="00B65FEF"/>
    <w:rsid w:val="00B66665"/>
    <w:rsid w:val="00B66734"/>
    <w:rsid w:val="00B66BEB"/>
    <w:rsid w:val="00B673E1"/>
    <w:rsid w:val="00B71759"/>
    <w:rsid w:val="00B72769"/>
    <w:rsid w:val="00B73D5E"/>
    <w:rsid w:val="00B73FF2"/>
    <w:rsid w:val="00B741A3"/>
    <w:rsid w:val="00B74740"/>
    <w:rsid w:val="00B75162"/>
    <w:rsid w:val="00B76094"/>
    <w:rsid w:val="00B76EFD"/>
    <w:rsid w:val="00B80C2F"/>
    <w:rsid w:val="00B80D00"/>
    <w:rsid w:val="00B819CF"/>
    <w:rsid w:val="00B81A03"/>
    <w:rsid w:val="00B847A9"/>
    <w:rsid w:val="00B87DFA"/>
    <w:rsid w:val="00B90D70"/>
    <w:rsid w:val="00B91CB9"/>
    <w:rsid w:val="00B91D0B"/>
    <w:rsid w:val="00B9289F"/>
    <w:rsid w:val="00B92E43"/>
    <w:rsid w:val="00B95507"/>
    <w:rsid w:val="00B96477"/>
    <w:rsid w:val="00B96F85"/>
    <w:rsid w:val="00BA14DD"/>
    <w:rsid w:val="00BA1E1C"/>
    <w:rsid w:val="00BA20C5"/>
    <w:rsid w:val="00BA41C1"/>
    <w:rsid w:val="00BB1723"/>
    <w:rsid w:val="00BB2449"/>
    <w:rsid w:val="00BB2588"/>
    <w:rsid w:val="00BB26C6"/>
    <w:rsid w:val="00BB4F8E"/>
    <w:rsid w:val="00BB58D9"/>
    <w:rsid w:val="00BB59CD"/>
    <w:rsid w:val="00BB5D81"/>
    <w:rsid w:val="00BC0484"/>
    <w:rsid w:val="00BC2696"/>
    <w:rsid w:val="00BC4176"/>
    <w:rsid w:val="00BC43BD"/>
    <w:rsid w:val="00BC5AA8"/>
    <w:rsid w:val="00BD0080"/>
    <w:rsid w:val="00BD0383"/>
    <w:rsid w:val="00BD1181"/>
    <w:rsid w:val="00BD154E"/>
    <w:rsid w:val="00BD33C9"/>
    <w:rsid w:val="00BD3808"/>
    <w:rsid w:val="00BD3892"/>
    <w:rsid w:val="00BD3E55"/>
    <w:rsid w:val="00BD4885"/>
    <w:rsid w:val="00BD611D"/>
    <w:rsid w:val="00BD6472"/>
    <w:rsid w:val="00BD7579"/>
    <w:rsid w:val="00BE16F8"/>
    <w:rsid w:val="00BE1843"/>
    <w:rsid w:val="00BE3516"/>
    <w:rsid w:val="00BE42F5"/>
    <w:rsid w:val="00BE6076"/>
    <w:rsid w:val="00BE7248"/>
    <w:rsid w:val="00BE7570"/>
    <w:rsid w:val="00BF1291"/>
    <w:rsid w:val="00BF20D4"/>
    <w:rsid w:val="00BF2565"/>
    <w:rsid w:val="00BF2748"/>
    <w:rsid w:val="00BF6726"/>
    <w:rsid w:val="00BF749B"/>
    <w:rsid w:val="00BF7910"/>
    <w:rsid w:val="00C00927"/>
    <w:rsid w:val="00C03193"/>
    <w:rsid w:val="00C04A6C"/>
    <w:rsid w:val="00C06C4C"/>
    <w:rsid w:val="00C075B4"/>
    <w:rsid w:val="00C117E2"/>
    <w:rsid w:val="00C11B06"/>
    <w:rsid w:val="00C11B54"/>
    <w:rsid w:val="00C1217C"/>
    <w:rsid w:val="00C12CDF"/>
    <w:rsid w:val="00C12E75"/>
    <w:rsid w:val="00C13ED5"/>
    <w:rsid w:val="00C14C5E"/>
    <w:rsid w:val="00C16C06"/>
    <w:rsid w:val="00C173B3"/>
    <w:rsid w:val="00C17FDD"/>
    <w:rsid w:val="00C20309"/>
    <w:rsid w:val="00C204A5"/>
    <w:rsid w:val="00C22D0E"/>
    <w:rsid w:val="00C2467F"/>
    <w:rsid w:val="00C2646A"/>
    <w:rsid w:val="00C30805"/>
    <w:rsid w:val="00C30F2D"/>
    <w:rsid w:val="00C31651"/>
    <w:rsid w:val="00C32084"/>
    <w:rsid w:val="00C3459F"/>
    <w:rsid w:val="00C34FEA"/>
    <w:rsid w:val="00C360AB"/>
    <w:rsid w:val="00C36662"/>
    <w:rsid w:val="00C366FB"/>
    <w:rsid w:val="00C3674D"/>
    <w:rsid w:val="00C368A6"/>
    <w:rsid w:val="00C40C13"/>
    <w:rsid w:val="00C40C31"/>
    <w:rsid w:val="00C423C1"/>
    <w:rsid w:val="00C42999"/>
    <w:rsid w:val="00C433F1"/>
    <w:rsid w:val="00C44000"/>
    <w:rsid w:val="00C44566"/>
    <w:rsid w:val="00C44DAB"/>
    <w:rsid w:val="00C46AF6"/>
    <w:rsid w:val="00C46BD8"/>
    <w:rsid w:val="00C47238"/>
    <w:rsid w:val="00C47FDE"/>
    <w:rsid w:val="00C5088E"/>
    <w:rsid w:val="00C530F2"/>
    <w:rsid w:val="00C55317"/>
    <w:rsid w:val="00C55613"/>
    <w:rsid w:val="00C55D8E"/>
    <w:rsid w:val="00C56430"/>
    <w:rsid w:val="00C5666E"/>
    <w:rsid w:val="00C56F61"/>
    <w:rsid w:val="00C57005"/>
    <w:rsid w:val="00C57B32"/>
    <w:rsid w:val="00C60E2F"/>
    <w:rsid w:val="00C63D3D"/>
    <w:rsid w:val="00C64690"/>
    <w:rsid w:val="00C65545"/>
    <w:rsid w:val="00C70077"/>
    <w:rsid w:val="00C706CD"/>
    <w:rsid w:val="00C71907"/>
    <w:rsid w:val="00C719CA"/>
    <w:rsid w:val="00C71B33"/>
    <w:rsid w:val="00C720A7"/>
    <w:rsid w:val="00C7298E"/>
    <w:rsid w:val="00C731C2"/>
    <w:rsid w:val="00C739DA"/>
    <w:rsid w:val="00C755A1"/>
    <w:rsid w:val="00C7583E"/>
    <w:rsid w:val="00C76655"/>
    <w:rsid w:val="00C77457"/>
    <w:rsid w:val="00C80051"/>
    <w:rsid w:val="00C81830"/>
    <w:rsid w:val="00C8227F"/>
    <w:rsid w:val="00C83CE7"/>
    <w:rsid w:val="00C85346"/>
    <w:rsid w:val="00C85BA9"/>
    <w:rsid w:val="00C86076"/>
    <w:rsid w:val="00C867A2"/>
    <w:rsid w:val="00C86BAA"/>
    <w:rsid w:val="00C86D17"/>
    <w:rsid w:val="00C86E86"/>
    <w:rsid w:val="00C87264"/>
    <w:rsid w:val="00C87D36"/>
    <w:rsid w:val="00C90D91"/>
    <w:rsid w:val="00C90E67"/>
    <w:rsid w:val="00C919F3"/>
    <w:rsid w:val="00C928EB"/>
    <w:rsid w:val="00C93C68"/>
    <w:rsid w:val="00C93FBE"/>
    <w:rsid w:val="00C95BF4"/>
    <w:rsid w:val="00C96866"/>
    <w:rsid w:val="00C97643"/>
    <w:rsid w:val="00CA0014"/>
    <w:rsid w:val="00CA0E01"/>
    <w:rsid w:val="00CA28FB"/>
    <w:rsid w:val="00CA3159"/>
    <w:rsid w:val="00CA34D1"/>
    <w:rsid w:val="00CA44DA"/>
    <w:rsid w:val="00CA4841"/>
    <w:rsid w:val="00CA499E"/>
    <w:rsid w:val="00CA4A6B"/>
    <w:rsid w:val="00CA57DF"/>
    <w:rsid w:val="00CA63B1"/>
    <w:rsid w:val="00CA654C"/>
    <w:rsid w:val="00CA6B09"/>
    <w:rsid w:val="00CA6C4F"/>
    <w:rsid w:val="00CA704C"/>
    <w:rsid w:val="00CA7E74"/>
    <w:rsid w:val="00CB1425"/>
    <w:rsid w:val="00CB572F"/>
    <w:rsid w:val="00CB5B78"/>
    <w:rsid w:val="00CB6DAB"/>
    <w:rsid w:val="00CC0478"/>
    <w:rsid w:val="00CC0D1D"/>
    <w:rsid w:val="00CC153F"/>
    <w:rsid w:val="00CC23C6"/>
    <w:rsid w:val="00CC34B1"/>
    <w:rsid w:val="00CC3948"/>
    <w:rsid w:val="00CC43FB"/>
    <w:rsid w:val="00CC5699"/>
    <w:rsid w:val="00CC6115"/>
    <w:rsid w:val="00CC626B"/>
    <w:rsid w:val="00CC7744"/>
    <w:rsid w:val="00CD2DC3"/>
    <w:rsid w:val="00CD316D"/>
    <w:rsid w:val="00CD47F4"/>
    <w:rsid w:val="00CD4B72"/>
    <w:rsid w:val="00CD59D9"/>
    <w:rsid w:val="00CD69A6"/>
    <w:rsid w:val="00CD6DFC"/>
    <w:rsid w:val="00CD74B6"/>
    <w:rsid w:val="00CE1288"/>
    <w:rsid w:val="00CE142A"/>
    <w:rsid w:val="00CE1917"/>
    <w:rsid w:val="00CE1A8A"/>
    <w:rsid w:val="00CE40BE"/>
    <w:rsid w:val="00CE6EE7"/>
    <w:rsid w:val="00CF17AA"/>
    <w:rsid w:val="00CF3A3A"/>
    <w:rsid w:val="00CF525E"/>
    <w:rsid w:val="00CF5B5E"/>
    <w:rsid w:val="00CF6848"/>
    <w:rsid w:val="00CF73A8"/>
    <w:rsid w:val="00D004BC"/>
    <w:rsid w:val="00D024F8"/>
    <w:rsid w:val="00D058E5"/>
    <w:rsid w:val="00D0743B"/>
    <w:rsid w:val="00D077CD"/>
    <w:rsid w:val="00D07A63"/>
    <w:rsid w:val="00D10152"/>
    <w:rsid w:val="00D1248A"/>
    <w:rsid w:val="00D12B09"/>
    <w:rsid w:val="00D13010"/>
    <w:rsid w:val="00D13D70"/>
    <w:rsid w:val="00D1434A"/>
    <w:rsid w:val="00D1438A"/>
    <w:rsid w:val="00D178C3"/>
    <w:rsid w:val="00D17BB7"/>
    <w:rsid w:val="00D2152D"/>
    <w:rsid w:val="00D21CF6"/>
    <w:rsid w:val="00D220C3"/>
    <w:rsid w:val="00D22765"/>
    <w:rsid w:val="00D22E98"/>
    <w:rsid w:val="00D25492"/>
    <w:rsid w:val="00D2627F"/>
    <w:rsid w:val="00D26364"/>
    <w:rsid w:val="00D2657C"/>
    <w:rsid w:val="00D27806"/>
    <w:rsid w:val="00D27B95"/>
    <w:rsid w:val="00D31E1F"/>
    <w:rsid w:val="00D327A2"/>
    <w:rsid w:val="00D333D0"/>
    <w:rsid w:val="00D33A99"/>
    <w:rsid w:val="00D340CA"/>
    <w:rsid w:val="00D34351"/>
    <w:rsid w:val="00D354F1"/>
    <w:rsid w:val="00D35CDB"/>
    <w:rsid w:val="00D36563"/>
    <w:rsid w:val="00D36714"/>
    <w:rsid w:val="00D374C8"/>
    <w:rsid w:val="00D40AA2"/>
    <w:rsid w:val="00D4102F"/>
    <w:rsid w:val="00D41D04"/>
    <w:rsid w:val="00D42A52"/>
    <w:rsid w:val="00D43FCE"/>
    <w:rsid w:val="00D442F8"/>
    <w:rsid w:val="00D44A25"/>
    <w:rsid w:val="00D46619"/>
    <w:rsid w:val="00D50AEF"/>
    <w:rsid w:val="00D50B37"/>
    <w:rsid w:val="00D50FAC"/>
    <w:rsid w:val="00D5141E"/>
    <w:rsid w:val="00D5231D"/>
    <w:rsid w:val="00D52530"/>
    <w:rsid w:val="00D527C8"/>
    <w:rsid w:val="00D53742"/>
    <w:rsid w:val="00D53CEF"/>
    <w:rsid w:val="00D552E9"/>
    <w:rsid w:val="00D57D41"/>
    <w:rsid w:val="00D60029"/>
    <w:rsid w:val="00D60CC7"/>
    <w:rsid w:val="00D60F83"/>
    <w:rsid w:val="00D60FAD"/>
    <w:rsid w:val="00D61FBA"/>
    <w:rsid w:val="00D63037"/>
    <w:rsid w:val="00D63398"/>
    <w:rsid w:val="00D67EE4"/>
    <w:rsid w:val="00D70C1F"/>
    <w:rsid w:val="00D7245F"/>
    <w:rsid w:val="00D72A2A"/>
    <w:rsid w:val="00D7335D"/>
    <w:rsid w:val="00D734D4"/>
    <w:rsid w:val="00D74B66"/>
    <w:rsid w:val="00D77169"/>
    <w:rsid w:val="00D7796F"/>
    <w:rsid w:val="00D80880"/>
    <w:rsid w:val="00D868B0"/>
    <w:rsid w:val="00D90303"/>
    <w:rsid w:val="00D90505"/>
    <w:rsid w:val="00D90807"/>
    <w:rsid w:val="00D90C11"/>
    <w:rsid w:val="00D91F67"/>
    <w:rsid w:val="00D93712"/>
    <w:rsid w:val="00D93A67"/>
    <w:rsid w:val="00D94121"/>
    <w:rsid w:val="00D94143"/>
    <w:rsid w:val="00D95071"/>
    <w:rsid w:val="00D95230"/>
    <w:rsid w:val="00D953FD"/>
    <w:rsid w:val="00D961BA"/>
    <w:rsid w:val="00D978AD"/>
    <w:rsid w:val="00DA31C1"/>
    <w:rsid w:val="00DA3E08"/>
    <w:rsid w:val="00DA4BFD"/>
    <w:rsid w:val="00DA61B9"/>
    <w:rsid w:val="00DA6519"/>
    <w:rsid w:val="00DA65A3"/>
    <w:rsid w:val="00DA67E4"/>
    <w:rsid w:val="00DA7250"/>
    <w:rsid w:val="00DB0AB4"/>
    <w:rsid w:val="00DB4978"/>
    <w:rsid w:val="00DB6371"/>
    <w:rsid w:val="00DB64CD"/>
    <w:rsid w:val="00DB7C0B"/>
    <w:rsid w:val="00DC098D"/>
    <w:rsid w:val="00DC1AB2"/>
    <w:rsid w:val="00DC2213"/>
    <w:rsid w:val="00DC2623"/>
    <w:rsid w:val="00DC2C3D"/>
    <w:rsid w:val="00DC46F0"/>
    <w:rsid w:val="00DC6C56"/>
    <w:rsid w:val="00DC7EB2"/>
    <w:rsid w:val="00DC7ED2"/>
    <w:rsid w:val="00DD06F6"/>
    <w:rsid w:val="00DD0B90"/>
    <w:rsid w:val="00DD0DA9"/>
    <w:rsid w:val="00DD441E"/>
    <w:rsid w:val="00DD44C6"/>
    <w:rsid w:val="00DD4D86"/>
    <w:rsid w:val="00DE0809"/>
    <w:rsid w:val="00DE313C"/>
    <w:rsid w:val="00DE347F"/>
    <w:rsid w:val="00DE5287"/>
    <w:rsid w:val="00DE52C8"/>
    <w:rsid w:val="00DE6006"/>
    <w:rsid w:val="00DE6848"/>
    <w:rsid w:val="00DE7BBE"/>
    <w:rsid w:val="00DE7FFA"/>
    <w:rsid w:val="00DF034B"/>
    <w:rsid w:val="00DF11BF"/>
    <w:rsid w:val="00DF20B9"/>
    <w:rsid w:val="00DF2435"/>
    <w:rsid w:val="00DF2AAE"/>
    <w:rsid w:val="00DF2F6D"/>
    <w:rsid w:val="00DF377B"/>
    <w:rsid w:val="00DF3EA3"/>
    <w:rsid w:val="00DF4498"/>
    <w:rsid w:val="00DF5F7F"/>
    <w:rsid w:val="00DF7B96"/>
    <w:rsid w:val="00DF7CAA"/>
    <w:rsid w:val="00DF7D32"/>
    <w:rsid w:val="00E000C7"/>
    <w:rsid w:val="00E0025F"/>
    <w:rsid w:val="00E007A0"/>
    <w:rsid w:val="00E01262"/>
    <w:rsid w:val="00E0273A"/>
    <w:rsid w:val="00E02EDF"/>
    <w:rsid w:val="00E0321F"/>
    <w:rsid w:val="00E04840"/>
    <w:rsid w:val="00E05B27"/>
    <w:rsid w:val="00E0616B"/>
    <w:rsid w:val="00E10E31"/>
    <w:rsid w:val="00E11ED1"/>
    <w:rsid w:val="00E12265"/>
    <w:rsid w:val="00E124B8"/>
    <w:rsid w:val="00E138E5"/>
    <w:rsid w:val="00E15502"/>
    <w:rsid w:val="00E166DD"/>
    <w:rsid w:val="00E168DE"/>
    <w:rsid w:val="00E169C6"/>
    <w:rsid w:val="00E16E94"/>
    <w:rsid w:val="00E17505"/>
    <w:rsid w:val="00E20A6D"/>
    <w:rsid w:val="00E218C1"/>
    <w:rsid w:val="00E22B24"/>
    <w:rsid w:val="00E235CE"/>
    <w:rsid w:val="00E23731"/>
    <w:rsid w:val="00E23A10"/>
    <w:rsid w:val="00E24B73"/>
    <w:rsid w:val="00E25906"/>
    <w:rsid w:val="00E26D08"/>
    <w:rsid w:val="00E26D0E"/>
    <w:rsid w:val="00E26F96"/>
    <w:rsid w:val="00E275E9"/>
    <w:rsid w:val="00E27DFC"/>
    <w:rsid w:val="00E346A1"/>
    <w:rsid w:val="00E34B82"/>
    <w:rsid w:val="00E37445"/>
    <w:rsid w:val="00E40400"/>
    <w:rsid w:val="00E413C3"/>
    <w:rsid w:val="00E418C4"/>
    <w:rsid w:val="00E4192E"/>
    <w:rsid w:val="00E41FB8"/>
    <w:rsid w:val="00E42063"/>
    <w:rsid w:val="00E424B7"/>
    <w:rsid w:val="00E4255B"/>
    <w:rsid w:val="00E42E9E"/>
    <w:rsid w:val="00E43F06"/>
    <w:rsid w:val="00E44A1D"/>
    <w:rsid w:val="00E456E1"/>
    <w:rsid w:val="00E46C75"/>
    <w:rsid w:val="00E46D6C"/>
    <w:rsid w:val="00E514CB"/>
    <w:rsid w:val="00E51822"/>
    <w:rsid w:val="00E529FE"/>
    <w:rsid w:val="00E53275"/>
    <w:rsid w:val="00E543FB"/>
    <w:rsid w:val="00E57F42"/>
    <w:rsid w:val="00E60BC1"/>
    <w:rsid w:val="00E60DC4"/>
    <w:rsid w:val="00E614C9"/>
    <w:rsid w:val="00E62BD9"/>
    <w:rsid w:val="00E6410F"/>
    <w:rsid w:val="00E65917"/>
    <w:rsid w:val="00E66BCF"/>
    <w:rsid w:val="00E67031"/>
    <w:rsid w:val="00E722AA"/>
    <w:rsid w:val="00E7339F"/>
    <w:rsid w:val="00E736DC"/>
    <w:rsid w:val="00E73C89"/>
    <w:rsid w:val="00E73FEE"/>
    <w:rsid w:val="00E749F1"/>
    <w:rsid w:val="00E74ADF"/>
    <w:rsid w:val="00E754F4"/>
    <w:rsid w:val="00E761E9"/>
    <w:rsid w:val="00E76C72"/>
    <w:rsid w:val="00E775AD"/>
    <w:rsid w:val="00E80973"/>
    <w:rsid w:val="00E80B18"/>
    <w:rsid w:val="00E80D47"/>
    <w:rsid w:val="00E81986"/>
    <w:rsid w:val="00E8399C"/>
    <w:rsid w:val="00E841D9"/>
    <w:rsid w:val="00E8479C"/>
    <w:rsid w:val="00E85579"/>
    <w:rsid w:val="00E858BC"/>
    <w:rsid w:val="00E85E2C"/>
    <w:rsid w:val="00E86458"/>
    <w:rsid w:val="00E87825"/>
    <w:rsid w:val="00E910A3"/>
    <w:rsid w:val="00E923A0"/>
    <w:rsid w:val="00E92B1B"/>
    <w:rsid w:val="00E93DDD"/>
    <w:rsid w:val="00E948AC"/>
    <w:rsid w:val="00E95580"/>
    <w:rsid w:val="00E95A8E"/>
    <w:rsid w:val="00E962AE"/>
    <w:rsid w:val="00E969AF"/>
    <w:rsid w:val="00EA13CC"/>
    <w:rsid w:val="00EA372D"/>
    <w:rsid w:val="00EA56AA"/>
    <w:rsid w:val="00EA5949"/>
    <w:rsid w:val="00EA5A83"/>
    <w:rsid w:val="00EA5E0C"/>
    <w:rsid w:val="00EB19BA"/>
    <w:rsid w:val="00EB1BE4"/>
    <w:rsid w:val="00EB22D1"/>
    <w:rsid w:val="00EB298A"/>
    <w:rsid w:val="00EB319F"/>
    <w:rsid w:val="00EB3DCC"/>
    <w:rsid w:val="00EB495B"/>
    <w:rsid w:val="00EB54EE"/>
    <w:rsid w:val="00EB6827"/>
    <w:rsid w:val="00EB6D53"/>
    <w:rsid w:val="00EB77F6"/>
    <w:rsid w:val="00EC058A"/>
    <w:rsid w:val="00EC07CA"/>
    <w:rsid w:val="00EC2804"/>
    <w:rsid w:val="00EC3DA8"/>
    <w:rsid w:val="00EC4407"/>
    <w:rsid w:val="00EC49C6"/>
    <w:rsid w:val="00EC4EC9"/>
    <w:rsid w:val="00EC68B4"/>
    <w:rsid w:val="00EC71FB"/>
    <w:rsid w:val="00EC78AC"/>
    <w:rsid w:val="00EC7EC9"/>
    <w:rsid w:val="00ED2501"/>
    <w:rsid w:val="00ED4A76"/>
    <w:rsid w:val="00ED4C9A"/>
    <w:rsid w:val="00ED670C"/>
    <w:rsid w:val="00ED6CC8"/>
    <w:rsid w:val="00ED7D3C"/>
    <w:rsid w:val="00EE3062"/>
    <w:rsid w:val="00EE3FFC"/>
    <w:rsid w:val="00EE406D"/>
    <w:rsid w:val="00EE570F"/>
    <w:rsid w:val="00EE5D08"/>
    <w:rsid w:val="00EE5D72"/>
    <w:rsid w:val="00EE613D"/>
    <w:rsid w:val="00EE614D"/>
    <w:rsid w:val="00EE6160"/>
    <w:rsid w:val="00EE6495"/>
    <w:rsid w:val="00EE7D41"/>
    <w:rsid w:val="00EF12BB"/>
    <w:rsid w:val="00EF2B22"/>
    <w:rsid w:val="00EF453B"/>
    <w:rsid w:val="00EF51E5"/>
    <w:rsid w:val="00EF5D84"/>
    <w:rsid w:val="00EF75FD"/>
    <w:rsid w:val="00F00903"/>
    <w:rsid w:val="00F0154A"/>
    <w:rsid w:val="00F016B7"/>
    <w:rsid w:val="00F02A49"/>
    <w:rsid w:val="00F035BC"/>
    <w:rsid w:val="00F04570"/>
    <w:rsid w:val="00F04D69"/>
    <w:rsid w:val="00F054CF"/>
    <w:rsid w:val="00F06C5D"/>
    <w:rsid w:val="00F07868"/>
    <w:rsid w:val="00F10356"/>
    <w:rsid w:val="00F1058E"/>
    <w:rsid w:val="00F10C30"/>
    <w:rsid w:val="00F10CEA"/>
    <w:rsid w:val="00F11F7A"/>
    <w:rsid w:val="00F12ED6"/>
    <w:rsid w:val="00F147C3"/>
    <w:rsid w:val="00F14C05"/>
    <w:rsid w:val="00F14FDA"/>
    <w:rsid w:val="00F16583"/>
    <w:rsid w:val="00F16D6A"/>
    <w:rsid w:val="00F20EC1"/>
    <w:rsid w:val="00F2164A"/>
    <w:rsid w:val="00F21B53"/>
    <w:rsid w:val="00F21F02"/>
    <w:rsid w:val="00F22F0A"/>
    <w:rsid w:val="00F2322C"/>
    <w:rsid w:val="00F2360F"/>
    <w:rsid w:val="00F24439"/>
    <w:rsid w:val="00F25617"/>
    <w:rsid w:val="00F25812"/>
    <w:rsid w:val="00F33A07"/>
    <w:rsid w:val="00F341E0"/>
    <w:rsid w:val="00F3437E"/>
    <w:rsid w:val="00F3597D"/>
    <w:rsid w:val="00F36F89"/>
    <w:rsid w:val="00F37232"/>
    <w:rsid w:val="00F37B36"/>
    <w:rsid w:val="00F37FE7"/>
    <w:rsid w:val="00F403F6"/>
    <w:rsid w:val="00F41B60"/>
    <w:rsid w:val="00F420E1"/>
    <w:rsid w:val="00F42B08"/>
    <w:rsid w:val="00F42CCE"/>
    <w:rsid w:val="00F43182"/>
    <w:rsid w:val="00F43458"/>
    <w:rsid w:val="00F43D39"/>
    <w:rsid w:val="00F44434"/>
    <w:rsid w:val="00F44C70"/>
    <w:rsid w:val="00F450E4"/>
    <w:rsid w:val="00F4560F"/>
    <w:rsid w:val="00F45CAA"/>
    <w:rsid w:val="00F50A19"/>
    <w:rsid w:val="00F51D5B"/>
    <w:rsid w:val="00F524A6"/>
    <w:rsid w:val="00F5314B"/>
    <w:rsid w:val="00F53435"/>
    <w:rsid w:val="00F54017"/>
    <w:rsid w:val="00F55CD2"/>
    <w:rsid w:val="00F55F3A"/>
    <w:rsid w:val="00F569EA"/>
    <w:rsid w:val="00F6089A"/>
    <w:rsid w:val="00F61CF1"/>
    <w:rsid w:val="00F61D28"/>
    <w:rsid w:val="00F63311"/>
    <w:rsid w:val="00F64AD5"/>
    <w:rsid w:val="00F661C9"/>
    <w:rsid w:val="00F67EE4"/>
    <w:rsid w:val="00F70475"/>
    <w:rsid w:val="00F7079B"/>
    <w:rsid w:val="00F726E6"/>
    <w:rsid w:val="00F745C6"/>
    <w:rsid w:val="00F74805"/>
    <w:rsid w:val="00F764F0"/>
    <w:rsid w:val="00F77194"/>
    <w:rsid w:val="00F7729F"/>
    <w:rsid w:val="00F77E4E"/>
    <w:rsid w:val="00F80C99"/>
    <w:rsid w:val="00F81C91"/>
    <w:rsid w:val="00F81D06"/>
    <w:rsid w:val="00F831A4"/>
    <w:rsid w:val="00F836DF"/>
    <w:rsid w:val="00F83D14"/>
    <w:rsid w:val="00F83FDF"/>
    <w:rsid w:val="00F86A8D"/>
    <w:rsid w:val="00F9044F"/>
    <w:rsid w:val="00F908A1"/>
    <w:rsid w:val="00F90D92"/>
    <w:rsid w:val="00F912CD"/>
    <w:rsid w:val="00F92328"/>
    <w:rsid w:val="00F92C05"/>
    <w:rsid w:val="00F92E72"/>
    <w:rsid w:val="00F943A7"/>
    <w:rsid w:val="00F9455A"/>
    <w:rsid w:val="00F94AF5"/>
    <w:rsid w:val="00FA1059"/>
    <w:rsid w:val="00FA128E"/>
    <w:rsid w:val="00FA2610"/>
    <w:rsid w:val="00FA2659"/>
    <w:rsid w:val="00FA4511"/>
    <w:rsid w:val="00FA492E"/>
    <w:rsid w:val="00FA595F"/>
    <w:rsid w:val="00FA6EA4"/>
    <w:rsid w:val="00FA7680"/>
    <w:rsid w:val="00FA7D25"/>
    <w:rsid w:val="00FB025E"/>
    <w:rsid w:val="00FB02B9"/>
    <w:rsid w:val="00FB12B9"/>
    <w:rsid w:val="00FB2267"/>
    <w:rsid w:val="00FB2360"/>
    <w:rsid w:val="00FB3479"/>
    <w:rsid w:val="00FB3C75"/>
    <w:rsid w:val="00FB3F31"/>
    <w:rsid w:val="00FB3F5B"/>
    <w:rsid w:val="00FB6371"/>
    <w:rsid w:val="00FB72F1"/>
    <w:rsid w:val="00FB7E24"/>
    <w:rsid w:val="00FC068C"/>
    <w:rsid w:val="00FC0D38"/>
    <w:rsid w:val="00FC0D78"/>
    <w:rsid w:val="00FC1636"/>
    <w:rsid w:val="00FC21CC"/>
    <w:rsid w:val="00FC2421"/>
    <w:rsid w:val="00FC272F"/>
    <w:rsid w:val="00FC378B"/>
    <w:rsid w:val="00FC3AE2"/>
    <w:rsid w:val="00FC44E2"/>
    <w:rsid w:val="00FC6BD8"/>
    <w:rsid w:val="00FD1184"/>
    <w:rsid w:val="00FD360E"/>
    <w:rsid w:val="00FD373A"/>
    <w:rsid w:val="00FD3926"/>
    <w:rsid w:val="00FD3A5C"/>
    <w:rsid w:val="00FD4179"/>
    <w:rsid w:val="00FD4739"/>
    <w:rsid w:val="00FE00F5"/>
    <w:rsid w:val="00FE1FEA"/>
    <w:rsid w:val="00FE2375"/>
    <w:rsid w:val="00FE2A44"/>
    <w:rsid w:val="00FE370C"/>
    <w:rsid w:val="00FE40AA"/>
    <w:rsid w:val="00FE5923"/>
    <w:rsid w:val="00FE75CB"/>
    <w:rsid w:val="00FE75E4"/>
    <w:rsid w:val="00FE76CA"/>
    <w:rsid w:val="00FF0548"/>
    <w:rsid w:val="00FF0CAA"/>
    <w:rsid w:val="00FF112C"/>
    <w:rsid w:val="00FF185E"/>
    <w:rsid w:val="00FF2372"/>
    <w:rsid w:val="00FF2546"/>
    <w:rsid w:val="00FF40C2"/>
    <w:rsid w:val="00FF4839"/>
    <w:rsid w:val="00FF65BE"/>
    <w:rsid w:val="00FF7445"/>
    <w:rsid w:val="0458580D"/>
    <w:rsid w:val="0F6C4862"/>
    <w:rsid w:val="1006436A"/>
    <w:rsid w:val="167B47EF"/>
    <w:rsid w:val="271B5E11"/>
    <w:rsid w:val="36F821DD"/>
    <w:rsid w:val="3E774506"/>
    <w:rsid w:val="428A202E"/>
    <w:rsid w:val="5DA22243"/>
    <w:rsid w:val="62831788"/>
    <w:rsid w:val="63772836"/>
    <w:rsid w:val="7598450B"/>
    <w:rsid w:val="79171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D6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semiHidden="0" w:unhideWhenUsed="0" w:qFormat="1"/>
    <w:lsdException w:name="Balloon Text" w:semiHidden="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AE"/>
    <w:pPr>
      <w:widowControl w:val="0"/>
      <w:jc w:val="both"/>
    </w:pPr>
    <w:rPr>
      <w:rFonts w:ascii="Calibri" w:hAnsi="Calibri" w:cs="Calibri"/>
      <w:kern w:val="2"/>
      <w:sz w:val="21"/>
      <w:szCs w:val="21"/>
    </w:rPr>
  </w:style>
  <w:style w:type="paragraph" w:styleId="1">
    <w:name w:val="heading 1"/>
    <w:basedOn w:val="a"/>
    <w:next w:val="a"/>
    <w:link w:val="1Char"/>
    <w:uiPriority w:val="99"/>
    <w:qFormat/>
    <w:rsid w:val="000C7EAE"/>
    <w:pPr>
      <w:spacing w:before="100" w:beforeAutospacing="1" w:after="100" w:afterAutospacing="1"/>
      <w:jc w:val="left"/>
      <w:outlineLvl w:val="0"/>
    </w:pPr>
    <w:rPr>
      <w:rFonts w:ascii="宋体"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0C7EAE"/>
    <w:pPr>
      <w:jc w:val="left"/>
    </w:pPr>
    <w:rPr>
      <w:rFonts w:cs="Times New Roman"/>
      <w:sz w:val="22"/>
      <w:szCs w:val="22"/>
    </w:rPr>
  </w:style>
  <w:style w:type="paragraph" w:styleId="a4">
    <w:name w:val="Body Text"/>
    <w:basedOn w:val="a"/>
    <w:link w:val="Char0"/>
    <w:uiPriority w:val="99"/>
    <w:qFormat/>
    <w:rsid w:val="000C7EAE"/>
    <w:pPr>
      <w:widowControl/>
      <w:spacing w:line="259" w:lineRule="auto"/>
      <w:ind w:left="537" w:hanging="420"/>
      <w:jc w:val="left"/>
    </w:pPr>
    <w:rPr>
      <w:rFonts w:ascii="宋体" w:cs="Times New Roman"/>
      <w:kern w:val="0"/>
      <w:lang w:eastAsia="en-US"/>
    </w:rPr>
  </w:style>
  <w:style w:type="paragraph" w:styleId="a5">
    <w:name w:val="Body Text Indent"/>
    <w:basedOn w:val="a"/>
    <w:link w:val="Char1"/>
    <w:uiPriority w:val="99"/>
    <w:qFormat/>
    <w:rsid w:val="000C7EAE"/>
    <w:pPr>
      <w:adjustRightInd w:val="0"/>
      <w:snapToGrid w:val="0"/>
      <w:ind w:firstLineChars="200" w:firstLine="480"/>
    </w:pPr>
    <w:rPr>
      <w:rFonts w:ascii="Times New Roman" w:eastAsia="楷体_GB2312" w:hAnsi="Times New Roman" w:cs="Times New Roman"/>
      <w:sz w:val="24"/>
      <w:szCs w:val="24"/>
    </w:rPr>
  </w:style>
  <w:style w:type="paragraph" w:styleId="a6">
    <w:name w:val="Date"/>
    <w:basedOn w:val="a"/>
    <w:next w:val="a"/>
    <w:link w:val="Char2"/>
    <w:uiPriority w:val="99"/>
    <w:qFormat/>
    <w:rsid w:val="000C7EAE"/>
    <w:pPr>
      <w:ind w:leftChars="2500" w:left="100"/>
    </w:pPr>
  </w:style>
  <w:style w:type="paragraph" w:styleId="a7">
    <w:name w:val="Balloon Text"/>
    <w:basedOn w:val="a"/>
    <w:link w:val="Char3"/>
    <w:uiPriority w:val="99"/>
    <w:qFormat/>
    <w:rsid w:val="000C7EAE"/>
    <w:rPr>
      <w:rFonts w:cs="Times New Roman"/>
      <w:kern w:val="0"/>
      <w:sz w:val="18"/>
      <w:szCs w:val="18"/>
    </w:rPr>
  </w:style>
  <w:style w:type="paragraph" w:styleId="a8">
    <w:name w:val="footer"/>
    <w:basedOn w:val="a"/>
    <w:link w:val="Char4"/>
    <w:uiPriority w:val="99"/>
    <w:qFormat/>
    <w:rsid w:val="000C7EAE"/>
    <w:pPr>
      <w:tabs>
        <w:tab w:val="center" w:pos="4153"/>
        <w:tab w:val="right" w:pos="8306"/>
      </w:tabs>
      <w:snapToGrid w:val="0"/>
      <w:jc w:val="left"/>
    </w:pPr>
    <w:rPr>
      <w:rFonts w:cs="Times New Roman"/>
      <w:kern w:val="0"/>
      <w:sz w:val="18"/>
      <w:szCs w:val="18"/>
    </w:rPr>
  </w:style>
  <w:style w:type="paragraph" w:styleId="a9">
    <w:name w:val="header"/>
    <w:basedOn w:val="a"/>
    <w:link w:val="Char5"/>
    <w:uiPriority w:val="99"/>
    <w:qFormat/>
    <w:rsid w:val="000C7EAE"/>
    <w:pPr>
      <w:pBdr>
        <w:bottom w:val="single" w:sz="6" w:space="1" w:color="auto"/>
      </w:pBdr>
      <w:tabs>
        <w:tab w:val="center" w:pos="4153"/>
        <w:tab w:val="right" w:pos="8306"/>
      </w:tabs>
      <w:snapToGrid w:val="0"/>
      <w:jc w:val="center"/>
    </w:pPr>
    <w:rPr>
      <w:rFonts w:cs="Times New Roman"/>
      <w:kern w:val="0"/>
      <w:sz w:val="18"/>
      <w:szCs w:val="18"/>
    </w:rPr>
  </w:style>
  <w:style w:type="paragraph" w:styleId="aa">
    <w:name w:val="Subtitle"/>
    <w:basedOn w:val="a"/>
    <w:next w:val="a"/>
    <w:link w:val="Char10"/>
    <w:uiPriority w:val="99"/>
    <w:qFormat/>
    <w:rsid w:val="000C7EAE"/>
    <w:pPr>
      <w:spacing w:before="240" w:after="60" w:line="312" w:lineRule="auto"/>
      <w:jc w:val="center"/>
      <w:outlineLvl w:val="1"/>
    </w:pPr>
    <w:rPr>
      <w:rFonts w:ascii="Cambria" w:hAnsi="Cambria" w:cs="Times New Roman"/>
      <w:b/>
      <w:bCs/>
      <w:kern w:val="28"/>
      <w:sz w:val="32"/>
      <w:szCs w:val="32"/>
    </w:rPr>
  </w:style>
  <w:style w:type="paragraph" w:styleId="ab">
    <w:name w:val="annotation subject"/>
    <w:basedOn w:val="a3"/>
    <w:next w:val="a3"/>
    <w:link w:val="Char6"/>
    <w:uiPriority w:val="99"/>
    <w:qFormat/>
    <w:rsid w:val="000C7EAE"/>
  </w:style>
  <w:style w:type="table" w:styleId="ac">
    <w:name w:val="Table Grid"/>
    <w:basedOn w:val="a1"/>
    <w:uiPriority w:val="59"/>
    <w:qFormat/>
    <w:rsid w:val="000C7EA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0C7EAE"/>
  </w:style>
  <w:style w:type="character" w:styleId="ae">
    <w:name w:val="Hyperlink"/>
    <w:uiPriority w:val="99"/>
    <w:qFormat/>
    <w:rsid w:val="000C7EAE"/>
    <w:rPr>
      <w:color w:val="0000FF"/>
      <w:u w:val="single"/>
    </w:rPr>
  </w:style>
  <w:style w:type="character" w:styleId="af">
    <w:name w:val="annotation reference"/>
    <w:basedOn w:val="a0"/>
    <w:uiPriority w:val="99"/>
    <w:qFormat/>
    <w:rsid w:val="000C7EAE"/>
    <w:rPr>
      <w:sz w:val="21"/>
      <w:szCs w:val="21"/>
    </w:rPr>
  </w:style>
  <w:style w:type="character" w:customStyle="1" w:styleId="1Char">
    <w:name w:val="标题 1 Char"/>
    <w:basedOn w:val="a0"/>
    <w:link w:val="1"/>
    <w:uiPriority w:val="99"/>
    <w:qFormat/>
    <w:rsid w:val="000C7EAE"/>
    <w:rPr>
      <w:rFonts w:ascii="宋体" w:eastAsia="宋体" w:hAnsi="Calibri" w:cs="Times New Roman"/>
      <w:b/>
      <w:bCs/>
      <w:kern w:val="44"/>
      <w:sz w:val="48"/>
      <w:szCs w:val="48"/>
    </w:rPr>
  </w:style>
  <w:style w:type="character" w:customStyle="1" w:styleId="Char">
    <w:name w:val="批注文字 Char"/>
    <w:basedOn w:val="a0"/>
    <w:link w:val="a3"/>
    <w:uiPriority w:val="99"/>
    <w:qFormat/>
    <w:rsid w:val="000C7EAE"/>
    <w:rPr>
      <w:rFonts w:ascii="Calibri" w:eastAsia="宋体" w:hAnsi="Calibri" w:cs="Times New Roman"/>
      <w:sz w:val="22"/>
    </w:rPr>
  </w:style>
  <w:style w:type="character" w:customStyle="1" w:styleId="Char0">
    <w:name w:val="正文文本 Char"/>
    <w:basedOn w:val="a0"/>
    <w:link w:val="a4"/>
    <w:uiPriority w:val="99"/>
    <w:qFormat/>
    <w:rsid w:val="000C7EAE"/>
    <w:rPr>
      <w:rFonts w:ascii="宋体" w:eastAsia="宋体" w:hAnsi="Calibri" w:cs="Times New Roman"/>
      <w:kern w:val="0"/>
      <w:szCs w:val="21"/>
      <w:lang w:eastAsia="en-US"/>
    </w:rPr>
  </w:style>
  <w:style w:type="character" w:customStyle="1" w:styleId="Char7">
    <w:name w:val="正文文本缩进 Char"/>
    <w:basedOn w:val="a0"/>
    <w:uiPriority w:val="99"/>
    <w:qFormat/>
    <w:rsid w:val="000C7EAE"/>
    <w:rPr>
      <w:rFonts w:ascii="Calibri" w:eastAsia="宋体" w:hAnsi="Calibri" w:cs="Calibri"/>
      <w:szCs w:val="21"/>
    </w:rPr>
  </w:style>
  <w:style w:type="character" w:customStyle="1" w:styleId="Char2">
    <w:name w:val="日期 Char"/>
    <w:basedOn w:val="a0"/>
    <w:link w:val="a6"/>
    <w:uiPriority w:val="99"/>
    <w:qFormat/>
    <w:rsid w:val="000C7EAE"/>
    <w:rPr>
      <w:rFonts w:ascii="Calibri" w:eastAsia="宋体" w:hAnsi="Calibri" w:cs="Calibri"/>
      <w:szCs w:val="21"/>
    </w:rPr>
  </w:style>
  <w:style w:type="character" w:customStyle="1" w:styleId="Char3">
    <w:name w:val="批注框文本 Char"/>
    <w:basedOn w:val="a0"/>
    <w:link w:val="a7"/>
    <w:uiPriority w:val="99"/>
    <w:qFormat/>
    <w:rsid w:val="000C7EAE"/>
    <w:rPr>
      <w:rFonts w:ascii="Calibri" w:eastAsia="宋体" w:hAnsi="Calibri" w:cs="Times New Roman"/>
      <w:kern w:val="0"/>
      <w:sz w:val="18"/>
      <w:szCs w:val="18"/>
    </w:rPr>
  </w:style>
  <w:style w:type="character" w:customStyle="1" w:styleId="Char4">
    <w:name w:val="页脚 Char"/>
    <w:basedOn w:val="a0"/>
    <w:link w:val="a8"/>
    <w:uiPriority w:val="99"/>
    <w:qFormat/>
    <w:rsid w:val="000C7EAE"/>
    <w:rPr>
      <w:rFonts w:ascii="Calibri" w:eastAsia="宋体" w:hAnsi="Calibri" w:cs="Times New Roman"/>
      <w:kern w:val="0"/>
      <w:sz w:val="18"/>
      <w:szCs w:val="18"/>
    </w:rPr>
  </w:style>
  <w:style w:type="character" w:customStyle="1" w:styleId="Char5">
    <w:name w:val="页眉 Char"/>
    <w:basedOn w:val="a0"/>
    <w:link w:val="a9"/>
    <w:uiPriority w:val="99"/>
    <w:qFormat/>
    <w:rsid w:val="000C7EAE"/>
    <w:rPr>
      <w:rFonts w:ascii="Calibri" w:eastAsia="宋体" w:hAnsi="Calibri" w:cs="Times New Roman"/>
      <w:kern w:val="0"/>
      <w:sz w:val="18"/>
      <w:szCs w:val="18"/>
    </w:rPr>
  </w:style>
  <w:style w:type="character" w:customStyle="1" w:styleId="Char8">
    <w:name w:val="副标题 Char"/>
    <w:basedOn w:val="a0"/>
    <w:uiPriority w:val="99"/>
    <w:qFormat/>
    <w:rsid w:val="000C7EAE"/>
    <w:rPr>
      <w:rFonts w:ascii="Cambria" w:eastAsia="宋体" w:hAnsi="Cambria" w:cs="宋体"/>
      <w:b/>
      <w:bCs/>
      <w:kern w:val="28"/>
      <w:sz w:val="32"/>
      <w:szCs w:val="32"/>
    </w:rPr>
  </w:style>
  <w:style w:type="character" w:customStyle="1" w:styleId="Char6">
    <w:name w:val="批注主题 Char"/>
    <w:basedOn w:val="Char"/>
    <w:link w:val="ab"/>
    <w:uiPriority w:val="99"/>
    <w:qFormat/>
    <w:rsid w:val="000C7EAE"/>
    <w:rPr>
      <w:rFonts w:ascii="Calibri" w:eastAsia="宋体" w:hAnsi="Calibri" w:cs="Times New Roman"/>
      <w:sz w:val="22"/>
    </w:rPr>
  </w:style>
  <w:style w:type="character" w:customStyle="1" w:styleId="Char1">
    <w:name w:val="正文文本缩进 Char1"/>
    <w:basedOn w:val="a0"/>
    <w:link w:val="a5"/>
    <w:uiPriority w:val="99"/>
    <w:qFormat/>
    <w:rsid w:val="000C7EAE"/>
    <w:rPr>
      <w:rFonts w:ascii="Times New Roman" w:eastAsia="楷体_GB2312" w:hAnsi="Times New Roman" w:cs="Times New Roman"/>
      <w:sz w:val="24"/>
      <w:szCs w:val="24"/>
    </w:rPr>
  </w:style>
  <w:style w:type="character" w:customStyle="1" w:styleId="Char10">
    <w:name w:val="副标题 Char1"/>
    <w:link w:val="aa"/>
    <w:uiPriority w:val="99"/>
    <w:qFormat/>
    <w:rsid w:val="000C7EAE"/>
    <w:rPr>
      <w:rFonts w:ascii="Cambria" w:eastAsia="宋体" w:hAnsi="Cambria" w:cs="Times New Roman"/>
      <w:b/>
      <w:bCs/>
      <w:kern w:val="28"/>
      <w:sz w:val="32"/>
      <w:szCs w:val="32"/>
    </w:rPr>
  </w:style>
  <w:style w:type="paragraph" w:customStyle="1" w:styleId="10">
    <w:name w:val="修订1"/>
    <w:uiPriority w:val="99"/>
    <w:qFormat/>
    <w:rsid w:val="000C7EAE"/>
    <w:rPr>
      <w:rFonts w:ascii="Calibri" w:hAnsi="Calibri" w:cs="Calibri"/>
      <w:kern w:val="2"/>
      <w:sz w:val="21"/>
      <w:szCs w:val="21"/>
    </w:rPr>
  </w:style>
  <w:style w:type="character" w:customStyle="1" w:styleId="2">
    <w:name w:val="正文文本 (2)_"/>
    <w:link w:val="21"/>
    <w:uiPriority w:val="99"/>
    <w:qFormat/>
    <w:rsid w:val="000C7EAE"/>
    <w:rPr>
      <w:rFonts w:ascii="Times New Roman" w:hAnsi="Times New Roman" w:cs="Times New Roman"/>
      <w:shd w:val="clear" w:color="auto" w:fill="FFFFFF"/>
    </w:rPr>
  </w:style>
  <w:style w:type="paragraph" w:customStyle="1" w:styleId="21">
    <w:name w:val="正文文本 (2)1"/>
    <w:basedOn w:val="a"/>
    <w:link w:val="2"/>
    <w:uiPriority w:val="99"/>
    <w:qFormat/>
    <w:rsid w:val="000C7EAE"/>
    <w:pPr>
      <w:widowControl/>
      <w:shd w:val="clear" w:color="auto" w:fill="FFFFFF"/>
      <w:spacing w:after="480" w:line="254" w:lineRule="exact"/>
      <w:ind w:hanging="560"/>
      <w:jc w:val="left"/>
    </w:pPr>
    <w:rPr>
      <w:rFonts w:ascii="Times New Roman" w:hAnsi="Times New Roman" w:cs="Times New Roman"/>
      <w:szCs w:val="22"/>
    </w:rPr>
  </w:style>
  <w:style w:type="character" w:customStyle="1" w:styleId="BodyTextChar1">
    <w:name w:val="Body Text Char1"/>
    <w:uiPriority w:val="99"/>
    <w:qFormat/>
    <w:rsid w:val="000C7EAE"/>
    <w:rPr>
      <w:rFonts w:cs="Calibri"/>
      <w:szCs w:val="21"/>
    </w:rPr>
  </w:style>
  <w:style w:type="character" w:customStyle="1" w:styleId="Char11">
    <w:name w:val="正文文本 Char1"/>
    <w:uiPriority w:val="99"/>
    <w:qFormat/>
    <w:rsid w:val="000C7EAE"/>
    <w:rPr>
      <w:kern w:val="2"/>
      <w:sz w:val="22"/>
      <w:szCs w:val="22"/>
    </w:rPr>
  </w:style>
  <w:style w:type="paragraph" w:styleId="af0">
    <w:name w:val="List Paragraph"/>
    <w:basedOn w:val="a"/>
    <w:uiPriority w:val="34"/>
    <w:qFormat/>
    <w:rsid w:val="000C7EAE"/>
    <w:pPr>
      <w:ind w:firstLineChars="200" w:firstLine="420"/>
    </w:pPr>
  </w:style>
  <w:style w:type="paragraph" w:customStyle="1" w:styleId="Default">
    <w:name w:val="Default"/>
    <w:qFormat/>
    <w:rsid w:val="000C7EAE"/>
    <w:pPr>
      <w:autoSpaceDE w:val="0"/>
      <w:autoSpaceDN w:val="0"/>
      <w:adjustRightInd w:val="0"/>
    </w:pPr>
    <w:rPr>
      <w:rFonts w:ascii="Shaker 2 Lancet" w:eastAsia="Shaker 2 Lancet" w:hAnsi="Arial" w:cs="Shaker 2 Lancet"/>
      <w:color w:val="000000"/>
      <w:sz w:val="24"/>
      <w:szCs w:val="24"/>
    </w:rPr>
  </w:style>
  <w:style w:type="character" w:customStyle="1" w:styleId="commonicon162">
    <w:name w:val="common_icon_162"/>
    <w:basedOn w:val="a0"/>
    <w:uiPriority w:val="99"/>
    <w:qFormat/>
    <w:rsid w:val="000C7EAE"/>
  </w:style>
  <w:style w:type="character" w:customStyle="1" w:styleId="fontstyle21">
    <w:name w:val="fontstyle21"/>
    <w:basedOn w:val="a0"/>
    <w:qFormat/>
    <w:rsid w:val="000C7EAE"/>
    <w:rPr>
      <w:rFonts w:ascii="仿宋" w:hAnsi="仿宋" w:hint="default"/>
      <w:color w:val="000000"/>
      <w:sz w:val="32"/>
      <w:szCs w:val="32"/>
    </w:rPr>
  </w:style>
  <w:style w:type="paragraph" w:customStyle="1" w:styleId="C-TableText">
    <w:name w:val="C-Table Text"/>
    <w:basedOn w:val="a"/>
    <w:next w:val="a"/>
    <w:link w:val="C-TableTextChar"/>
    <w:qFormat/>
    <w:rsid w:val="000C7EAE"/>
    <w:pPr>
      <w:keepNext/>
      <w:widowControl/>
      <w:adjustRightInd w:val="0"/>
      <w:snapToGrid w:val="0"/>
      <w:spacing w:before="60" w:after="60"/>
    </w:pPr>
    <w:rPr>
      <w:rFonts w:ascii="Times New Roman" w:hAnsi="Times New Roman" w:cs="宋体"/>
      <w:kern w:val="0"/>
      <w:sz w:val="22"/>
      <w:szCs w:val="22"/>
    </w:rPr>
  </w:style>
  <w:style w:type="character" w:customStyle="1" w:styleId="C-TableTextChar">
    <w:name w:val="C-Table Text Char"/>
    <w:link w:val="C-TableText"/>
    <w:qFormat/>
    <w:rsid w:val="000C7EAE"/>
    <w:rPr>
      <w:rFonts w:ascii="Times New Roman" w:eastAsia="宋体" w:hAnsi="Times New Roman" w:cs="宋体"/>
      <w:kern w:val="0"/>
      <w:sz w:val="22"/>
    </w:rPr>
  </w:style>
  <w:style w:type="paragraph" w:customStyle="1" w:styleId="20">
    <w:name w:val="修订2"/>
    <w:uiPriority w:val="99"/>
    <w:rsid w:val="000C7EAE"/>
    <w:rPr>
      <w:rFonts w:ascii="Calibri" w:hAnsi="Calibri" w:cs="Calibri"/>
      <w:kern w:val="2"/>
      <w:sz w:val="21"/>
      <w:szCs w:val="21"/>
    </w:rPr>
  </w:style>
  <w:style w:type="table" w:customStyle="1" w:styleId="11">
    <w:name w:val="网格型1"/>
    <w:basedOn w:val="a1"/>
    <w:uiPriority w:val="39"/>
    <w:qFormat/>
    <w:rsid w:val="000C7EA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39"/>
    <w:qFormat/>
    <w:rsid w:val="000C7EA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修订2"/>
    <w:hidden/>
    <w:uiPriority w:val="99"/>
    <w:semiHidden/>
    <w:qFormat/>
    <w:rsid w:val="000C7EAE"/>
    <w:rPr>
      <w:rFonts w:ascii="Calibri" w:hAnsi="Calibri" w:cs="Calibri"/>
      <w:kern w:val="2"/>
      <w:sz w:val="21"/>
      <w:szCs w:val="21"/>
    </w:rPr>
  </w:style>
  <w:style w:type="paragraph" w:customStyle="1" w:styleId="12">
    <w:name w:val="列表段落1"/>
    <w:basedOn w:val="a"/>
    <w:uiPriority w:val="34"/>
    <w:qFormat/>
    <w:rsid w:val="000C7EAE"/>
    <w:pPr>
      <w:ind w:firstLineChars="200" w:firstLine="420"/>
    </w:pPr>
    <w:rPr>
      <w:rFonts w:asciiTheme="minorHAnsi" w:eastAsiaTheme="minorEastAsia" w:hAnsiTheme="minorHAnsi" w:cstheme="minorBidi"/>
      <w:szCs w:val="22"/>
    </w:rPr>
  </w:style>
  <w:style w:type="paragraph" w:styleId="af1">
    <w:name w:val="Document Map"/>
    <w:basedOn w:val="a"/>
    <w:link w:val="Char9"/>
    <w:uiPriority w:val="99"/>
    <w:semiHidden/>
    <w:unhideWhenUsed/>
    <w:rsid w:val="0037660B"/>
    <w:rPr>
      <w:rFonts w:ascii="宋体"/>
      <w:sz w:val="18"/>
      <w:szCs w:val="18"/>
    </w:rPr>
  </w:style>
  <w:style w:type="character" w:customStyle="1" w:styleId="Char9">
    <w:name w:val="文档结构图 Char"/>
    <w:basedOn w:val="a0"/>
    <w:link w:val="af1"/>
    <w:uiPriority w:val="99"/>
    <w:semiHidden/>
    <w:rsid w:val="0037660B"/>
    <w:rPr>
      <w:rFonts w:ascii="宋体" w:hAnsi="Calibri" w:cs="Calibri"/>
      <w:kern w:val="2"/>
      <w:sz w:val="18"/>
      <w:szCs w:val="18"/>
    </w:rPr>
  </w:style>
  <w:style w:type="paragraph" w:styleId="af2">
    <w:name w:val="Revision"/>
    <w:hidden/>
    <w:uiPriority w:val="99"/>
    <w:semiHidden/>
    <w:rsid w:val="00E67031"/>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semiHidden="0" w:unhideWhenUsed="0" w:qFormat="1"/>
    <w:lsdException w:name="Balloon Text" w:semiHidden="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AE"/>
    <w:pPr>
      <w:widowControl w:val="0"/>
      <w:jc w:val="both"/>
    </w:pPr>
    <w:rPr>
      <w:rFonts w:ascii="Calibri" w:hAnsi="Calibri" w:cs="Calibri"/>
      <w:kern w:val="2"/>
      <w:sz w:val="21"/>
      <w:szCs w:val="21"/>
    </w:rPr>
  </w:style>
  <w:style w:type="paragraph" w:styleId="1">
    <w:name w:val="heading 1"/>
    <w:basedOn w:val="a"/>
    <w:next w:val="a"/>
    <w:link w:val="1Char"/>
    <w:uiPriority w:val="99"/>
    <w:qFormat/>
    <w:rsid w:val="000C7EAE"/>
    <w:pPr>
      <w:spacing w:before="100" w:beforeAutospacing="1" w:after="100" w:afterAutospacing="1"/>
      <w:jc w:val="left"/>
      <w:outlineLvl w:val="0"/>
    </w:pPr>
    <w:rPr>
      <w:rFonts w:ascii="宋体"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0C7EAE"/>
    <w:pPr>
      <w:jc w:val="left"/>
    </w:pPr>
    <w:rPr>
      <w:rFonts w:cs="Times New Roman"/>
      <w:sz w:val="22"/>
      <w:szCs w:val="22"/>
    </w:rPr>
  </w:style>
  <w:style w:type="paragraph" w:styleId="a4">
    <w:name w:val="Body Text"/>
    <w:basedOn w:val="a"/>
    <w:link w:val="Char0"/>
    <w:uiPriority w:val="99"/>
    <w:qFormat/>
    <w:rsid w:val="000C7EAE"/>
    <w:pPr>
      <w:widowControl/>
      <w:spacing w:line="259" w:lineRule="auto"/>
      <w:ind w:left="537" w:hanging="420"/>
      <w:jc w:val="left"/>
    </w:pPr>
    <w:rPr>
      <w:rFonts w:ascii="宋体" w:cs="Times New Roman"/>
      <w:kern w:val="0"/>
      <w:lang w:eastAsia="en-US"/>
    </w:rPr>
  </w:style>
  <w:style w:type="paragraph" w:styleId="a5">
    <w:name w:val="Body Text Indent"/>
    <w:basedOn w:val="a"/>
    <w:link w:val="Char1"/>
    <w:uiPriority w:val="99"/>
    <w:qFormat/>
    <w:rsid w:val="000C7EAE"/>
    <w:pPr>
      <w:adjustRightInd w:val="0"/>
      <w:snapToGrid w:val="0"/>
      <w:ind w:firstLineChars="200" w:firstLine="480"/>
    </w:pPr>
    <w:rPr>
      <w:rFonts w:ascii="Times New Roman" w:eastAsia="楷体_GB2312" w:hAnsi="Times New Roman" w:cs="Times New Roman"/>
      <w:sz w:val="24"/>
      <w:szCs w:val="24"/>
    </w:rPr>
  </w:style>
  <w:style w:type="paragraph" w:styleId="a6">
    <w:name w:val="Date"/>
    <w:basedOn w:val="a"/>
    <w:next w:val="a"/>
    <w:link w:val="Char2"/>
    <w:uiPriority w:val="99"/>
    <w:qFormat/>
    <w:rsid w:val="000C7EAE"/>
    <w:pPr>
      <w:ind w:leftChars="2500" w:left="100"/>
    </w:pPr>
  </w:style>
  <w:style w:type="paragraph" w:styleId="a7">
    <w:name w:val="Balloon Text"/>
    <w:basedOn w:val="a"/>
    <w:link w:val="Char3"/>
    <w:uiPriority w:val="99"/>
    <w:qFormat/>
    <w:rsid w:val="000C7EAE"/>
    <w:rPr>
      <w:rFonts w:cs="Times New Roman"/>
      <w:kern w:val="0"/>
      <w:sz w:val="18"/>
      <w:szCs w:val="18"/>
    </w:rPr>
  </w:style>
  <w:style w:type="paragraph" w:styleId="a8">
    <w:name w:val="footer"/>
    <w:basedOn w:val="a"/>
    <w:link w:val="Char4"/>
    <w:uiPriority w:val="99"/>
    <w:qFormat/>
    <w:rsid w:val="000C7EAE"/>
    <w:pPr>
      <w:tabs>
        <w:tab w:val="center" w:pos="4153"/>
        <w:tab w:val="right" w:pos="8306"/>
      </w:tabs>
      <w:snapToGrid w:val="0"/>
      <w:jc w:val="left"/>
    </w:pPr>
    <w:rPr>
      <w:rFonts w:cs="Times New Roman"/>
      <w:kern w:val="0"/>
      <w:sz w:val="18"/>
      <w:szCs w:val="18"/>
    </w:rPr>
  </w:style>
  <w:style w:type="paragraph" w:styleId="a9">
    <w:name w:val="header"/>
    <w:basedOn w:val="a"/>
    <w:link w:val="Char5"/>
    <w:uiPriority w:val="99"/>
    <w:qFormat/>
    <w:rsid w:val="000C7EAE"/>
    <w:pPr>
      <w:pBdr>
        <w:bottom w:val="single" w:sz="6" w:space="1" w:color="auto"/>
      </w:pBdr>
      <w:tabs>
        <w:tab w:val="center" w:pos="4153"/>
        <w:tab w:val="right" w:pos="8306"/>
      </w:tabs>
      <w:snapToGrid w:val="0"/>
      <w:jc w:val="center"/>
    </w:pPr>
    <w:rPr>
      <w:rFonts w:cs="Times New Roman"/>
      <w:kern w:val="0"/>
      <w:sz w:val="18"/>
      <w:szCs w:val="18"/>
    </w:rPr>
  </w:style>
  <w:style w:type="paragraph" w:styleId="aa">
    <w:name w:val="Subtitle"/>
    <w:basedOn w:val="a"/>
    <w:next w:val="a"/>
    <w:link w:val="Char10"/>
    <w:uiPriority w:val="99"/>
    <w:qFormat/>
    <w:rsid w:val="000C7EAE"/>
    <w:pPr>
      <w:spacing w:before="240" w:after="60" w:line="312" w:lineRule="auto"/>
      <w:jc w:val="center"/>
      <w:outlineLvl w:val="1"/>
    </w:pPr>
    <w:rPr>
      <w:rFonts w:ascii="Cambria" w:hAnsi="Cambria" w:cs="Times New Roman"/>
      <w:b/>
      <w:bCs/>
      <w:kern w:val="28"/>
      <w:sz w:val="32"/>
      <w:szCs w:val="32"/>
    </w:rPr>
  </w:style>
  <w:style w:type="paragraph" w:styleId="ab">
    <w:name w:val="annotation subject"/>
    <w:basedOn w:val="a3"/>
    <w:next w:val="a3"/>
    <w:link w:val="Char6"/>
    <w:uiPriority w:val="99"/>
    <w:qFormat/>
    <w:rsid w:val="000C7EAE"/>
  </w:style>
  <w:style w:type="table" w:styleId="ac">
    <w:name w:val="Table Grid"/>
    <w:basedOn w:val="a1"/>
    <w:uiPriority w:val="59"/>
    <w:qFormat/>
    <w:rsid w:val="000C7EA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0C7EAE"/>
  </w:style>
  <w:style w:type="character" w:styleId="ae">
    <w:name w:val="Hyperlink"/>
    <w:uiPriority w:val="99"/>
    <w:qFormat/>
    <w:rsid w:val="000C7EAE"/>
    <w:rPr>
      <w:color w:val="0000FF"/>
      <w:u w:val="single"/>
    </w:rPr>
  </w:style>
  <w:style w:type="character" w:styleId="af">
    <w:name w:val="annotation reference"/>
    <w:basedOn w:val="a0"/>
    <w:uiPriority w:val="99"/>
    <w:qFormat/>
    <w:rsid w:val="000C7EAE"/>
    <w:rPr>
      <w:sz w:val="21"/>
      <w:szCs w:val="21"/>
    </w:rPr>
  </w:style>
  <w:style w:type="character" w:customStyle="1" w:styleId="1Char">
    <w:name w:val="标题 1 Char"/>
    <w:basedOn w:val="a0"/>
    <w:link w:val="1"/>
    <w:uiPriority w:val="99"/>
    <w:qFormat/>
    <w:rsid w:val="000C7EAE"/>
    <w:rPr>
      <w:rFonts w:ascii="宋体" w:eastAsia="宋体" w:hAnsi="Calibri" w:cs="Times New Roman"/>
      <w:b/>
      <w:bCs/>
      <w:kern w:val="44"/>
      <w:sz w:val="48"/>
      <w:szCs w:val="48"/>
    </w:rPr>
  </w:style>
  <w:style w:type="character" w:customStyle="1" w:styleId="Char">
    <w:name w:val="批注文字 Char"/>
    <w:basedOn w:val="a0"/>
    <w:link w:val="a3"/>
    <w:uiPriority w:val="99"/>
    <w:qFormat/>
    <w:rsid w:val="000C7EAE"/>
    <w:rPr>
      <w:rFonts w:ascii="Calibri" w:eastAsia="宋体" w:hAnsi="Calibri" w:cs="Times New Roman"/>
      <w:sz w:val="22"/>
    </w:rPr>
  </w:style>
  <w:style w:type="character" w:customStyle="1" w:styleId="Char0">
    <w:name w:val="正文文本 Char"/>
    <w:basedOn w:val="a0"/>
    <w:link w:val="a4"/>
    <w:uiPriority w:val="99"/>
    <w:qFormat/>
    <w:rsid w:val="000C7EAE"/>
    <w:rPr>
      <w:rFonts w:ascii="宋体" w:eastAsia="宋体" w:hAnsi="Calibri" w:cs="Times New Roman"/>
      <w:kern w:val="0"/>
      <w:szCs w:val="21"/>
      <w:lang w:eastAsia="en-US"/>
    </w:rPr>
  </w:style>
  <w:style w:type="character" w:customStyle="1" w:styleId="Char7">
    <w:name w:val="正文文本缩进 Char"/>
    <w:basedOn w:val="a0"/>
    <w:uiPriority w:val="99"/>
    <w:qFormat/>
    <w:rsid w:val="000C7EAE"/>
    <w:rPr>
      <w:rFonts w:ascii="Calibri" w:eastAsia="宋体" w:hAnsi="Calibri" w:cs="Calibri"/>
      <w:szCs w:val="21"/>
    </w:rPr>
  </w:style>
  <w:style w:type="character" w:customStyle="1" w:styleId="Char2">
    <w:name w:val="日期 Char"/>
    <w:basedOn w:val="a0"/>
    <w:link w:val="a6"/>
    <w:uiPriority w:val="99"/>
    <w:qFormat/>
    <w:rsid w:val="000C7EAE"/>
    <w:rPr>
      <w:rFonts w:ascii="Calibri" w:eastAsia="宋体" w:hAnsi="Calibri" w:cs="Calibri"/>
      <w:szCs w:val="21"/>
    </w:rPr>
  </w:style>
  <w:style w:type="character" w:customStyle="1" w:styleId="Char3">
    <w:name w:val="批注框文本 Char"/>
    <w:basedOn w:val="a0"/>
    <w:link w:val="a7"/>
    <w:uiPriority w:val="99"/>
    <w:qFormat/>
    <w:rsid w:val="000C7EAE"/>
    <w:rPr>
      <w:rFonts w:ascii="Calibri" w:eastAsia="宋体" w:hAnsi="Calibri" w:cs="Times New Roman"/>
      <w:kern w:val="0"/>
      <w:sz w:val="18"/>
      <w:szCs w:val="18"/>
    </w:rPr>
  </w:style>
  <w:style w:type="character" w:customStyle="1" w:styleId="Char4">
    <w:name w:val="页脚 Char"/>
    <w:basedOn w:val="a0"/>
    <w:link w:val="a8"/>
    <w:uiPriority w:val="99"/>
    <w:qFormat/>
    <w:rsid w:val="000C7EAE"/>
    <w:rPr>
      <w:rFonts w:ascii="Calibri" w:eastAsia="宋体" w:hAnsi="Calibri" w:cs="Times New Roman"/>
      <w:kern w:val="0"/>
      <w:sz w:val="18"/>
      <w:szCs w:val="18"/>
    </w:rPr>
  </w:style>
  <w:style w:type="character" w:customStyle="1" w:styleId="Char5">
    <w:name w:val="页眉 Char"/>
    <w:basedOn w:val="a0"/>
    <w:link w:val="a9"/>
    <w:uiPriority w:val="99"/>
    <w:qFormat/>
    <w:rsid w:val="000C7EAE"/>
    <w:rPr>
      <w:rFonts w:ascii="Calibri" w:eastAsia="宋体" w:hAnsi="Calibri" w:cs="Times New Roman"/>
      <w:kern w:val="0"/>
      <w:sz w:val="18"/>
      <w:szCs w:val="18"/>
    </w:rPr>
  </w:style>
  <w:style w:type="character" w:customStyle="1" w:styleId="Char8">
    <w:name w:val="副标题 Char"/>
    <w:basedOn w:val="a0"/>
    <w:uiPriority w:val="99"/>
    <w:qFormat/>
    <w:rsid w:val="000C7EAE"/>
    <w:rPr>
      <w:rFonts w:ascii="Cambria" w:eastAsia="宋体" w:hAnsi="Cambria" w:cs="宋体"/>
      <w:b/>
      <w:bCs/>
      <w:kern w:val="28"/>
      <w:sz w:val="32"/>
      <w:szCs w:val="32"/>
    </w:rPr>
  </w:style>
  <w:style w:type="character" w:customStyle="1" w:styleId="Char6">
    <w:name w:val="批注主题 Char"/>
    <w:basedOn w:val="Char"/>
    <w:link w:val="ab"/>
    <w:uiPriority w:val="99"/>
    <w:qFormat/>
    <w:rsid w:val="000C7EAE"/>
    <w:rPr>
      <w:rFonts w:ascii="Calibri" w:eastAsia="宋体" w:hAnsi="Calibri" w:cs="Times New Roman"/>
      <w:sz w:val="22"/>
    </w:rPr>
  </w:style>
  <w:style w:type="character" w:customStyle="1" w:styleId="Char1">
    <w:name w:val="正文文本缩进 Char1"/>
    <w:basedOn w:val="a0"/>
    <w:link w:val="a5"/>
    <w:uiPriority w:val="99"/>
    <w:qFormat/>
    <w:rsid w:val="000C7EAE"/>
    <w:rPr>
      <w:rFonts w:ascii="Times New Roman" w:eastAsia="楷体_GB2312" w:hAnsi="Times New Roman" w:cs="Times New Roman"/>
      <w:sz w:val="24"/>
      <w:szCs w:val="24"/>
    </w:rPr>
  </w:style>
  <w:style w:type="character" w:customStyle="1" w:styleId="Char10">
    <w:name w:val="副标题 Char1"/>
    <w:link w:val="aa"/>
    <w:uiPriority w:val="99"/>
    <w:qFormat/>
    <w:rsid w:val="000C7EAE"/>
    <w:rPr>
      <w:rFonts w:ascii="Cambria" w:eastAsia="宋体" w:hAnsi="Cambria" w:cs="Times New Roman"/>
      <w:b/>
      <w:bCs/>
      <w:kern w:val="28"/>
      <w:sz w:val="32"/>
      <w:szCs w:val="32"/>
    </w:rPr>
  </w:style>
  <w:style w:type="paragraph" w:customStyle="1" w:styleId="10">
    <w:name w:val="修订1"/>
    <w:uiPriority w:val="99"/>
    <w:qFormat/>
    <w:rsid w:val="000C7EAE"/>
    <w:rPr>
      <w:rFonts w:ascii="Calibri" w:hAnsi="Calibri" w:cs="Calibri"/>
      <w:kern w:val="2"/>
      <w:sz w:val="21"/>
      <w:szCs w:val="21"/>
    </w:rPr>
  </w:style>
  <w:style w:type="character" w:customStyle="1" w:styleId="2">
    <w:name w:val="正文文本 (2)_"/>
    <w:link w:val="21"/>
    <w:uiPriority w:val="99"/>
    <w:qFormat/>
    <w:rsid w:val="000C7EAE"/>
    <w:rPr>
      <w:rFonts w:ascii="Times New Roman" w:hAnsi="Times New Roman" w:cs="Times New Roman"/>
      <w:shd w:val="clear" w:color="auto" w:fill="FFFFFF"/>
    </w:rPr>
  </w:style>
  <w:style w:type="paragraph" w:customStyle="1" w:styleId="21">
    <w:name w:val="正文文本 (2)1"/>
    <w:basedOn w:val="a"/>
    <w:link w:val="2"/>
    <w:uiPriority w:val="99"/>
    <w:qFormat/>
    <w:rsid w:val="000C7EAE"/>
    <w:pPr>
      <w:widowControl/>
      <w:shd w:val="clear" w:color="auto" w:fill="FFFFFF"/>
      <w:spacing w:after="480" w:line="254" w:lineRule="exact"/>
      <w:ind w:hanging="560"/>
      <w:jc w:val="left"/>
    </w:pPr>
    <w:rPr>
      <w:rFonts w:ascii="Times New Roman" w:hAnsi="Times New Roman" w:cs="Times New Roman"/>
      <w:szCs w:val="22"/>
    </w:rPr>
  </w:style>
  <w:style w:type="character" w:customStyle="1" w:styleId="BodyTextChar1">
    <w:name w:val="Body Text Char1"/>
    <w:uiPriority w:val="99"/>
    <w:qFormat/>
    <w:rsid w:val="000C7EAE"/>
    <w:rPr>
      <w:rFonts w:cs="Calibri"/>
      <w:szCs w:val="21"/>
    </w:rPr>
  </w:style>
  <w:style w:type="character" w:customStyle="1" w:styleId="Char11">
    <w:name w:val="正文文本 Char1"/>
    <w:uiPriority w:val="99"/>
    <w:qFormat/>
    <w:rsid w:val="000C7EAE"/>
    <w:rPr>
      <w:kern w:val="2"/>
      <w:sz w:val="22"/>
      <w:szCs w:val="22"/>
    </w:rPr>
  </w:style>
  <w:style w:type="paragraph" w:styleId="af0">
    <w:name w:val="List Paragraph"/>
    <w:basedOn w:val="a"/>
    <w:uiPriority w:val="34"/>
    <w:qFormat/>
    <w:rsid w:val="000C7EAE"/>
    <w:pPr>
      <w:ind w:firstLineChars="200" w:firstLine="420"/>
    </w:pPr>
  </w:style>
  <w:style w:type="paragraph" w:customStyle="1" w:styleId="Default">
    <w:name w:val="Default"/>
    <w:qFormat/>
    <w:rsid w:val="000C7EAE"/>
    <w:pPr>
      <w:autoSpaceDE w:val="0"/>
      <w:autoSpaceDN w:val="0"/>
      <w:adjustRightInd w:val="0"/>
    </w:pPr>
    <w:rPr>
      <w:rFonts w:ascii="Shaker 2 Lancet" w:eastAsia="Shaker 2 Lancet" w:hAnsi="Arial" w:cs="Shaker 2 Lancet"/>
      <w:color w:val="000000"/>
      <w:sz w:val="24"/>
      <w:szCs w:val="24"/>
    </w:rPr>
  </w:style>
  <w:style w:type="character" w:customStyle="1" w:styleId="commonicon162">
    <w:name w:val="common_icon_162"/>
    <w:basedOn w:val="a0"/>
    <w:uiPriority w:val="99"/>
    <w:qFormat/>
    <w:rsid w:val="000C7EAE"/>
  </w:style>
  <w:style w:type="character" w:customStyle="1" w:styleId="fontstyle21">
    <w:name w:val="fontstyle21"/>
    <w:basedOn w:val="a0"/>
    <w:qFormat/>
    <w:rsid w:val="000C7EAE"/>
    <w:rPr>
      <w:rFonts w:ascii="仿宋" w:hAnsi="仿宋" w:hint="default"/>
      <w:color w:val="000000"/>
      <w:sz w:val="32"/>
      <w:szCs w:val="32"/>
    </w:rPr>
  </w:style>
  <w:style w:type="paragraph" w:customStyle="1" w:styleId="C-TableText">
    <w:name w:val="C-Table Text"/>
    <w:basedOn w:val="a"/>
    <w:next w:val="a"/>
    <w:link w:val="C-TableTextChar"/>
    <w:qFormat/>
    <w:rsid w:val="000C7EAE"/>
    <w:pPr>
      <w:keepNext/>
      <w:widowControl/>
      <w:adjustRightInd w:val="0"/>
      <w:snapToGrid w:val="0"/>
      <w:spacing w:before="60" w:after="60"/>
    </w:pPr>
    <w:rPr>
      <w:rFonts w:ascii="Times New Roman" w:hAnsi="Times New Roman" w:cs="宋体"/>
      <w:kern w:val="0"/>
      <w:sz w:val="22"/>
      <w:szCs w:val="22"/>
    </w:rPr>
  </w:style>
  <w:style w:type="character" w:customStyle="1" w:styleId="C-TableTextChar">
    <w:name w:val="C-Table Text Char"/>
    <w:link w:val="C-TableText"/>
    <w:qFormat/>
    <w:rsid w:val="000C7EAE"/>
    <w:rPr>
      <w:rFonts w:ascii="Times New Roman" w:eastAsia="宋体" w:hAnsi="Times New Roman" w:cs="宋体"/>
      <w:kern w:val="0"/>
      <w:sz w:val="22"/>
    </w:rPr>
  </w:style>
  <w:style w:type="paragraph" w:customStyle="1" w:styleId="20">
    <w:name w:val="修订2"/>
    <w:uiPriority w:val="99"/>
    <w:rsid w:val="000C7EAE"/>
    <w:rPr>
      <w:rFonts w:ascii="Calibri" w:hAnsi="Calibri" w:cs="Calibri"/>
      <w:kern w:val="2"/>
      <w:sz w:val="21"/>
      <w:szCs w:val="21"/>
    </w:rPr>
  </w:style>
  <w:style w:type="table" w:customStyle="1" w:styleId="11">
    <w:name w:val="网格型1"/>
    <w:basedOn w:val="a1"/>
    <w:uiPriority w:val="39"/>
    <w:qFormat/>
    <w:rsid w:val="000C7EA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39"/>
    <w:qFormat/>
    <w:rsid w:val="000C7EA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修订2"/>
    <w:hidden/>
    <w:uiPriority w:val="99"/>
    <w:semiHidden/>
    <w:qFormat/>
    <w:rsid w:val="000C7EAE"/>
    <w:rPr>
      <w:rFonts w:ascii="Calibri" w:hAnsi="Calibri" w:cs="Calibri"/>
      <w:kern w:val="2"/>
      <w:sz w:val="21"/>
      <w:szCs w:val="21"/>
    </w:rPr>
  </w:style>
  <w:style w:type="paragraph" w:customStyle="1" w:styleId="12">
    <w:name w:val="列表段落1"/>
    <w:basedOn w:val="a"/>
    <w:uiPriority w:val="34"/>
    <w:qFormat/>
    <w:rsid w:val="000C7EAE"/>
    <w:pPr>
      <w:ind w:firstLineChars="200" w:firstLine="420"/>
    </w:pPr>
    <w:rPr>
      <w:rFonts w:asciiTheme="minorHAnsi" w:eastAsiaTheme="minorEastAsia" w:hAnsiTheme="minorHAnsi" w:cstheme="minorBidi"/>
      <w:szCs w:val="22"/>
    </w:rPr>
  </w:style>
  <w:style w:type="paragraph" w:styleId="af1">
    <w:name w:val="Document Map"/>
    <w:basedOn w:val="a"/>
    <w:link w:val="Char9"/>
    <w:uiPriority w:val="99"/>
    <w:semiHidden/>
    <w:unhideWhenUsed/>
    <w:rsid w:val="0037660B"/>
    <w:rPr>
      <w:rFonts w:ascii="宋体"/>
      <w:sz w:val="18"/>
      <w:szCs w:val="18"/>
    </w:rPr>
  </w:style>
  <w:style w:type="character" w:customStyle="1" w:styleId="Char9">
    <w:name w:val="文档结构图 Char"/>
    <w:basedOn w:val="a0"/>
    <w:link w:val="af1"/>
    <w:uiPriority w:val="99"/>
    <w:semiHidden/>
    <w:rsid w:val="0037660B"/>
    <w:rPr>
      <w:rFonts w:ascii="宋体" w:hAnsi="Calibri" w:cs="Calibri"/>
      <w:kern w:val="2"/>
      <w:sz w:val="18"/>
      <w:szCs w:val="18"/>
    </w:rPr>
  </w:style>
  <w:style w:type="paragraph" w:styleId="af2">
    <w:name w:val="Revision"/>
    <w:hidden/>
    <w:uiPriority w:val="99"/>
    <w:semiHidden/>
    <w:rsid w:val="00E67031"/>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F0B2F-A455-4F04-9686-BC2AFE54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5546</TotalTime>
  <Pages>280</Pages>
  <Words>21853</Words>
  <Characters>124566</Characters>
  <Application>Microsoft Office Word</Application>
  <DocSecurity>0</DocSecurity>
  <Lines>1038</Lines>
  <Paragraphs>292</Paragraphs>
  <ScaleCrop>false</ScaleCrop>
  <Company>WF</Company>
  <LinksUpToDate>false</LinksUpToDate>
  <CharactersWithSpaces>146127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dc:creator>
  <cp:lastModifiedBy>WF</cp:lastModifiedBy>
  <cp:revision>2528</cp:revision>
  <cp:lastPrinted>2022-12-27T01:11:00Z</cp:lastPrinted>
  <dcterms:created xsi:type="dcterms:W3CDTF">2022-10-12T03:13:00Z</dcterms:created>
  <dcterms:modified xsi:type="dcterms:W3CDTF">2022-12-27T06:09:00Z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6da55c2beef149f7b02492deb3d6955e</vt:lpwstr>
  </property>
  <property fmtid="{D5CDD505-2E9C-101B-9397-08002B2CF9AE}" pid="3" name="KSOProductBuildVer">
    <vt:lpwstr>2052-11.1.0.12313</vt:lpwstr>
  </property>
</Properties>
</file>