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</w:p>
    <w:p>
      <w:pPr>
        <w:pStyle w:val="4"/>
        <w:textAlignment w:val="auto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陕西省</w:t>
      </w:r>
      <w:bookmarkStart w:name="_GoBack" w:id="17"/>
      <w:bookmarkEnd w:id="17"/>
      <w:r>
        <w:rPr>
          <w:rFonts w:hint="eastAsia"/>
          <w:sz w:val="44"/>
          <w:szCs w:val="44"/>
        </w:rPr>
        <w:t>丹参（鲜制）质量标准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丹参（鲜制）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Danshen</w:t>
      </w:r>
      <w:r>
        <w:rPr>
          <w:rFonts w:hint="eastAsia" w:ascii="Times New Roman" w:hAnsi="Times New Roman" w:eastAsia="黑体" w:cs="Times New Roman"/>
          <w:sz w:val="28"/>
          <w:szCs w:val="28"/>
        </w:rPr>
        <w:t>(xianzhi)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SALVIAE MILTIORRHIZAE RADIX ET RHIZOMA</w:t>
      </w:r>
    </w:p>
    <w:p>
      <w:pPr>
        <w:spacing w:line="400" w:lineRule="exact"/>
        <w:ind w:firstLine="480" w:firstLineChars="20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  <w:bookmarkStart w:name="_Hlk88811011" w:id="0"/>
      <w:r>
        <w:rPr>
          <w:rFonts w:hint="eastAsia" w:ascii="黑体" w:hAnsi="黑体" w:eastAsia="黑体" w:cs="Times New Roman"/>
          <w:color w:val="000000"/>
          <w:kern w:val="0"/>
          <w:sz w:val="24"/>
          <w:szCs w:val="24"/>
        </w:rPr>
        <w:t>【</w:t>
      </w:r>
      <w:r>
        <w:rPr>
          <w:rFonts w:hint="eastAsia" w:ascii="黑体" w:hAnsi="黑体" w:eastAsia="黑体"/>
          <w:sz w:val="24"/>
          <w:szCs w:val="24"/>
        </w:rPr>
        <w:t>来源</w:t>
      </w:r>
      <w:r>
        <w:rPr>
          <w:rFonts w:hint="eastAsia" w:ascii="黑体" w:hAnsi="黑体" w:eastAsia="黑体" w:cs="Times New Roman"/>
          <w:color w:val="000000"/>
          <w:kern w:val="0"/>
          <w:sz w:val="24"/>
          <w:szCs w:val="24"/>
        </w:rPr>
        <w:t>】</w:t>
      </w:r>
      <w:bookmarkEnd w:id="0"/>
      <w:r>
        <w:rPr>
          <w:rFonts w:hint="eastAsia" w:ascii="黑体" w:hAnsi="黑体" w:eastAsia="黑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本品为唇形科植物丹参</w:t>
      </w:r>
      <w:r>
        <w:rPr>
          <w:rFonts w:ascii="宋体" w:hAnsi="宋体" w:eastAsia="宋体" w:cs="Times New Roman"/>
          <w:i/>
          <w:iCs/>
          <w:color w:val="000000"/>
          <w:kern w:val="0"/>
          <w:sz w:val="24"/>
          <w:szCs w:val="24"/>
        </w:rPr>
        <w:t xml:space="preserve">Salvia miltiorrhiza 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Bge. 根和根茎。</w:t>
      </w:r>
    </w:p>
    <w:p>
      <w:pPr>
        <w:spacing w:line="400" w:lineRule="exact"/>
        <w:ind w:firstLine="480" w:firstLineChars="20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【</w:t>
      </w:r>
      <w:r>
        <w:rPr>
          <w:rFonts w:hint="eastAsia" w:ascii="黑体" w:hAnsi="黑体" w:eastAsia="黑体" w:cs="Times New Roman"/>
          <w:color w:val="000000"/>
          <w:kern w:val="0"/>
          <w:sz w:val="24"/>
          <w:szCs w:val="24"/>
        </w:rPr>
        <w:t>采收加工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】 春、秋二季采挖1年或2年生丹参的根和根茎，干燥到适宜程度，除去杂质、残茎及须根，洗净，切厚片或段，干燥。按性状分为“丹参片”、“丹参段”。</w:t>
      </w:r>
    </w:p>
    <w:p>
      <w:pPr>
        <w:pStyle w:val="5"/>
        <w:numPr>
          <w:ilvl w:val="0"/>
          <w:numId w:val="1"/>
        </w:numPr>
        <w:spacing w:line="400" w:lineRule="exact"/>
        <w:ind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工艺流程</w:t>
      </w: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142240</wp:posOffset>
                </wp:positionV>
                <wp:extent cx="1652270" cy="5238750"/>
                <wp:effectExtent l="4445" t="4445" r="19685" b="1460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270" cy="5238750"/>
                          <a:chOff x="4988" y="6840"/>
                          <a:chExt cx="1881" cy="7350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4988" y="6840"/>
                            <a:ext cx="181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 w:beforeLines="30" w:line="240" w:lineRule="atLeast"/>
                                <w:jc w:val="center"/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丹参鲜药材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4997" y="7700"/>
                            <a:ext cx="181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 w:beforeLines="30"/>
                                <w:jc w:val="center"/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 xml:space="preserve">干 </w:t>
                              </w:r>
                              <w:r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5039" y="8556"/>
                            <a:ext cx="181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 w:beforeLines="30"/>
                                <w:jc w:val="center"/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 xml:space="preserve">净 </w:t>
                              </w:r>
                              <w:r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5039" y="9405"/>
                            <a:ext cx="181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 w:beforeLines="30"/>
                                <w:jc w:val="center"/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 xml:space="preserve">清 </w:t>
                              </w:r>
                              <w:r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5039" y="10245"/>
                            <a:ext cx="181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 w:beforeLines="30"/>
                                <w:jc w:val="center"/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 xml:space="preserve">切 </w:t>
                              </w:r>
                              <w:r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5039" y="11091"/>
                            <a:ext cx="181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 w:beforeLines="30"/>
                                <w:jc w:val="center"/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 xml:space="preserve">干 </w:t>
                              </w:r>
                              <w:r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5039" y="11940"/>
                            <a:ext cx="181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 w:beforeLines="30"/>
                                <w:jc w:val="center"/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 xml:space="preserve">筛 </w:t>
                              </w:r>
                              <w:r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5039" y="12780"/>
                            <a:ext cx="181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 w:beforeLines="30"/>
                                <w:jc w:val="center"/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 xml:space="preserve">包 </w:t>
                              </w:r>
                              <w:r>
                                <w:rPr>
                                  <w:rFonts w:ascii="宋体" w:hAnsi="宋体" w:eastAsia="宋体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5054" y="13639"/>
                            <a:ext cx="181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 w:beforeLines="3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4"/>
                                  <w:szCs w:val="24"/>
                                </w:rPr>
                                <w:t>丹参（鲜制）药材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5955" y="7395"/>
                            <a:ext cx="0" cy="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5940" y="8251"/>
                            <a:ext cx="0" cy="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5955" y="9107"/>
                            <a:ext cx="0" cy="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5955" y="9947"/>
                            <a:ext cx="0" cy="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5955" y="10787"/>
                            <a:ext cx="0" cy="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5955" y="11657"/>
                            <a:ext cx="0" cy="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5955" y="12491"/>
                            <a:ext cx="0" cy="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5955" y="13361"/>
                            <a:ext cx="0" cy="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left:0pt;margin-left:159.4pt;margin-top:11.2pt;height:412.5pt;width:130.1pt;z-index:251659264;mso-width-relative:page;mso-height-relative:page;" coordsize="1881,7350" coordorigin="4988,6840" o:spid="_x0000_s1026" o:spt="203" o:gfxdata="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">
                <o:lock v:ext="edit" aspectratio="f"/>
                <v:shape id="_x0000_s1026" style="position:absolute;left:4988;top:6840;height:551;width:1815;" coordsize="21600,21600" o:spid="_x0000_s1026" filled="t" fillcolor="#FFFFFF" stroked="t" o:spt="202" type="#_x0000_t202" o:gfxdata="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mIqhotAAAANo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93" w:beforeLines="30" w:line="240" w:lineRule="atLeast"/>
                          <w:jc w:val="center"/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丹参鲜药材</w:t>
                        </w:r>
                      </w:p>
                    </w:txbxContent>
                  </v:textbox>
                </v:shape>
                <v:shape id="_x0000_s1026" style="position:absolute;left:4997;top:7700;height:551;width:1815;" coordsize="21600,21600" o:spid="_x0000_s1026" filled="t" fillcolor="#FFFFFF" stroked="t" o:spt="202" type="#_x0000_t202" o:gfxdata="UEsDBAoAAAAAAIdO4kAAAAAAAAAAAAAAAAAEAAAAZHJzL1BLAwQUAAAACACHTuJAlvA2H7YAAADa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bwNh+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93" w:beforeLines="30"/>
                          <w:jc w:val="center"/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 xml:space="preserve">干 </w:t>
                        </w:r>
                        <w:r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燥</w:t>
                        </w:r>
                      </w:p>
                    </w:txbxContent>
                  </v:textbox>
                </v:shape>
                <v:shape id="_x0000_s1026" style="position:absolute;left:5039;top:8556;height:551;width:1815;" coordsize="21600,21600" o:spid="_x0000_s1026" filled="t" fillcolor="#FFFFFF" stroked="t" o:spt="202" type="#_x0000_t202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93" w:beforeLines="30"/>
                          <w:jc w:val="center"/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 xml:space="preserve">净 </w:t>
                        </w:r>
                        <w:r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制</w:t>
                        </w:r>
                      </w:p>
                    </w:txbxContent>
                  </v:textbox>
                </v:shape>
                <v:shape id="_x0000_s1026" style="position:absolute;left:5039;top:9405;height:551;width:1815;" coordsize="21600,21600" o:spid="_x0000_s1026" filled="t" fillcolor="#FFFFFF" stroked="t" o:spt="202" type="#_x0000_t202" o:gfxdata="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ZVC/C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93" w:beforeLines="30"/>
                          <w:jc w:val="center"/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 xml:space="preserve">清 </w:t>
                        </w:r>
                        <w:r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洗</w:t>
                        </w:r>
                      </w:p>
                    </w:txbxContent>
                  </v:textbox>
                </v:shape>
                <v:shape id="_x0000_s1026" style="position:absolute;left:5039;top:10245;height:551;width:1815;" coordsize="21600,21600" o:spid="_x0000_s1026" filled="t" fillcolor="#FFFFFF" stroked="t" o:spt="202" type="#_x0000_t202" o:gfxdata="UEsDBAoAAAAAAIdO4kAAAAAAAAAAAAAAAAAEAAAAZHJzL1BLAwQUAAAACACHTuJAGRmua7YAAADa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IP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Zrmu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93" w:beforeLines="30"/>
                          <w:jc w:val="center"/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 xml:space="preserve">切 </w:t>
                        </w:r>
                        <w:r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制</w:t>
                        </w:r>
                      </w:p>
                    </w:txbxContent>
                  </v:textbox>
                </v:shape>
                <v:shape id="_x0000_s1026" style="position:absolute;left:5039;top:11091;height:551;width:1815;" coordsize="21600,21600" o:spid="_x0000_s1026" filled="t" fillcolor="#FFFFFF" stroked="t" o:spt="202" type="#_x0000_t202" o:gfxdata="UEsDBAoAAAAAAIdO4kAAAAAAAAAAAAAAAAAEAAAAZHJzL1BLAwQUAAAACACHTuJA6cswHLYAAADa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LMBy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93" w:beforeLines="30"/>
                          <w:jc w:val="center"/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 xml:space="preserve">干 </w:t>
                        </w:r>
                        <w:r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燥</w:t>
                        </w:r>
                      </w:p>
                    </w:txbxContent>
                  </v:textbox>
                </v:shape>
                <v:shape id="_x0000_s1026" style="position:absolute;left:5039;top:11940;height:551;width:1815;" coordsize="21600,21600" o:spid="_x0000_s1026" filled="t" fillcolor="#FFFFFF" stroked="t" o:spt="202" type="#_x0000_t202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93" w:beforeLines="30"/>
                          <w:jc w:val="center"/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 xml:space="preserve">筛 </w:t>
                        </w:r>
                        <w:r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选</w:t>
                        </w:r>
                      </w:p>
                    </w:txbxContent>
                  </v:textbox>
                </v:shape>
                <v:shape id="_x0000_s1026" style="position:absolute;left:5039;top:12780;height:551;width:1815;" coordsize="21600,21600" o:spid="_x0000_s1026" filled="t" fillcolor="#FFFFFF" stroked="t" o:spt="202" type="#_x0000_t202" o:gfxdata="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cYAfWzAAAA2gAAAA8AAAAA&#10;AAAAAQAgAAAAIgAAAGRycy9kb3ducmV2LnhtbFBLAQIUABQAAAAIAIdO4kAzLwWeOwAAADkAAAAQ&#10;AAAAAAAAAAEAIAAAAAIBAABkcnMvc2hhcGV4bWwueG1sUEsFBgAAAAAGAAYAWwEAAKwDAAAAAA==&#10;">
                  <v:fill on="t" focussize="0,0"/>
                  <v:stroke weight="0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93" w:beforeLines="30"/>
                          <w:jc w:val="center"/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 xml:space="preserve">包 </w:t>
                        </w:r>
                        <w:r>
                          <w:rPr>
                            <w:rFonts w:ascii="宋体" w:hAnsi="宋体" w:eastAsia="宋体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装</w:t>
                        </w:r>
                      </w:p>
                    </w:txbxContent>
                  </v:textbox>
                </v:shape>
                <v:shape id="_x0000_s1026" style="position:absolute;left:5054;top:13639;height:551;width:1815;" coordsize="21600,21600" o:spid="_x0000_s1026" filled="t" fillcolor="#FFFFFF" stroked="t" o:spt="202" type="#_x0000_t202" o:gfxdata="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hUpG6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93" w:beforeLines="30"/>
                          <w:jc w:val="center"/>
                        </w:pPr>
                        <w:r>
                          <w:rPr>
                            <w:rFonts w:hint="eastAsia" w:ascii="宋体" w:hAnsi="宋体" w:eastAsia="宋体"/>
                            <w:sz w:val="24"/>
                            <w:szCs w:val="24"/>
                          </w:rPr>
                          <w:t>丹参（鲜制）药材</w:t>
                        </w:r>
                      </w:p>
                    </w:txbxContent>
                  </v:textbox>
                </v:shape>
                <v:shape id="_x0000_s1026" style="position:absolute;left:5955;top:7395;height:270;width:0;" coordsize="21600,21600" o:spid="_x0000_s1026" filled="f" stroked="t" o:spt="32" type="#_x0000_t32" o:gfxdata="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4zp+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style="position:absolute;left:5940;top:8251;height:270;width:0;" coordsize="21600,21600" o:spid="_x0000_s1026" filled="f" stroked="t" o:spt="32" type="#_x0000_t32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style="position:absolute;left:5955;top:9107;height:270;width:0;" coordsize="21600,21600" o:spid="_x0000_s1026" filled="f" stroked="t" o:spt="32" type="#_x0000_t32" o:gfxdata="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LSF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style="position:absolute;left:5955;top:9947;height:270;width:0;" coordsize="21600,21600" o:spid="_x0000_s1026" filled="f" stroked="t" o:spt="32" type="#_x0000_t32" o:gfxdata="UEsDBAoAAAAAAIdO4kAAAAAAAAAAAAAAAAAEAAAAZHJzL1BLAwQUAAAACACHTuJA7153jbsAAADb&#10;AAAADwAAAGRycy9kb3ducmV2LnhtbEVPS2sCMRC+F/ofwhS81awV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53j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style="position:absolute;left:5955;top:10787;height:270;width:0;" coordsize="21600,21600" o:spid="_x0000_s1026" filled="f" stroked="t" o:spt="32" type="#_x0000_t32" o:gfxdata="UEsDBAoAAAAAAIdO4kAAAAAAAAAAAAAAAAAEAAAAZHJzL1BLAwQUAAAACACHTuJAYLfv+bsAAADb&#10;AAAADwAAAGRycy9kb3ducmV2LnhtbEVPS2sCMRC+F/ofwhS81axF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Lfv+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style="position:absolute;left:5955;top:11657;height:270;width:0;" coordsize="21600,21600" o:spid="_x0000_s1026" filled="f" stroked="t" o:spt="32" type="#_x0000_t32" o:gfxdata="UEsDBAoAAAAAAIdO4kAAAAAAAAAAAAAAAAAEAAAAZHJzL1BLAwQUAAAACACHTuJAD/tKYrsAAADb&#10;AAAADwAAAGRycy9kb3ducmV2LnhtbEVPS2sCMRC+F/ofwhS81awFF1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tK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style="position:absolute;left:5955;top:12491;height:270;width:0;" coordsize="21600,21600" o:spid="_x0000_s1026" filled="f" stroked="t" o:spt="32" type="#_x0000_t32" o:gfxdata="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p1B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style="position:absolute;left:5955;top:13361;height:270;width:0;" coordsize="21600,21600" o:spid="_x0000_s1026" filled="f" stroked="t" o:spt="32" type="#_x0000_t32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spacing w:line="400" w:lineRule="exact"/>
        <w:ind w:left="1200" w:firstLine="0"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400" w:lineRule="exact"/>
        <w:ind w:firstLineChars="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  <w:bookmarkStart w:name="_Hlk132199977" w:id="1"/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工艺要求</w:t>
      </w:r>
    </w:p>
    <w:p>
      <w:pPr>
        <w:spacing w:line="400" w:lineRule="exact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干燥</w:t>
      </w:r>
      <w:r>
        <w:rPr>
          <w:rFonts w:hint="eastAsia" w:ascii="宋体" w:hAnsi="宋体" w:eastAsia="宋体"/>
          <w:sz w:val="24"/>
          <w:szCs w:val="24"/>
        </w:rPr>
        <w:t>：将采挖出的丹参，干燥至水分含量在</w:t>
      </w:r>
      <w:r>
        <w:rPr>
          <w:rFonts w:ascii="宋体" w:hAnsi="宋体" w:eastAsia="宋体"/>
          <w:sz w:val="24"/>
          <w:szCs w:val="24"/>
        </w:rPr>
        <w:t>18%-28%之间。</w:t>
      </w:r>
    </w:p>
    <w:p>
      <w:pPr>
        <w:spacing w:line="400" w:lineRule="exact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净制</w:t>
      </w:r>
      <w:r>
        <w:rPr>
          <w:rFonts w:hint="eastAsia" w:ascii="宋体" w:hAnsi="宋体" w:eastAsia="宋体"/>
          <w:sz w:val="24"/>
          <w:szCs w:val="24"/>
        </w:rPr>
        <w:t>：将干燥好的丹参，除去芦头、茎秆、泥土、砂石等非药用部位和杂质</w:t>
      </w:r>
      <w:r>
        <w:rPr>
          <w:rFonts w:ascii="宋体" w:hAnsi="宋体" w:eastAsia="宋体"/>
          <w:sz w:val="24"/>
          <w:szCs w:val="24"/>
        </w:rPr>
        <w:t xml:space="preserve"> 。</w:t>
      </w:r>
    </w:p>
    <w:p>
      <w:pPr>
        <w:spacing w:line="400" w:lineRule="exact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清洗</w:t>
      </w:r>
      <w:r>
        <w:rPr>
          <w:rFonts w:hint="eastAsia" w:ascii="宋体" w:hAnsi="宋体" w:eastAsia="宋体"/>
          <w:sz w:val="24"/>
          <w:szCs w:val="24"/>
        </w:rPr>
        <w:t>：将净制好的丹参，流动水清洗至药材表面干净，无明显泥沙；并沥水至表面无明显水珠。</w:t>
      </w:r>
    </w:p>
    <w:p>
      <w:pPr>
        <w:spacing w:line="400" w:lineRule="exact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切制</w:t>
      </w:r>
      <w:r>
        <w:rPr>
          <w:rFonts w:hint="eastAsia" w:ascii="宋体" w:hAnsi="宋体" w:eastAsia="宋体"/>
          <w:sz w:val="24"/>
          <w:szCs w:val="24"/>
        </w:rPr>
        <w:t>：将清洗好的丹参，用切药机切</w:t>
      </w:r>
      <w:r>
        <w:rPr>
          <w:rFonts w:ascii="宋体" w:hAnsi="宋体" w:eastAsia="宋体"/>
          <w:sz w:val="24"/>
          <w:szCs w:val="24"/>
        </w:rPr>
        <w:t>2-4 mm的丹参片或切1-5 cm的丹参段。</w:t>
      </w:r>
    </w:p>
    <w:p>
      <w:pPr>
        <w:spacing w:line="400" w:lineRule="exact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干燥</w:t>
      </w:r>
      <w:r>
        <w:rPr>
          <w:rFonts w:hint="eastAsia" w:ascii="宋体" w:hAnsi="宋体" w:eastAsia="宋体"/>
          <w:sz w:val="24"/>
          <w:szCs w:val="24"/>
        </w:rPr>
        <w:t>：将切制好的丹参片或丹参段，晾晒或低温干燥至水分含量不高于</w:t>
      </w:r>
      <w:r>
        <w:rPr>
          <w:rFonts w:ascii="宋体" w:hAnsi="宋体" w:eastAsia="宋体"/>
          <w:sz w:val="24"/>
          <w:szCs w:val="24"/>
        </w:rPr>
        <w:t>13%。</w:t>
      </w:r>
    </w:p>
    <w:p>
      <w:pPr>
        <w:spacing w:line="400" w:lineRule="exact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筛选</w:t>
      </w:r>
      <w:r>
        <w:rPr>
          <w:rFonts w:hint="eastAsia" w:ascii="宋体" w:hAnsi="宋体" w:eastAsia="宋体"/>
          <w:sz w:val="24"/>
          <w:szCs w:val="24"/>
        </w:rPr>
        <w:t>：将干燥好的丹参片或段，筛选至药屑杂质和异形片的比例不超过</w:t>
      </w:r>
      <w:r>
        <w:rPr>
          <w:rFonts w:ascii="宋体" w:hAnsi="宋体" w:eastAsia="宋体"/>
          <w:sz w:val="24"/>
          <w:szCs w:val="24"/>
        </w:rPr>
        <w:t>3%。</w:t>
      </w:r>
    </w:p>
    <w:p>
      <w:pPr>
        <w:spacing w:line="400" w:lineRule="exact"/>
        <w:ind w:firstLine="482" w:firstLineChars="20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包装</w:t>
      </w:r>
      <w:r>
        <w:rPr>
          <w:rFonts w:hint="eastAsia" w:ascii="宋体" w:hAnsi="宋体" w:eastAsia="宋体"/>
          <w:sz w:val="24"/>
          <w:szCs w:val="24"/>
        </w:rPr>
        <w:t>：将筛选好的丹参片或段，按要求规格包装。</w:t>
      </w:r>
    </w:p>
    <w:bookmarkEnd w:id="1"/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bookmarkStart w:name="_Hlk88811775" w:id="2"/>
      <w:r>
        <w:rPr>
          <w:rFonts w:hint="eastAsia" w:ascii="黑体" w:hAnsi="黑体" w:eastAsia="黑体"/>
          <w:sz w:val="24"/>
          <w:szCs w:val="24"/>
        </w:rPr>
        <w:t>【性状】</w:t>
      </w:r>
      <w:bookmarkEnd w:id="2"/>
      <w:bookmarkStart w:name="_Hlk88813292" w:id="3"/>
      <w:r>
        <w:rPr>
          <w:rFonts w:hint="eastAsia" w:ascii="黑体" w:hAnsi="黑体" w:eastAsia="黑体"/>
          <w:sz w:val="24"/>
          <w:szCs w:val="24"/>
        </w:rPr>
        <w:t xml:space="preserve">  </w:t>
      </w:r>
      <w:bookmarkStart w:name="_Hlk132200166" w:id="4"/>
      <w:r>
        <w:rPr>
          <w:rFonts w:hint="eastAsia" w:ascii="宋体" w:hAnsi="宋体" w:eastAsia="宋体"/>
          <w:b/>
          <w:bCs/>
          <w:sz w:val="24"/>
          <w:szCs w:val="24"/>
        </w:rPr>
        <w:t>丹参片</w:t>
      </w:r>
      <w:r>
        <w:rPr>
          <w:rFonts w:ascii="宋体" w:hAnsi="宋体" w:eastAsia="宋体"/>
          <w:sz w:val="24"/>
          <w:szCs w:val="24"/>
        </w:rPr>
        <w:t xml:space="preserve"> 本品呈类圆形或椭圆形的厚片。片厚2-4 mm，直径0.3-1.5 cm。外表皮棕红色或暗棕红色，粗糙，具纵皱纹。切面有裂隙或略平整而致密，有的呈角质样，皮部棕红色，木部灰黄色或紫褐色，有黄白色放射状纹理。气微，味微苦涩。</w:t>
      </w:r>
    </w:p>
    <w:p>
      <w:pPr>
        <w:spacing w:line="400" w:lineRule="exact"/>
        <w:ind w:firstLine="600" w:firstLineChars="249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丹参段</w:t>
      </w:r>
      <w:r>
        <w:rPr>
          <w:rFonts w:ascii="宋体" w:hAnsi="宋体" w:eastAsia="宋体"/>
          <w:sz w:val="24"/>
          <w:szCs w:val="24"/>
        </w:rPr>
        <w:t xml:space="preserve"> 本品呈圆柱形的段，略弯曲，长1.0-5.0 cm，直径0.3-1.5 cm。外表皮棕红色或暗棕红色，粗糙，具纵皱纹。切面有裂隙或略平整而致密，有的呈角质样，皮部棕红色，木部灰黄色或紫褐色，有黄白色放射状纹理。气微，味微苦涩。</w:t>
      </w:r>
      <w:bookmarkEnd w:id="4"/>
    </w:p>
    <w:bookmarkEnd w:id="3"/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bookmarkStart w:name="_Hlk88811944" w:id="5"/>
      <w:r>
        <w:rPr>
          <w:rFonts w:hint="eastAsia" w:ascii="黑体" w:hAnsi="黑体" w:eastAsia="黑体"/>
          <w:sz w:val="24"/>
          <w:szCs w:val="24"/>
        </w:rPr>
        <w:t>【鉴别】</w:t>
      </w:r>
      <w:bookmarkEnd w:id="5"/>
      <w:r>
        <w:rPr>
          <w:rFonts w:hint="eastAsia" w:ascii="黑体" w:hAnsi="黑体" w:eastAsia="黑体"/>
          <w:sz w:val="24"/>
          <w:szCs w:val="24"/>
        </w:rPr>
        <w:t xml:space="preserve"> （</w:t>
      </w:r>
      <w:r>
        <w:rPr>
          <w:rFonts w:hint="eastAsia" w:ascii="宋体" w:hAnsi="宋体" w:eastAsia="宋体"/>
          <w:sz w:val="24"/>
          <w:szCs w:val="24"/>
        </w:rPr>
        <w:t>1）</w:t>
      </w:r>
      <w:r>
        <w:rPr>
          <w:rFonts w:ascii="宋体" w:hAnsi="宋体" w:eastAsia="宋体"/>
          <w:sz w:val="24"/>
          <w:szCs w:val="24"/>
        </w:rPr>
        <w:t>本品粉末红棕色。石细胞类圆形、类三角形、类长方形或不规则形，也有延长呈纤维状，边缘不平整，直径14-70μm，长可达257μm，孔沟明显，有的胞腔内含黄棕色物。木纤维多为纤维管胞，长梭形，末端斜尖或钝圆，直径12-27μm，具缘纹孔点状，纹孔斜裂缝状或十字形，孔沟稀疏。网纹导管和具缘纹孔导管直径11-60μm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取本品粉末1 g，加乙醇5 ml，超声处理15分钟，离心，取上清液作为供试品溶液。另取丹参对照药材1 g，同法制成对照药材溶液。再取丹参酮ⅡA对照品、丹酚酸B对照品，加乙醇制成每1 ml分别含0.5 mg和1.5 mg的混合溶液，作为对照品溶液。照薄层色谱法（中国药典</w:t>
      </w:r>
      <w:r>
        <w:rPr>
          <w:rFonts w:hint="eastAsia" w:ascii="宋体" w:hAnsi="宋体" w:eastAsia="宋体"/>
          <w:sz w:val="24"/>
          <w:szCs w:val="24"/>
        </w:rPr>
        <w:t>2020年版四部</w:t>
      </w:r>
      <w:r>
        <w:rPr>
          <w:rFonts w:ascii="宋体" w:hAnsi="宋体" w:eastAsia="宋体"/>
          <w:sz w:val="24"/>
          <w:szCs w:val="24"/>
        </w:rPr>
        <w:t>通则0502）试验，吸取上述三种溶液各5 μl，分别点于同一硅胶G薄层板上，使成条状，以三氯甲烷-甲苯-乙酸乙酯-甲醇-甲酸（6:4:8:1:4）为展开剂，展开，展至约4 cm，取出，晾干，再以石油醚（60-90 ℃）-乙酸乙酯（4:1）为展开剂，展开，展至约8 cm，取出，晾干，分别在日光及紫外光灯（365 nm）下检视。供试品色谱中，在与对照药材色谱和对照品色谱相应的位置上，显相同颜色的斑点或荧光斑点。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bookmarkStart w:name="_Hlk88815414" w:id="6"/>
      <w:r>
        <w:rPr>
          <w:rFonts w:hint="eastAsia" w:ascii="黑体" w:hAnsi="黑体" w:eastAsia="黑体"/>
          <w:sz w:val="24"/>
          <w:szCs w:val="24"/>
        </w:rPr>
        <w:t>【检查】</w:t>
      </w:r>
      <w:bookmarkEnd w:id="6"/>
      <w:r>
        <w:rPr>
          <w:rFonts w:hint="eastAsia" w:ascii="黑体" w:hAnsi="黑体" w:eastAsia="黑体"/>
          <w:sz w:val="24"/>
          <w:szCs w:val="24"/>
        </w:rPr>
        <w:t xml:space="preserve">  </w:t>
      </w:r>
      <w:r>
        <w:rPr>
          <w:rFonts w:ascii="宋体" w:hAnsi="宋体" w:eastAsia="宋体"/>
          <w:b/>
          <w:bCs/>
          <w:sz w:val="24"/>
          <w:szCs w:val="24"/>
        </w:rPr>
        <w:t>水分</w:t>
      </w:r>
      <w:r>
        <w:rPr>
          <w:rFonts w:ascii="宋体" w:hAnsi="宋体" w:eastAsia="宋体"/>
          <w:sz w:val="24"/>
          <w:szCs w:val="24"/>
        </w:rPr>
        <w:t xml:space="preserve">  不得过13.0%（中国药典</w:t>
      </w:r>
      <w:r>
        <w:rPr>
          <w:rFonts w:hint="eastAsia" w:ascii="宋体" w:hAnsi="宋体" w:eastAsia="宋体"/>
          <w:sz w:val="24"/>
          <w:szCs w:val="24"/>
        </w:rPr>
        <w:t>2020年版四部</w:t>
      </w:r>
      <w:r>
        <w:rPr>
          <w:rFonts w:ascii="宋体" w:hAnsi="宋体" w:eastAsia="宋体"/>
          <w:sz w:val="24"/>
          <w:szCs w:val="24"/>
        </w:rPr>
        <w:t>通则0832第二法）。</w:t>
      </w:r>
    </w:p>
    <w:p>
      <w:pPr>
        <w:spacing w:line="400" w:lineRule="exact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总灰分</w:t>
      </w:r>
      <w:r>
        <w:rPr>
          <w:rFonts w:ascii="宋体" w:hAnsi="宋体" w:eastAsia="宋体"/>
          <w:sz w:val="24"/>
          <w:szCs w:val="24"/>
        </w:rPr>
        <w:t xml:space="preserve">  不得过10.0%（中国药典</w:t>
      </w:r>
      <w:r>
        <w:rPr>
          <w:rFonts w:hint="eastAsia" w:ascii="宋体" w:hAnsi="宋体" w:eastAsia="宋体"/>
          <w:sz w:val="24"/>
          <w:szCs w:val="24"/>
        </w:rPr>
        <w:t>2020年版四部</w:t>
      </w:r>
      <w:r>
        <w:rPr>
          <w:rFonts w:ascii="宋体" w:hAnsi="宋体" w:eastAsia="宋体"/>
          <w:sz w:val="24"/>
          <w:szCs w:val="24"/>
        </w:rPr>
        <w:t>通则2302）。</w:t>
      </w:r>
    </w:p>
    <w:p>
      <w:pPr>
        <w:adjustRightInd w:val="0"/>
        <w:spacing w:line="400" w:lineRule="exact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酸不溶性灰分</w:t>
      </w:r>
      <w:r>
        <w:rPr>
          <w:rFonts w:ascii="宋体" w:hAnsi="宋体" w:eastAsia="宋体"/>
          <w:sz w:val="24"/>
          <w:szCs w:val="24"/>
        </w:rPr>
        <w:t xml:space="preserve">  不得过2.0%（中国药典</w:t>
      </w:r>
      <w:r>
        <w:rPr>
          <w:rFonts w:hint="eastAsia" w:ascii="宋体" w:hAnsi="宋体" w:eastAsia="宋体"/>
          <w:sz w:val="24"/>
          <w:szCs w:val="24"/>
        </w:rPr>
        <w:t>2020年版四部</w:t>
      </w:r>
      <w:r>
        <w:rPr>
          <w:rFonts w:ascii="宋体" w:hAnsi="宋体" w:eastAsia="宋体"/>
          <w:sz w:val="24"/>
          <w:szCs w:val="24"/>
        </w:rPr>
        <w:t>通则2302）。</w:t>
      </w:r>
    </w:p>
    <w:p>
      <w:pPr>
        <w:adjustRightInd w:val="0"/>
        <w:spacing w:line="400" w:lineRule="exact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重金属及有害元素</w:t>
      </w:r>
      <w:r>
        <w:rPr>
          <w:rFonts w:ascii="宋体" w:hAnsi="宋体" w:eastAsia="宋体"/>
          <w:sz w:val="24"/>
          <w:szCs w:val="24"/>
        </w:rPr>
        <w:t xml:space="preserve">  照铅、镉、砷、汞、铜测定法（中国药典</w:t>
      </w:r>
      <w:r>
        <w:rPr>
          <w:rFonts w:hint="eastAsia" w:ascii="宋体" w:hAnsi="宋体" w:eastAsia="宋体"/>
          <w:sz w:val="24"/>
          <w:szCs w:val="24"/>
        </w:rPr>
        <w:t>2020年版四部</w:t>
      </w:r>
      <w:r>
        <w:rPr>
          <w:rFonts w:ascii="宋体" w:hAnsi="宋体" w:eastAsia="宋体"/>
          <w:sz w:val="24"/>
          <w:szCs w:val="24"/>
        </w:rPr>
        <w:t>通则2321原子吸收分光光度法或电感耦合等离子体质谱法）测定，铅不得过5 mg/kg；镉不得过1 mg/kg；砷不得过2 mg/kg；汞不得过0.2 mg/kg；铜不得过20 mg/kg。</w:t>
      </w:r>
    </w:p>
    <w:p>
      <w:pPr>
        <w:spacing w:before="156" w:beforeLines="50" w:after="156" w:afterLines="50" w:line="400" w:lineRule="exact"/>
        <w:ind w:firstLine="480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name="_Hlk88815494" w:id="7"/>
      <w:r>
        <w:rPr>
          <w:rFonts w:hint="eastAsia" w:ascii="黑体" w:hAnsi="黑体" w:eastAsia="黑体"/>
          <w:sz w:val="24"/>
          <w:szCs w:val="24"/>
        </w:rPr>
        <w:t>【</w:t>
      </w:r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浸出物</w:t>
      </w:r>
      <w:r>
        <w:rPr>
          <w:rFonts w:hint="eastAsia" w:ascii="黑体" w:hAnsi="黑体" w:eastAsia="黑体"/>
          <w:sz w:val="24"/>
          <w:szCs w:val="24"/>
        </w:rPr>
        <w:t>】</w:t>
      </w:r>
      <w:bookmarkEnd w:id="7"/>
      <w:bookmarkStart w:name="_Hlk27553715" w:id="8"/>
      <w:r>
        <w:rPr>
          <w:rFonts w:hint="eastAsia" w:ascii="黑体" w:hAnsi="黑体" w:eastAsia="黑体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水溶性浸出物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照水溶性浸出物测定法（</w:t>
      </w:r>
      <w:r>
        <w:rPr>
          <w:rFonts w:ascii="宋体" w:hAnsi="宋体" w:eastAsia="宋体"/>
          <w:sz w:val="24"/>
          <w:szCs w:val="24"/>
        </w:rPr>
        <w:t>中国药典</w:t>
      </w:r>
      <w:r>
        <w:rPr>
          <w:rFonts w:hint="eastAsia" w:ascii="宋体" w:hAnsi="宋体" w:eastAsia="宋体"/>
          <w:sz w:val="24"/>
          <w:szCs w:val="24"/>
        </w:rPr>
        <w:t>2020年版四部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通则2201）项下的冷浸法测定，不得少于45.0%。</w:t>
      </w:r>
      <w:bookmarkEnd w:id="8"/>
    </w:p>
    <w:p>
      <w:pPr>
        <w:spacing w:before="156" w:beforeLines="50" w:after="156" w:afterLines="50" w:line="400" w:lineRule="exact"/>
        <w:ind w:firstLine="482" w:firstLineChars="20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醇溶性浸出物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 照醇溶性浸出物测定法（</w:t>
      </w:r>
      <w:r>
        <w:rPr>
          <w:rFonts w:ascii="宋体" w:hAnsi="宋体" w:eastAsia="宋体"/>
          <w:sz w:val="24"/>
          <w:szCs w:val="24"/>
        </w:rPr>
        <w:t>中国药典</w:t>
      </w:r>
      <w:r>
        <w:rPr>
          <w:rFonts w:hint="eastAsia" w:ascii="宋体" w:hAnsi="宋体" w:eastAsia="宋体"/>
          <w:sz w:val="24"/>
          <w:szCs w:val="24"/>
        </w:rPr>
        <w:t>2020年版四部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通则2201）项下的热浸法测定，用乙醇作溶剂，不得少于15.0%。</w:t>
      </w:r>
    </w:p>
    <w:p>
      <w:pPr>
        <w:spacing w:before="156" w:beforeLines="50" w:after="156" w:afterLines="50"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bookmarkStart w:name="_Hlk136505589" w:id="9"/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</w:t>
      </w:r>
      <w:r>
        <w:rPr>
          <w:rFonts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含量测定</w:t>
      </w:r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】</w:t>
      </w:r>
      <w:bookmarkEnd w:id="9"/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>丹参酮类</w:t>
      </w:r>
      <w:r>
        <w:rPr>
          <w:rFonts w:ascii="宋体" w:hAnsi="宋体" w:eastAsia="宋体"/>
          <w:sz w:val="24"/>
          <w:szCs w:val="24"/>
        </w:rPr>
        <w:t xml:space="preserve">  照高效液相色谱法（中国药典</w:t>
      </w:r>
      <w:r>
        <w:rPr>
          <w:rFonts w:hint="eastAsia" w:ascii="宋体" w:hAnsi="宋体" w:eastAsia="宋体"/>
          <w:sz w:val="24"/>
          <w:szCs w:val="24"/>
        </w:rPr>
        <w:t>2020年版四部</w:t>
      </w:r>
      <w:r>
        <w:rPr>
          <w:rFonts w:ascii="宋体" w:hAnsi="宋体" w:eastAsia="宋体"/>
          <w:sz w:val="24"/>
          <w:szCs w:val="24"/>
        </w:rPr>
        <w:t>通则0512）测定。</w:t>
      </w:r>
    </w:p>
    <w:p>
      <w:pPr>
        <w:spacing w:line="400" w:lineRule="exact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色谱条件与系统适用性试验  以十八烷基硅烷键合硅胶为填充剂；以乙腈为流动相A，以0.02% 磷酸溶液为流动相B，按下表中的规定进行梯度洗脱；柱温为20 ℃；检测波长为270 nm。理论板数按丹参酮ⅡA峰计算应不低于60000。 </w:t>
      </w:r>
    </w:p>
    <w:p>
      <w:pPr>
        <w:spacing w:line="400" w:lineRule="exact"/>
        <w:ind w:firstLine="480"/>
        <w:rPr>
          <w:rFonts w:ascii="宋体" w:hAnsi="宋体" w:eastAsia="宋体"/>
          <w:sz w:val="24"/>
          <w:szCs w:val="24"/>
        </w:rPr>
      </w:pPr>
    </w:p>
    <w:tbl>
      <w:tblPr>
        <w:tblStyle w:val="3"/>
        <w:tblW w:w="88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2230"/>
        <w:gridCol w:w="41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时间（分钟）</w:t>
            </w: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流动相A（%）</w:t>
            </w:r>
          </w:p>
        </w:tc>
        <w:tc>
          <w:tcPr>
            <w:tcW w:w="41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流动相B（%）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0-6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6-20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61→90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39→10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20-20.5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0→61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10→39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20.5-25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39</w:t>
            </w:r>
          </w:p>
        </w:tc>
      </w:tr>
    </w:tbl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对照品溶液的制备  取丹参酮ⅡA对照品适量，精密称定，置棕色量瓶中，加甲醇制成每1ml含20μg的溶液，即得。</w:t>
      </w:r>
    </w:p>
    <w:p>
      <w:pPr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供试品溶液的制备  取本品粉末（过三号筛）约0.3 g，精密称定，置具塞锥形瓶中，精密加入甲醇50 ml，密塞，称定重量，超声处理（功率140 W，频率42 kHz）30分钟，放冷，再称定重量，用甲醇补足减失的重量，摇匀，滤过，取续滤液，即得。</w:t>
      </w:r>
    </w:p>
    <w:p>
      <w:pPr>
        <w:spacing w:line="400" w:lineRule="exact"/>
        <w:ind w:firstLine="672" w:firstLineChars="2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测定法  分别精密吸取对照品溶液与供试品溶液各10μl，注入液相色谱仪，测定。以丹参酮ⅡA对照品为参照，以其相应的峰为S峰，计算隐丹参酮、丹参酮Ⅰ的相对保留时间，其相对保留时间应在规定值的±5%范围之内。相对保留时间及校正因子见下表：</w:t>
      </w:r>
    </w:p>
    <w:p>
      <w:pPr>
        <w:spacing w:line="400" w:lineRule="exact"/>
        <w:ind w:firstLine="672" w:firstLineChars="280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ind w:firstLine="435"/>
        <w:rPr>
          <w:rFonts w:ascii="宋体" w:hAnsi="宋体" w:eastAsia="宋体"/>
          <w:sz w:val="24"/>
          <w:szCs w:val="24"/>
        </w:rPr>
      </w:pPr>
    </w:p>
    <w:tbl>
      <w:tblPr>
        <w:tblStyle w:val="3"/>
        <w:tblW w:w="90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3118"/>
        <w:gridCol w:w="32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待测成分（峰）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相对保留时间</w:t>
            </w:r>
          </w:p>
        </w:tc>
        <w:tc>
          <w:tcPr>
            <w:tcW w:w="32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校正因子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隐丹参酮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0.75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丹参酮Ⅰ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0.79 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丹参酮ⅡA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1.00 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1.00 </w:t>
            </w:r>
          </w:p>
        </w:tc>
      </w:tr>
    </w:tbl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以丹参酮ⅡA的峰面积为对照，分别乘以校正因子，计算隐丹参酮、丹参酮Ⅰ、丹参酮ⅡA的含量。</w:t>
      </w:r>
    </w:p>
    <w:p>
      <w:pPr>
        <w:spacing w:line="400" w:lineRule="exact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本品按干燥品计算，含丹参酮ⅡA（C</w:t>
      </w:r>
      <w:r>
        <w:rPr>
          <w:rFonts w:ascii="宋体" w:hAnsi="宋体" w:eastAsia="宋体"/>
          <w:sz w:val="24"/>
          <w:szCs w:val="24"/>
          <w:vertAlign w:val="subscript"/>
        </w:rPr>
        <w:t>19</w:t>
      </w:r>
      <w:r>
        <w:rPr>
          <w:rFonts w:ascii="宋体" w:hAnsi="宋体" w:eastAsia="宋体"/>
          <w:sz w:val="24"/>
          <w:szCs w:val="24"/>
        </w:rPr>
        <w:t>H</w:t>
      </w:r>
      <w:r>
        <w:rPr>
          <w:rFonts w:ascii="宋体" w:hAnsi="宋体" w:eastAsia="宋体"/>
          <w:sz w:val="24"/>
          <w:szCs w:val="24"/>
          <w:vertAlign w:val="subscript"/>
        </w:rPr>
        <w:t>18</w:t>
      </w:r>
      <w:r>
        <w:rPr>
          <w:rFonts w:ascii="宋体" w:hAnsi="宋体" w:eastAsia="宋体"/>
          <w:sz w:val="24"/>
          <w:szCs w:val="24"/>
        </w:rPr>
        <w:t>O</w:t>
      </w:r>
      <w:r>
        <w:rPr>
          <w:rFonts w:ascii="宋体" w:hAnsi="宋体" w:eastAsia="宋体"/>
          <w:sz w:val="24"/>
          <w:szCs w:val="24"/>
          <w:vertAlign w:val="subscript"/>
        </w:rPr>
        <w:t>3</w:t>
      </w:r>
      <w:r>
        <w:rPr>
          <w:rFonts w:ascii="宋体" w:hAnsi="宋体" w:eastAsia="宋体"/>
          <w:sz w:val="24"/>
          <w:szCs w:val="24"/>
        </w:rPr>
        <w:t>）、隐丹参酮（C</w:t>
      </w:r>
      <w:r>
        <w:rPr>
          <w:rFonts w:ascii="宋体" w:hAnsi="宋体" w:eastAsia="宋体"/>
          <w:sz w:val="24"/>
          <w:szCs w:val="24"/>
          <w:vertAlign w:val="subscript"/>
        </w:rPr>
        <w:t>19</w:t>
      </w:r>
      <w:r>
        <w:rPr>
          <w:rFonts w:ascii="宋体" w:hAnsi="宋体" w:eastAsia="宋体"/>
          <w:sz w:val="24"/>
          <w:szCs w:val="24"/>
        </w:rPr>
        <w:t>H</w:t>
      </w:r>
      <w:r>
        <w:rPr>
          <w:rFonts w:ascii="宋体" w:hAnsi="宋体" w:eastAsia="宋体"/>
          <w:sz w:val="24"/>
          <w:szCs w:val="24"/>
          <w:vertAlign w:val="subscript"/>
        </w:rPr>
        <w:t>20</w:t>
      </w:r>
      <w:r>
        <w:rPr>
          <w:rFonts w:ascii="宋体" w:hAnsi="宋体" w:eastAsia="宋体"/>
          <w:sz w:val="24"/>
          <w:szCs w:val="24"/>
        </w:rPr>
        <w:t>O</w:t>
      </w:r>
      <w:r>
        <w:rPr>
          <w:rFonts w:ascii="宋体" w:hAnsi="宋体" w:eastAsia="宋体"/>
          <w:sz w:val="24"/>
          <w:szCs w:val="24"/>
          <w:vertAlign w:val="subscript"/>
        </w:rPr>
        <w:t>3</w:t>
      </w:r>
      <w:r>
        <w:rPr>
          <w:rFonts w:ascii="宋体" w:hAnsi="宋体" w:eastAsia="宋体"/>
          <w:sz w:val="24"/>
          <w:szCs w:val="24"/>
        </w:rPr>
        <w:t>）和丹参酮Ⅰ（C</w:t>
      </w:r>
      <w:r>
        <w:rPr>
          <w:rFonts w:ascii="宋体" w:hAnsi="宋体" w:eastAsia="宋体"/>
          <w:sz w:val="24"/>
          <w:szCs w:val="24"/>
          <w:vertAlign w:val="subscript"/>
        </w:rPr>
        <w:t>18</w:t>
      </w:r>
      <w:r>
        <w:rPr>
          <w:rFonts w:ascii="宋体" w:hAnsi="宋体" w:eastAsia="宋体"/>
          <w:sz w:val="24"/>
          <w:szCs w:val="24"/>
        </w:rPr>
        <w:t>H</w:t>
      </w:r>
      <w:r>
        <w:rPr>
          <w:rFonts w:ascii="宋体" w:hAnsi="宋体" w:eastAsia="宋体"/>
          <w:sz w:val="24"/>
          <w:szCs w:val="24"/>
          <w:vertAlign w:val="subscript"/>
        </w:rPr>
        <w:t>12</w:t>
      </w:r>
      <w:r>
        <w:rPr>
          <w:rFonts w:ascii="宋体" w:hAnsi="宋体" w:eastAsia="宋体"/>
          <w:sz w:val="24"/>
          <w:szCs w:val="24"/>
        </w:rPr>
        <w:t>O</w:t>
      </w:r>
      <w:r>
        <w:rPr>
          <w:rFonts w:ascii="宋体" w:hAnsi="宋体" w:eastAsia="宋体"/>
          <w:sz w:val="24"/>
          <w:szCs w:val="24"/>
          <w:vertAlign w:val="subscript"/>
        </w:rPr>
        <w:t>3</w:t>
      </w:r>
      <w:r>
        <w:rPr>
          <w:rFonts w:ascii="宋体" w:hAnsi="宋体" w:eastAsia="宋体"/>
          <w:sz w:val="24"/>
          <w:szCs w:val="24"/>
        </w:rPr>
        <w:t>）的总量不得少于0.25%。</w:t>
      </w:r>
    </w:p>
    <w:p>
      <w:pPr>
        <w:spacing w:line="400" w:lineRule="exact"/>
        <w:ind w:firstLine="600" w:firstLineChars="249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丹酚酸B </w:t>
      </w:r>
      <w:r>
        <w:rPr>
          <w:rFonts w:ascii="宋体" w:hAnsi="宋体" w:eastAsia="宋体"/>
          <w:sz w:val="24"/>
          <w:szCs w:val="24"/>
        </w:rPr>
        <w:t xml:space="preserve"> 照高效液相色谱法（中国药典</w:t>
      </w:r>
      <w:r>
        <w:rPr>
          <w:rFonts w:hint="eastAsia" w:ascii="宋体" w:hAnsi="宋体" w:eastAsia="宋体"/>
          <w:sz w:val="24"/>
          <w:szCs w:val="24"/>
        </w:rPr>
        <w:t>2020年版四部</w:t>
      </w:r>
      <w:r>
        <w:rPr>
          <w:rFonts w:ascii="宋体" w:hAnsi="宋体" w:eastAsia="宋体"/>
          <w:sz w:val="24"/>
          <w:szCs w:val="24"/>
        </w:rPr>
        <w:t>通则0512）测定。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t>色谱条件与系统适用性试验  以十八烷基硅烷键合硅胶为填充剂；以乙腈-0.1%磷酸溶液（22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78）为流动相；柱温为20℃；流速为每分钟1.2 ml；检测波长为286 nm。理论板数按丹酚酸B峰计算应不低于6000。</w:t>
      </w:r>
    </w:p>
    <w:p>
      <w:pPr>
        <w:spacing w:line="400" w:lineRule="exact"/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对照品溶液的制备  取丹酚酸B对照品适量，精密称定，加甲醇-水（8:2）混合溶液制成每1 ml含0.10 mg的溶液，即得。</w:t>
      </w:r>
    </w:p>
    <w:p>
      <w:pPr>
        <w:spacing w:line="400" w:lineRule="exact"/>
        <w:ind w:firstLine="588" w:firstLineChars="245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供试品溶液的制备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取本品粉末（过三号筛）约0.15 g，精密称定，置具塞锥形瓶中，精密加入甲醇-水（8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2）混合溶液50 ml，密塞，称定重量，超声处理（功率140 W，频率42 kHz）30分钟，放冷，再称定重量，用甲醇-水（8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2）混合溶液补足减失的重量，摇匀，滤过，精密量取续滤液5 ml，移至10 ml量瓶中，加甲醇-水（8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2）混合溶液稀释至刻度，摇匀，滤过，取续滤液，即得。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测定法 分别精密吸取对照品溶液与供试品溶液各10μl，注入液相色谱仪，测定，即得。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>本品按干燥品计算，含丹酚酸B（C</w:t>
      </w:r>
      <w:r>
        <w:rPr>
          <w:rFonts w:ascii="宋体" w:hAnsi="宋体" w:eastAsia="宋体"/>
          <w:sz w:val="24"/>
          <w:szCs w:val="24"/>
          <w:vertAlign w:val="subscript"/>
        </w:rPr>
        <w:t>36</w:t>
      </w:r>
      <w:r>
        <w:rPr>
          <w:rFonts w:ascii="宋体" w:hAnsi="宋体" w:eastAsia="宋体"/>
          <w:sz w:val="24"/>
          <w:szCs w:val="24"/>
        </w:rPr>
        <w:t>H</w:t>
      </w:r>
      <w:r>
        <w:rPr>
          <w:rFonts w:ascii="宋体" w:hAnsi="宋体" w:eastAsia="宋体"/>
          <w:sz w:val="24"/>
          <w:szCs w:val="24"/>
          <w:vertAlign w:val="subscript"/>
        </w:rPr>
        <w:t>30</w:t>
      </w:r>
      <w:r>
        <w:rPr>
          <w:rFonts w:ascii="宋体" w:hAnsi="宋体" w:eastAsia="宋体"/>
          <w:sz w:val="24"/>
          <w:szCs w:val="24"/>
        </w:rPr>
        <w:t>O</w:t>
      </w:r>
      <w:r>
        <w:rPr>
          <w:rFonts w:ascii="宋体" w:hAnsi="宋体" w:eastAsia="宋体"/>
          <w:sz w:val="24"/>
          <w:szCs w:val="24"/>
          <w:vertAlign w:val="subscript"/>
        </w:rPr>
        <w:t>16</w:t>
      </w:r>
      <w:r>
        <w:rPr>
          <w:rFonts w:ascii="宋体" w:hAnsi="宋体" w:eastAsia="宋体"/>
          <w:sz w:val="24"/>
          <w:szCs w:val="24"/>
        </w:rPr>
        <w:t>）不得少于3.0</w:t>
      </w:r>
      <w:r>
        <w:rPr>
          <w:rFonts w:hint="eastAsia" w:ascii="宋体" w:hAnsi="宋体" w:eastAsia="宋体"/>
          <w:sz w:val="24"/>
          <w:szCs w:val="24"/>
        </w:rPr>
        <w:t>%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before="312" w:beforeLines="100" w:after="312" w:afterLines="100" w:line="4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饮片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</w:t>
      </w:r>
      <w:r>
        <w:rPr>
          <w:rFonts w:hint="eastAsia" w:ascii="黑体" w:hAnsi="黑体" w:eastAsia="黑体"/>
          <w:sz w:val="24"/>
          <w:szCs w:val="24"/>
        </w:rPr>
        <w:t>【</w:t>
      </w:r>
      <w:bookmarkStart w:name="_Hlk132200716" w:id="10"/>
      <w:r>
        <w:rPr>
          <w:rFonts w:hint="eastAsia" w:ascii="黑体" w:hAnsi="黑体" w:eastAsia="黑体"/>
          <w:sz w:val="24"/>
          <w:szCs w:val="24"/>
        </w:rPr>
        <w:t>炮制</w:t>
      </w:r>
      <w:bookmarkEnd w:id="10"/>
      <w:r>
        <w:rPr>
          <w:rFonts w:hint="eastAsia" w:ascii="黑体" w:hAnsi="黑体" w:eastAsia="黑体"/>
          <w:sz w:val="24"/>
          <w:szCs w:val="24"/>
        </w:rPr>
        <w:t xml:space="preserve">】 </w:t>
      </w:r>
      <w:r>
        <w:rPr>
          <w:rFonts w:hint="eastAsia" w:ascii="宋体" w:hAnsi="宋体" w:eastAsia="宋体"/>
          <w:b/>
          <w:bCs/>
          <w:sz w:val="24"/>
          <w:szCs w:val="24"/>
        </w:rPr>
        <w:t>丹参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bookmarkStart w:name="_Hlk153180967" w:id="11"/>
      <w:r>
        <w:rPr>
          <w:rFonts w:hint="eastAsia" w:ascii="宋体" w:hAnsi="宋体" w:eastAsia="宋体"/>
          <w:bCs/>
          <w:sz w:val="24"/>
          <w:szCs w:val="24"/>
        </w:rPr>
        <w:t>取丹参（鲜制）片，</w:t>
      </w:r>
      <w:r>
        <w:rPr>
          <w:rFonts w:hint="eastAsia" w:ascii="宋体" w:hAnsi="宋体" w:eastAsia="宋体"/>
          <w:sz w:val="24"/>
          <w:szCs w:val="24"/>
        </w:rPr>
        <w:t>挑拣去杂，筛去灰屑</w:t>
      </w:r>
      <w:bookmarkEnd w:id="11"/>
      <w:r>
        <w:rPr>
          <w:rFonts w:hint="eastAsia" w:ascii="宋体" w:hAnsi="宋体" w:eastAsia="宋体"/>
          <w:sz w:val="24"/>
          <w:szCs w:val="24"/>
        </w:rPr>
        <w:t>；取丹参（鲜制）段，挑拣去杂，筛去灰屑，用于制剂投料。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</w:t>
      </w:r>
      <w:r>
        <w:rPr>
          <w:rFonts w:hint="eastAsia" w:ascii="黑体" w:hAnsi="黑体" w:eastAsia="黑体"/>
          <w:sz w:val="24"/>
          <w:szCs w:val="24"/>
        </w:rPr>
        <w:t xml:space="preserve">【性状】【鉴别】【检查】【浸出物】【含量测定】 </w:t>
      </w:r>
      <w:r>
        <w:rPr>
          <w:rFonts w:hint="eastAsia" w:ascii="宋体" w:hAnsi="宋体" w:eastAsia="宋体"/>
          <w:sz w:val="24"/>
          <w:szCs w:val="24"/>
        </w:rPr>
        <w:t>同药材。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</w:t>
      </w:r>
      <w:r>
        <w:rPr>
          <w:rFonts w:hint="eastAsia" w:ascii="黑体" w:hAnsi="黑体" w:eastAsia="黑体"/>
          <w:sz w:val="24"/>
          <w:szCs w:val="24"/>
        </w:rPr>
        <w:t xml:space="preserve">【性味与归经】 </w:t>
      </w:r>
      <w:r>
        <w:rPr>
          <w:rFonts w:hint="eastAsia" w:ascii="宋体" w:hAnsi="宋体" w:eastAsia="宋体"/>
          <w:sz w:val="24"/>
          <w:szCs w:val="24"/>
        </w:rPr>
        <w:t>苦，微寒。归心、肝经。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</w:t>
      </w:r>
      <w:r>
        <w:rPr>
          <w:rFonts w:hint="eastAsia" w:ascii="黑体" w:hAnsi="黑体" w:eastAsia="黑体"/>
          <w:sz w:val="24"/>
          <w:szCs w:val="24"/>
        </w:rPr>
        <w:t xml:space="preserve">【功能与主治】 </w:t>
      </w:r>
      <w:r>
        <w:rPr>
          <w:rFonts w:hint="eastAsia" w:ascii="宋体" w:hAnsi="宋体" w:eastAsia="宋体"/>
          <w:sz w:val="24"/>
          <w:szCs w:val="24"/>
        </w:rPr>
        <w:t>活血祛瘀，通经止痛，清心除烦，凉血消痈。用于胸痹心痛，脘腹胁痛，癥瘕积聚，热痹疼痛，心烦不眠，月经不调，痛经经闭，疮疡肿痛。</w:t>
      </w:r>
    </w:p>
    <w:p>
      <w:pPr>
        <w:spacing w:line="400" w:lineRule="exact"/>
        <w:ind w:firstLine="420"/>
        <w:rPr>
          <w:rFonts w:ascii="宋体" w:hAnsi="宋体" w:eastAsia="宋体"/>
          <w:sz w:val="24"/>
          <w:szCs w:val="24"/>
        </w:rPr>
      </w:pPr>
      <w:bookmarkStart w:name="_Hlk88814030" w:id="12"/>
      <w:r>
        <w:rPr>
          <w:rFonts w:hint="eastAsia" w:ascii="黑体" w:hAnsi="黑体" w:eastAsia="黑体"/>
          <w:sz w:val="24"/>
          <w:szCs w:val="24"/>
        </w:rPr>
        <w:t>【用法与用量】</w:t>
      </w:r>
      <w:bookmarkEnd w:id="12"/>
      <w:r>
        <w:rPr>
          <w:rFonts w:hint="eastAsia" w:ascii="黑体" w:hAnsi="黑体" w:eastAsia="黑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10～15g。</w:t>
      </w:r>
    </w:p>
    <w:p>
      <w:pPr>
        <w:spacing w:line="400" w:lineRule="exact"/>
        <w:ind w:firstLine="420"/>
        <w:rPr>
          <w:rFonts w:ascii="宋体" w:hAnsi="宋体" w:eastAsia="宋体"/>
          <w:sz w:val="24"/>
          <w:szCs w:val="24"/>
        </w:rPr>
      </w:pPr>
      <w:bookmarkStart w:name="_Hlk88814125" w:id="13"/>
      <w:r>
        <w:rPr>
          <w:rFonts w:hint="eastAsia" w:ascii="黑体" w:hAnsi="黑体" w:eastAsia="黑体"/>
          <w:sz w:val="24"/>
          <w:szCs w:val="24"/>
        </w:rPr>
        <w:t>【处方应付】</w:t>
      </w:r>
      <w:bookmarkEnd w:id="13"/>
      <w:r>
        <w:rPr>
          <w:rFonts w:hint="eastAsia" w:ascii="黑体" w:hAnsi="黑体" w:eastAsia="黑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写丹参，付丹参片。</w:t>
      </w:r>
    </w:p>
    <w:p>
      <w:pPr>
        <w:spacing w:line="400" w:lineRule="exact"/>
        <w:ind w:firstLine="420"/>
        <w:rPr>
          <w:rFonts w:ascii="宋体" w:hAnsi="宋体" w:eastAsia="宋体"/>
          <w:sz w:val="24"/>
          <w:szCs w:val="24"/>
        </w:rPr>
      </w:pPr>
      <w:bookmarkStart w:name="_Hlk88818380" w:id="14"/>
      <w:bookmarkStart w:name="_Hlk88818367" w:id="15"/>
      <w:r>
        <w:rPr>
          <w:rFonts w:hint="eastAsia" w:ascii="黑体" w:hAnsi="黑体" w:eastAsia="黑体"/>
          <w:sz w:val="24"/>
          <w:szCs w:val="24"/>
        </w:rPr>
        <w:t>【</w:t>
      </w:r>
      <w:bookmarkEnd w:id="14"/>
      <w:r>
        <w:rPr>
          <w:rFonts w:hint="eastAsia" w:ascii="黑体" w:hAnsi="黑体" w:eastAsia="黑体"/>
          <w:sz w:val="24"/>
          <w:szCs w:val="24"/>
        </w:rPr>
        <w:t>注意】</w:t>
      </w:r>
      <w:bookmarkEnd w:id="15"/>
      <w:r>
        <w:rPr>
          <w:rFonts w:hint="eastAsia" w:ascii="宋体" w:hAnsi="宋体" w:eastAsia="宋体"/>
          <w:sz w:val="24"/>
          <w:szCs w:val="24"/>
        </w:rPr>
        <w:t>不宜与藜芦同用。</w:t>
      </w:r>
    </w:p>
    <w:p>
      <w:pPr>
        <w:spacing w:line="400" w:lineRule="exact"/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【贮藏】</w:t>
      </w:r>
      <w:r>
        <w:rPr>
          <w:rFonts w:hint="eastAsia" w:ascii="宋体" w:hAnsi="宋体" w:eastAsia="宋体"/>
          <w:sz w:val="24"/>
          <w:szCs w:val="24"/>
        </w:rPr>
        <w:t>置干燥处。</w:t>
      </w:r>
    </w:p>
    <w:p>
      <w:pPr>
        <w:spacing w:line="400" w:lineRule="exact"/>
        <w:ind w:firstLine="420"/>
        <w:rPr>
          <w:rFonts w:ascii="宋体" w:hAnsi="宋体" w:eastAsia="宋体"/>
          <w:sz w:val="24"/>
          <w:szCs w:val="24"/>
        </w:rPr>
      </w:pPr>
    </w:p>
    <w:p>
      <w:pPr>
        <w:pStyle w:val="6"/>
        <w:spacing w:line="360" w:lineRule="auto"/>
        <w:ind w:firstLine="48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标准提出单位：</w:t>
      </w:r>
      <w:bookmarkStart w:name="_Hlk53996235" w:id="16"/>
      <w:r>
        <w:rPr>
          <w:rFonts w:hint="eastAsia" w:hAnsi="宋体" w:eastAsia="宋体"/>
          <w:sz w:val="24"/>
          <w:szCs w:val="24"/>
        </w:rPr>
        <w:t>陕西天士力植物药业有限责任公司</w:t>
      </w:r>
      <w:bookmarkEnd w:id="16"/>
      <w:r>
        <w:rPr>
          <w:rFonts w:hint="eastAsia" w:hAnsi="宋体" w:eastAsia="宋体"/>
          <w:sz w:val="24"/>
          <w:szCs w:val="24"/>
        </w:rPr>
        <w:t xml:space="preserve"> </w:t>
      </w:r>
    </w:p>
    <w:p>
      <w:pPr>
        <w:pStyle w:val="6"/>
        <w:spacing w:line="360" w:lineRule="auto"/>
        <w:ind w:left="0" w:leftChars="0" w:firstLine="2160" w:firstLineChars="9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陕西省中医药研究院</w:t>
      </w:r>
    </w:p>
    <w:p>
      <w:pPr>
        <w:pStyle w:val="6"/>
        <w:spacing w:line="360" w:lineRule="auto"/>
        <w:ind w:left="0" w:leftChars="0" w:firstLine="480" w:firstLineChars="2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标准复核单位：陕西省食品药品检验研究院</w:t>
      </w:r>
    </w:p>
    <w:p>
      <w:pPr>
        <w:pStyle w:val="6"/>
        <w:spacing w:line="360" w:lineRule="auto"/>
        <w:ind w:firstLine="48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主要起草人：张晨、赵宏光、张红、林向军、杨文怡、王晓婷、郭冬。</w:t>
      </w:r>
    </w:p>
    <w:p>
      <w:pPr>
        <w:spacing w:line="400" w:lineRule="exact"/>
        <w:ind w:firstLine="420"/>
        <w:rPr>
          <w:rFonts w:ascii="宋体" w:hAnsi="宋体" w:eastAsia="宋体"/>
          <w:sz w:val="24"/>
          <w:szCs w:val="24"/>
        </w:rPr>
      </w:pPr>
    </w:p>
    <w:p/>
    <w:p/>
    <w:sectPr>
      <w:footerReference w:type="default" r:id="rId3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95"/>
      <w:rPr>
        <w:rFonts w:ascii="宋体" w:hAnsi="宋体" w:eastAsia="宋体" w:cs="宋体"/>
        <w:sz w:val="26"/>
        <w:szCs w:val="2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2BC1"/>
    <w:multiLevelType w:val="multilevel"/>
    <w:tmpl w:val="28382BC1"/>
    <w:lvl w:ilvl="0" w:tentative="0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40D3A"/>
    <w:rsid w:val="12140D3A"/>
    <w:rsid w:val="4D347830"/>
    <w:rsid w:val="643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2023-12-26T08:50:00Z</dcterms:created>
  <dc:creator>田野</dc:creator>
  <cp:lastModifiedBy>田野</cp:lastModifiedBy>
  <dcterms:modified xsi:type="dcterms:W3CDTF">2023-12-26T08:51:22Z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