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7358">
      <w:pPr>
        <w:tabs>
          <w:tab w:val="left" w:pos="6480"/>
          <w:tab w:val="left" w:pos="7920"/>
        </w:tabs>
        <w:spacing w:line="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</w:t>
      </w:r>
    </w:p>
    <w:p w:rsidR="00000000" w:rsidRDefault="006B7358">
      <w:pPr>
        <w:adjustRightInd w:val="0"/>
        <w:spacing w:line="59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6B7358">
      <w:pPr>
        <w:adjustRightInd w:val="0"/>
        <w:spacing w:line="590" w:lineRule="exact"/>
        <w:ind w:firstLine="640" w:firstLineChars="200"/>
        <w:rPr>
          <w:rFonts w:hint="eastAsia" w:ascii="黑体" w:hAnsi="华文仿宋" w:eastAsia="黑体"/>
          <w:sz w:val="32"/>
          <w:szCs w:val="32"/>
        </w:rPr>
      </w:pPr>
    </w:p>
    <w:p w:rsidR="00000000" w:rsidRDefault="006B7358">
      <w:pPr>
        <w:adjustRightInd w:val="0"/>
        <w:spacing w:line="59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白芍总苷胶囊</w:t>
      </w:r>
      <w:r>
        <w:rPr>
          <w:rFonts w:hint="eastAsia" w:ascii="方正小标宋简体" w:hAnsi="仿宋" w:eastAsia="方正小标宋简体"/>
          <w:sz w:val="44"/>
          <w:szCs w:val="44"/>
        </w:rPr>
        <w:t>说明书修订</w:t>
      </w:r>
      <w:r>
        <w:rPr>
          <w:rFonts w:hint="eastAsia" w:ascii="方正小标宋简体" w:hAnsi="仿宋" w:eastAsia="方正小标宋简体"/>
          <w:sz w:val="44"/>
          <w:szCs w:val="44"/>
        </w:rPr>
        <w:t>要求</w:t>
      </w:r>
    </w:p>
    <w:p w:rsidR="00000000" w:rsidRDefault="006B7358">
      <w:pPr>
        <w:adjustRightInd w:val="0"/>
        <w:spacing w:line="590" w:lineRule="exact"/>
        <w:ind w:firstLine="880" w:firstLineChars="200"/>
        <w:rPr>
          <w:rFonts w:hint="eastAsia" w:ascii="方正小标宋简体" w:hAnsi="仿宋" w:eastAsia="方正小标宋简体"/>
          <w:sz w:val="44"/>
          <w:szCs w:val="44"/>
          <w:lang w:val="en"/>
        </w:rPr>
      </w:pP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</w:rPr>
        <w:instrText>ADDIN CNKISM.UserStyle</w:instrText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【不良反应】项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（一）删除以下内容：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不需处理，可以自行消失。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（二）应包含以下内容：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上市后监测中发现本品有以下不良反应报告：</w:t>
      </w:r>
    </w:p>
    <w:p w:rsidR="00000000" w:rsidRDefault="006B7358">
      <w:pPr>
        <w:adjustRightInd w:val="0"/>
        <w:spacing w:line="590" w:lineRule="exact"/>
        <w:ind w:firstLine="643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消化系统：</w:t>
      </w:r>
      <w:r>
        <w:rPr>
          <w:rFonts w:hint="eastAsia" w:ascii="仿宋_GB2312" w:hAnsi="仿宋" w:eastAsia="仿宋_GB2312"/>
          <w:sz w:val="32"/>
          <w:szCs w:val="32"/>
        </w:rPr>
        <w:t>恶心、呕吐</w:t>
      </w:r>
      <w:r>
        <w:rPr>
          <w:rFonts w:hint="eastAsia" w:ascii="仿宋_GB2312" w:hAnsi="仿宋" w:eastAsia="仿宋_GB2312"/>
          <w:sz w:val="32"/>
          <w:szCs w:val="32"/>
        </w:rPr>
        <w:t>、腹部不适、腹泻、腹痛、腹胀、排便频率增加、便秘、肝酶升高。</w:t>
      </w:r>
    </w:p>
    <w:p w:rsidR="00000000" w:rsidRDefault="006B7358">
      <w:pPr>
        <w:adjustRightInd w:val="0"/>
        <w:spacing w:line="590" w:lineRule="exact"/>
        <w:ind w:firstLine="643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皮肤及皮下组织：</w:t>
      </w:r>
      <w:r>
        <w:rPr>
          <w:rFonts w:hint="eastAsia" w:ascii="仿宋_GB2312" w:hAnsi="仿宋" w:eastAsia="仿宋_GB2312"/>
          <w:sz w:val="32"/>
          <w:szCs w:val="32"/>
        </w:rPr>
        <w:t>皮疹、荨麻疹、红斑、瘙痒。</w:t>
      </w:r>
    </w:p>
    <w:p w:rsidR="00000000" w:rsidRDefault="006B7358">
      <w:pPr>
        <w:adjustRightInd w:val="0"/>
        <w:spacing w:line="59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全身性及给药部位反应：</w:t>
      </w:r>
      <w:r>
        <w:rPr>
          <w:rFonts w:hint="eastAsia" w:ascii="仿宋_GB2312" w:hAnsi="仿宋" w:eastAsia="仿宋_GB2312"/>
          <w:sz w:val="32"/>
          <w:szCs w:val="32"/>
        </w:rPr>
        <w:t>乏力、胸部不适、水肿。</w:t>
      </w:r>
    </w:p>
    <w:p w:rsidR="00000000" w:rsidRDefault="006B7358">
      <w:pPr>
        <w:adjustRightInd w:val="0"/>
        <w:spacing w:line="59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神经系统及精神类反应：</w:t>
      </w:r>
      <w:r>
        <w:rPr>
          <w:rFonts w:hint="eastAsia" w:ascii="仿宋_GB2312" w:hAnsi="仿宋" w:eastAsia="仿宋_GB2312"/>
          <w:sz w:val="32"/>
          <w:szCs w:val="32"/>
        </w:rPr>
        <w:t>头晕、头痛。</w:t>
      </w:r>
    </w:p>
    <w:p w:rsidR="00000000" w:rsidRDefault="006B7358">
      <w:pPr>
        <w:adjustRightInd w:val="0"/>
        <w:spacing w:line="590" w:lineRule="exact"/>
        <w:ind w:firstLine="643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其他</w:t>
      </w:r>
      <w:r>
        <w:rPr>
          <w:rFonts w:hint="eastAsia" w:ascii="仿宋_GB2312" w:hAnsi="仿宋" w:eastAsia="仿宋_GB2312"/>
          <w:sz w:val="32"/>
          <w:szCs w:val="32"/>
        </w:rPr>
        <w:t>：过敏反应、心悸、食欲减退。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eastAsia="黑体"/>
          <w:color w:val="000000"/>
          <w:kern w:val="0"/>
          <w:sz w:val="32"/>
          <w:szCs w:val="32"/>
        </w:rPr>
        <w:t>【禁忌】</w:t>
      </w:r>
      <w:r>
        <w:rPr>
          <w:rFonts w:hint="eastAsia" w:ascii="黑体" w:hAnsi="黑体" w:eastAsia="黑体" w:cs="黑体"/>
          <w:sz w:val="32"/>
          <w:szCs w:val="32"/>
        </w:rPr>
        <w:t>项下应包含以下内容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对白芍总苷或制剂中其他任何成份过敏者禁用。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三、【注意事项】项下应包含以下内容</w:t>
      </w:r>
    </w:p>
    <w:p w:rsidR="00000000" w:rsidRDefault="006B7358">
      <w:pPr>
        <w:adjustRightInd w:val="0"/>
        <w:spacing w:line="590" w:lineRule="exact"/>
        <w:ind w:firstLine="624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1.</w:t>
      </w:r>
      <w:r>
        <w:rPr>
          <w:rFonts w:hint="eastAsia" w:eastAsia="仿宋_GB2312"/>
          <w:color w:val="000000"/>
          <w:kern w:val="0"/>
          <w:sz w:val="32"/>
          <w:szCs w:val="32"/>
        </w:rPr>
        <w:t>本品易引起腹泻，肠胃虚弱或已有腹泻症状的患者慎用。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2.</w:t>
      </w:r>
      <w:r>
        <w:rPr>
          <w:rFonts w:hint="eastAsia" w:eastAsia="仿宋_GB2312"/>
          <w:color w:val="000000"/>
          <w:kern w:val="0"/>
          <w:sz w:val="32"/>
          <w:szCs w:val="32"/>
        </w:rPr>
        <w:t>严重肝功能不全者慎用。</w:t>
      </w:r>
    </w:p>
    <w:p w:rsidR="00000000" w:rsidRDefault="006B7358">
      <w:pPr>
        <w:adjustRightInd w:val="0"/>
        <w:spacing w:line="590" w:lineRule="exact"/>
        <w:ind w:firstLine="640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</w:p>
    <w:p w:rsidR="00000000" w:rsidRDefault="006B7358"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</w:t>
      </w:r>
      <w:r>
        <w:rPr>
          <w:rFonts w:eastAsia="仿宋_GB2312"/>
          <w:color w:val="000000"/>
          <w:sz w:val="32"/>
          <w:szCs w:val="32"/>
        </w:rPr>
        <w:lastRenderedPageBreak/>
        <w:t>面或更严格的，应保留原批准内容。说明书其</w:t>
      </w:r>
      <w:r>
        <w:rPr>
          <w:rFonts w:eastAsia="仿宋_GB2312"/>
          <w:color w:val="000000"/>
          <w:sz w:val="32"/>
          <w:szCs w:val="32"/>
        </w:rPr>
        <w:t>他内容如与上述修订要求不一致的，应当一并进行修订。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000000" w:rsidRDefault="006B7358">
      <w:pPr>
        <w:ind w:firstLine="480" w:firstLineChars="150"/>
        <w:outlineLvl w:val="1"/>
        <w:rPr>
          <w:rFonts w:ascii="仿宋_GB2312" w:eastAsia="仿宋_GB2312"/>
          <w:color w:val="000000"/>
          <w:sz w:val="32"/>
          <w:szCs w:val="32"/>
        </w:rPr>
      </w:pPr>
    </w:p>
    <w:p w:rsidR="00000000" w:rsidRDefault="006B7358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:rsidR="006B7358" w:rsidRDefault="006B7358">
      <w:pPr>
        <w:rPr>
          <w:rFonts w:hint="eastAsia"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6B7358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58" w:rsidRDefault="006B7358">
      <w:r>
        <w:separator/>
      </w:r>
    </w:p>
  </w:endnote>
  <w:endnote w:type="continuationSeparator" w:id="0">
    <w:p w:rsidR="006B7358" w:rsidRDefault="006B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7358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6B73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7358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E6EE1" w:rsidRPr="00DE6EE1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58" w:rsidRDefault="006B7358">
      <w:r>
        <w:separator/>
      </w:r>
    </w:p>
  </w:footnote>
  <w:footnote w:type="continuationSeparator" w:id="0">
    <w:p w:rsidR="006B7358" w:rsidRDefault="006B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C5"/>
    <w:rsid w:val="3EAB0813"/>
    <w:rsid w:val="D37584DA"/>
    <w:rsid w:val="00192AC5"/>
    <w:rsid w:val="006B7358"/>
    <w:rsid w:val="00D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4B4EF-A041-4F45-9945-725E389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2023-04-24T08:43:00Z</dcterms:created>
  <dcterms:modified xsi:type="dcterms:W3CDTF">2023-04-24T08:43:00Z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