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1C3" w:rsidRPr="00DA232A" w:rsidRDefault="00D35FA5" w:rsidP="00F820E2">
      <w:pPr>
        <w:tabs>
          <w:tab w:val="left" w:pos="2340"/>
        </w:tabs>
        <w:adjustRightInd w:val="0"/>
        <w:snapToGrid w:val="0"/>
        <w:spacing w:line="480" w:lineRule="auto"/>
        <w:ind w:leftChars="-67" w:left="-141" w:firstLineChars="78" w:firstLine="281"/>
        <w:jc w:val="center"/>
        <w:rPr>
          <w:rFonts w:ascii="楷体_GB2312" w:eastAsia="楷体_GB2312" w:hAnsi="宋体"/>
          <w:sz w:val="36"/>
          <w:szCs w:val="36"/>
        </w:rPr>
      </w:pPr>
      <w:r>
        <w:rPr>
          <w:rFonts w:ascii="楷体_GB2312" w:eastAsia="楷体_GB2312" w:hAnsi="宋体" w:hint="eastAsia"/>
          <w:sz w:val="36"/>
          <w:szCs w:val="36"/>
        </w:rPr>
        <w:t>标准制定</w:t>
      </w:r>
      <w:r w:rsidR="00A762FC" w:rsidRPr="00DA232A">
        <w:rPr>
          <w:rFonts w:ascii="楷体_GB2312" w:eastAsia="楷体_GB2312" w:hAnsi="宋体" w:hint="eastAsia"/>
          <w:sz w:val="36"/>
          <w:szCs w:val="36"/>
        </w:rPr>
        <w:t>说明</w:t>
      </w:r>
    </w:p>
    <w:p w:rsidR="00A170DB" w:rsidRDefault="00650A2F" w:rsidP="009D5F4D">
      <w:pPr>
        <w:tabs>
          <w:tab w:val="left" w:pos="2340"/>
        </w:tabs>
        <w:adjustRightInd w:val="0"/>
        <w:snapToGrid w:val="0"/>
        <w:spacing w:line="480" w:lineRule="auto"/>
        <w:ind w:leftChars="-67" w:left="-141" w:firstLineChars="236" w:firstLine="708"/>
        <w:rPr>
          <w:rFonts w:ascii="楷体_GB2312" w:eastAsia="楷体_GB2312" w:hAnsi="宋体"/>
          <w:sz w:val="30"/>
          <w:szCs w:val="30"/>
        </w:rPr>
      </w:pPr>
      <w:r w:rsidRPr="00650A2F">
        <w:rPr>
          <w:rFonts w:ascii="楷体_GB2312" w:eastAsia="楷体_GB2312" w:hAnsi="宋体" w:hint="eastAsia"/>
          <w:sz w:val="30"/>
          <w:szCs w:val="30"/>
        </w:rPr>
        <w:t>坎地氢噻片</w:t>
      </w:r>
      <w:r w:rsidR="00D82217">
        <w:rPr>
          <w:rFonts w:ascii="楷体_GB2312" w:eastAsia="楷体_GB2312" w:hAnsi="宋体" w:hint="eastAsia"/>
          <w:sz w:val="30"/>
          <w:szCs w:val="30"/>
        </w:rPr>
        <w:t>现执</w:t>
      </w:r>
      <w:r w:rsidR="00A762FC" w:rsidRPr="00DA232A">
        <w:rPr>
          <w:rFonts w:ascii="楷体_GB2312" w:eastAsia="楷体_GB2312" w:hAnsi="宋体" w:hint="eastAsia"/>
          <w:sz w:val="30"/>
          <w:szCs w:val="30"/>
        </w:rPr>
        <w:t>行</w:t>
      </w:r>
      <w:r>
        <w:rPr>
          <w:rFonts w:ascii="楷体_GB2312" w:eastAsia="楷体_GB2312" w:hAnsi="宋体" w:hint="eastAsia"/>
          <w:sz w:val="30"/>
          <w:szCs w:val="30"/>
        </w:rPr>
        <w:t>注册</w:t>
      </w:r>
      <w:r w:rsidR="00A762FC" w:rsidRPr="00DA232A">
        <w:rPr>
          <w:rFonts w:ascii="楷体_GB2312" w:eastAsia="楷体_GB2312" w:hAnsi="宋体" w:hint="eastAsia"/>
          <w:sz w:val="30"/>
          <w:szCs w:val="30"/>
        </w:rPr>
        <w:t>标准。本次</w:t>
      </w:r>
      <w:r>
        <w:rPr>
          <w:rFonts w:ascii="楷体_GB2312" w:eastAsia="楷体_GB2312" w:hAnsi="宋体" w:hint="eastAsia"/>
          <w:sz w:val="30"/>
          <w:szCs w:val="30"/>
        </w:rPr>
        <w:t>制定</w:t>
      </w:r>
      <w:r w:rsidR="00217459">
        <w:rPr>
          <w:rFonts w:ascii="楷体_GB2312" w:eastAsia="楷体_GB2312" w:hAnsi="宋体"/>
          <w:sz w:val="30"/>
          <w:szCs w:val="30"/>
        </w:rPr>
        <w:t>国家药品标准，</w:t>
      </w:r>
      <w:r w:rsidR="00A762FC" w:rsidRPr="00DA232A">
        <w:rPr>
          <w:rFonts w:ascii="楷体_GB2312" w:eastAsia="楷体_GB2312" w:hAnsi="宋体"/>
          <w:sz w:val="30"/>
          <w:szCs w:val="30"/>
        </w:rPr>
        <w:t>对</w:t>
      </w:r>
      <w:r w:rsidR="00BF392E">
        <w:rPr>
          <w:rFonts w:ascii="楷体_GB2312" w:eastAsia="楷体_GB2312" w:hAnsi="宋体" w:hint="eastAsia"/>
          <w:sz w:val="30"/>
          <w:szCs w:val="30"/>
        </w:rPr>
        <w:t>通用名称</w:t>
      </w:r>
      <w:r w:rsidR="00BF392E">
        <w:rPr>
          <w:rFonts w:ascii="楷体_GB2312" w:eastAsia="楷体_GB2312" w:hAnsi="宋体"/>
          <w:sz w:val="30"/>
          <w:szCs w:val="30"/>
        </w:rPr>
        <w:t>、</w:t>
      </w:r>
      <w:r w:rsidR="00BF392E">
        <w:rPr>
          <w:rFonts w:ascii="楷体_GB2312" w:eastAsia="楷体_GB2312" w:hAnsi="宋体" w:hint="eastAsia"/>
          <w:sz w:val="30"/>
          <w:szCs w:val="30"/>
        </w:rPr>
        <w:t>有关物质等</w:t>
      </w:r>
      <w:r w:rsidR="00DA232A" w:rsidRPr="00DA232A">
        <w:rPr>
          <w:rFonts w:ascii="楷体_GB2312" w:eastAsia="楷体_GB2312" w:hAnsi="宋体" w:hint="eastAsia"/>
          <w:sz w:val="30"/>
          <w:szCs w:val="30"/>
        </w:rPr>
        <w:t>项</w:t>
      </w:r>
      <w:r w:rsidR="00A762FC" w:rsidRPr="00DA232A">
        <w:rPr>
          <w:rFonts w:ascii="楷体_GB2312" w:eastAsia="楷体_GB2312" w:hAnsi="宋体" w:hint="eastAsia"/>
          <w:sz w:val="30"/>
          <w:szCs w:val="30"/>
        </w:rPr>
        <w:t>进行</w:t>
      </w:r>
      <w:r>
        <w:rPr>
          <w:rFonts w:ascii="楷体_GB2312" w:eastAsia="楷体_GB2312" w:hAnsi="宋体" w:hint="eastAsia"/>
          <w:sz w:val="30"/>
          <w:szCs w:val="30"/>
        </w:rPr>
        <w:t>完善</w:t>
      </w:r>
      <w:r>
        <w:rPr>
          <w:rFonts w:ascii="楷体_GB2312" w:eastAsia="楷体_GB2312" w:hAnsi="宋体"/>
          <w:sz w:val="30"/>
          <w:szCs w:val="30"/>
        </w:rPr>
        <w:t>规范</w:t>
      </w:r>
      <w:r w:rsidR="00A762FC" w:rsidRPr="00DA232A">
        <w:rPr>
          <w:rFonts w:ascii="楷体_GB2312" w:eastAsia="楷体_GB2312" w:hAnsi="宋体" w:hint="eastAsia"/>
          <w:sz w:val="30"/>
          <w:szCs w:val="30"/>
        </w:rPr>
        <w:t>。起草单位</w:t>
      </w:r>
      <w:r>
        <w:rPr>
          <w:rFonts w:ascii="楷体_GB2312" w:eastAsia="楷体_GB2312" w:hAnsi="宋体" w:hint="eastAsia"/>
          <w:sz w:val="30"/>
          <w:szCs w:val="30"/>
        </w:rPr>
        <w:t>为</w:t>
      </w:r>
      <w:r>
        <w:rPr>
          <w:rFonts w:ascii="楷体_GB2312" w:eastAsia="楷体_GB2312" w:hAnsi="宋体"/>
          <w:sz w:val="30"/>
          <w:szCs w:val="30"/>
        </w:rPr>
        <w:t>广东省药品检验所</w:t>
      </w:r>
      <w:r w:rsidR="00A762FC" w:rsidRPr="00DA232A">
        <w:rPr>
          <w:rFonts w:ascii="楷体_GB2312" w:eastAsia="楷体_GB2312" w:hAnsi="宋体" w:hint="eastAsia"/>
          <w:sz w:val="30"/>
          <w:szCs w:val="30"/>
        </w:rPr>
        <w:t>，</w:t>
      </w:r>
      <w:r w:rsidR="00A762FC" w:rsidRPr="00DA232A">
        <w:rPr>
          <w:rFonts w:ascii="楷体_GB2312" w:eastAsia="楷体_GB2312" w:hAnsi="宋体"/>
          <w:sz w:val="30"/>
          <w:szCs w:val="30"/>
        </w:rPr>
        <w:t>复核单位</w:t>
      </w:r>
      <w:r w:rsidR="00A762FC" w:rsidRPr="00DA232A">
        <w:rPr>
          <w:rFonts w:ascii="楷体_GB2312" w:eastAsia="楷体_GB2312" w:hAnsi="宋体" w:hint="eastAsia"/>
          <w:sz w:val="30"/>
          <w:szCs w:val="30"/>
        </w:rPr>
        <w:t>为</w:t>
      </w:r>
      <w:r>
        <w:rPr>
          <w:rFonts w:ascii="楷体_GB2312" w:eastAsia="楷体_GB2312" w:hAnsi="宋体" w:hint="eastAsia"/>
          <w:sz w:val="30"/>
          <w:szCs w:val="30"/>
        </w:rPr>
        <w:t>江西省药品</w:t>
      </w:r>
      <w:r>
        <w:rPr>
          <w:rFonts w:ascii="楷体_GB2312" w:eastAsia="楷体_GB2312" w:hAnsi="宋体"/>
          <w:sz w:val="30"/>
          <w:szCs w:val="30"/>
        </w:rPr>
        <w:t>检验检测研究院</w:t>
      </w:r>
      <w:r w:rsidR="00DA232A" w:rsidRPr="00DA232A">
        <w:rPr>
          <w:rFonts w:ascii="楷体_GB2312" w:eastAsia="楷体_GB2312" w:hAnsi="宋体" w:hint="eastAsia"/>
          <w:sz w:val="30"/>
          <w:szCs w:val="30"/>
        </w:rPr>
        <w:t>。</w:t>
      </w:r>
      <w:bookmarkStart w:id="0" w:name="_GoBack"/>
      <w:bookmarkEnd w:id="0"/>
      <w:r w:rsidR="00DA232A" w:rsidRPr="00DA232A">
        <w:rPr>
          <w:rFonts w:ascii="楷体_GB2312" w:eastAsia="楷体_GB2312" w:hAnsi="宋体" w:hint="eastAsia"/>
          <w:sz w:val="30"/>
          <w:szCs w:val="30"/>
        </w:rPr>
        <w:t>公示</w:t>
      </w:r>
      <w:r w:rsidR="00DA232A" w:rsidRPr="00DA232A">
        <w:rPr>
          <w:rFonts w:ascii="楷体_GB2312" w:eastAsia="楷体_GB2312" w:hAnsi="宋体"/>
          <w:sz w:val="30"/>
          <w:szCs w:val="30"/>
        </w:rPr>
        <w:t>标准</w:t>
      </w:r>
      <w:r w:rsidR="00BF392E">
        <w:rPr>
          <w:rFonts w:ascii="楷体_GB2312" w:eastAsia="楷体_GB2312" w:hAnsi="宋体" w:hint="eastAsia"/>
          <w:sz w:val="30"/>
          <w:szCs w:val="30"/>
        </w:rPr>
        <w:t>主要</w:t>
      </w:r>
      <w:r w:rsidR="00BF392E">
        <w:rPr>
          <w:rFonts w:ascii="楷体_GB2312" w:eastAsia="楷体_GB2312" w:hAnsi="宋体"/>
          <w:sz w:val="30"/>
          <w:szCs w:val="30"/>
        </w:rPr>
        <w:t>内容</w:t>
      </w:r>
      <w:r w:rsidR="00DA232A" w:rsidRPr="00DA232A">
        <w:rPr>
          <w:rFonts w:ascii="楷体_GB2312" w:eastAsia="楷体_GB2312" w:hAnsi="宋体" w:hint="eastAsia"/>
          <w:sz w:val="30"/>
          <w:szCs w:val="30"/>
        </w:rPr>
        <w:t>：</w:t>
      </w:r>
    </w:p>
    <w:p w:rsidR="00A170DB" w:rsidRDefault="00A762FC" w:rsidP="009D5F4D">
      <w:pPr>
        <w:tabs>
          <w:tab w:val="left" w:pos="2340"/>
        </w:tabs>
        <w:adjustRightInd w:val="0"/>
        <w:snapToGrid w:val="0"/>
        <w:spacing w:line="480" w:lineRule="auto"/>
        <w:ind w:leftChars="-67" w:left="-141" w:firstLineChars="236" w:firstLine="708"/>
        <w:rPr>
          <w:rFonts w:ascii="楷体_GB2312" w:eastAsia="楷体_GB2312" w:hAnsi="宋体"/>
          <w:sz w:val="30"/>
          <w:szCs w:val="30"/>
        </w:rPr>
      </w:pPr>
      <w:r w:rsidRPr="00DA232A">
        <w:rPr>
          <w:rFonts w:ascii="楷体_GB2312" w:eastAsia="楷体_GB2312" w:hAnsi="宋体" w:hint="eastAsia"/>
          <w:sz w:val="30"/>
          <w:szCs w:val="30"/>
        </w:rPr>
        <w:t>1.</w:t>
      </w:r>
      <w:r w:rsidR="00A170DB">
        <w:rPr>
          <w:rFonts w:ascii="楷体_GB2312" w:eastAsia="楷体_GB2312" w:hAnsi="宋体" w:hint="eastAsia"/>
          <w:sz w:val="30"/>
          <w:szCs w:val="30"/>
        </w:rPr>
        <w:t>通用名称:</w:t>
      </w:r>
      <w:r w:rsidR="001B6B5E" w:rsidRPr="001B6B5E">
        <w:rPr>
          <w:rFonts w:eastAsia="华文楷体" w:hint="eastAsia"/>
          <w:color w:val="000000"/>
          <w:sz w:val="28"/>
          <w:szCs w:val="28"/>
        </w:rPr>
        <w:t xml:space="preserve"> </w:t>
      </w:r>
      <w:r w:rsidR="001B6B5E" w:rsidRPr="001B6B5E">
        <w:rPr>
          <w:rFonts w:ascii="楷体_GB2312" w:eastAsia="楷体_GB2312" w:hAnsi="宋体" w:hint="eastAsia"/>
          <w:sz w:val="30"/>
          <w:szCs w:val="30"/>
        </w:rPr>
        <w:t>根据中国药品通用名称命名原则</w:t>
      </w:r>
      <w:r w:rsidR="00BF392E">
        <w:rPr>
          <w:rFonts w:ascii="楷体_GB2312" w:eastAsia="楷体_GB2312" w:hAnsi="宋体" w:hint="eastAsia"/>
          <w:sz w:val="30"/>
          <w:szCs w:val="30"/>
        </w:rPr>
        <w:t>，</w:t>
      </w:r>
      <w:r w:rsidR="001B6B5E" w:rsidRPr="001B6B5E">
        <w:rPr>
          <w:rFonts w:ascii="楷体_GB2312" w:eastAsia="楷体_GB2312" w:hAnsi="宋体" w:hint="eastAsia"/>
          <w:sz w:val="30"/>
          <w:szCs w:val="30"/>
        </w:rPr>
        <w:t>规格为坎地沙坦酯8mg/氢氯噻嗪12.5mg及同比例的产品名称为坎地沙坦酯氢氯噻嗪片（I）；规格为坎地沙坦酯16mg/氢氯噻嗪12.5mg及同比例的产品名称为坎地沙坦酯氢氯噻嗪片（II）</w:t>
      </w:r>
      <w:r w:rsidR="001B6B5E">
        <w:rPr>
          <w:rFonts w:ascii="楷体_GB2312" w:eastAsia="楷体_GB2312" w:hAnsi="宋体" w:hint="eastAsia"/>
          <w:sz w:val="30"/>
          <w:szCs w:val="30"/>
        </w:rPr>
        <w:t>。</w:t>
      </w:r>
      <w:r w:rsidR="001B6B5E" w:rsidRPr="00650A2F">
        <w:rPr>
          <w:rFonts w:ascii="楷体_GB2312" w:eastAsia="楷体_GB2312" w:hAnsi="宋体" w:hint="eastAsia"/>
          <w:sz w:val="30"/>
          <w:szCs w:val="30"/>
        </w:rPr>
        <w:t>坎地氢噻片</w:t>
      </w:r>
      <w:r w:rsidR="00BF392E">
        <w:rPr>
          <w:rFonts w:ascii="楷体_GB2312" w:eastAsia="楷体_GB2312" w:hAnsi="宋体" w:hint="eastAsia"/>
          <w:sz w:val="30"/>
          <w:szCs w:val="30"/>
        </w:rPr>
        <w:t>作为</w:t>
      </w:r>
      <w:r w:rsidR="00BF392E">
        <w:rPr>
          <w:rFonts w:ascii="楷体_GB2312" w:eastAsia="楷体_GB2312" w:hAnsi="宋体"/>
          <w:sz w:val="30"/>
          <w:szCs w:val="30"/>
        </w:rPr>
        <w:t>曾用名</w:t>
      </w:r>
      <w:r w:rsidR="00DA232A" w:rsidRPr="00DA232A">
        <w:rPr>
          <w:rFonts w:ascii="楷体_GB2312" w:eastAsia="楷体_GB2312" w:hAnsi="宋体" w:hint="eastAsia"/>
          <w:sz w:val="30"/>
          <w:szCs w:val="30"/>
        </w:rPr>
        <w:t>；</w:t>
      </w:r>
    </w:p>
    <w:p w:rsidR="00A170DB" w:rsidRDefault="00AD6E80" w:rsidP="009D5F4D">
      <w:pPr>
        <w:tabs>
          <w:tab w:val="left" w:pos="2340"/>
        </w:tabs>
        <w:adjustRightInd w:val="0"/>
        <w:snapToGrid w:val="0"/>
        <w:spacing w:line="480" w:lineRule="auto"/>
        <w:ind w:leftChars="-67" w:left="-141" w:firstLineChars="236" w:firstLine="708"/>
        <w:rPr>
          <w:rFonts w:ascii="楷体_GB2312" w:eastAsia="楷体_GB2312" w:hAnsi="宋体"/>
          <w:sz w:val="30"/>
          <w:szCs w:val="30"/>
        </w:rPr>
      </w:pPr>
      <w:r>
        <w:rPr>
          <w:rFonts w:ascii="楷体_GB2312" w:eastAsia="楷体_GB2312" w:hAnsi="宋体" w:hint="eastAsia"/>
          <w:sz w:val="30"/>
          <w:szCs w:val="30"/>
        </w:rPr>
        <w:t>2</w:t>
      </w:r>
      <w:r>
        <w:rPr>
          <w:rFonts w:ascii="楷体_GB2312" w:eastAsia="楷体_GB2312" w:hAnsi="宋体"/>
          <w:sz w:val="30"/>
          <w:szCs w:val="30"/>
        </w:rPr>
        <w:t>.</w:t>
      </w:r>
      <w:r w:rsidR="001B6B5E" w:rsidRPr="001B6B5E">
        <w:rPr>
          <w:rFonts w:ascii="楷体_GB2312" w:eastAsia="楷体_GB2312" w:hAnsi="宋体" w:hint="eastAsia"/>
          <w:sz w:val="30"/>
          <w:szCs w:val="30"/>
        </w:rPr>
        <w:t xml:space="preserve"> </w:t>
      </w:r>
      <w:r w:rsidR="001B6B5E" w:rsidRPr="001B6B5E">
        <w:rPr>
          <w:rFonts w:ascii="楷体_GB2312" w:eastAsia="楷体_GB2312" w:hAnsi="宋体" w:hint="eastAsia"/>
          <w:sz w:val="30"/>
          <w:szCs w:val="30"/>
        </w:rPr>
        <w:t>性状：片剂的独特颜色、是否带划痕、形状等一般为企业产品特色，故不</w:t>
      </w:r>
      <w:r w:rsidR="001B6B5E">
        <w:rPr>
          <w:rFonts w:ascii="楷体_GB2312" w:eastAsia="楷体_GB2312" w:hAnsi="宋体" w:hint="eastAsia"/>
          <w:sz w:val="30"/>
          <w:szCs w:val="30"/>
        </w:rPr>
        <w:t>再国家</w:t>
      </w:r>
      <w:r w:rsidR="001B6B5E">
        <w:rPr>
          <w:rFonts w:ascii="楷体_GB2312" w:eastAsia="楷体_GB2312" w:hAnsi="宋体"/>
          <w:sz w:val="30"/>
          <w:szCs w:val="30"/>
        </w:rPr>
        <w:t>标准中</w:t>
      </w:r>
      <w:r w:rsidR="001B6B5E">
        <w:rPr>
          <w:rFonts w:ascii="楷体_GB2312" w:eastAsia="楷体_GB2312" w:hAnsi="宋体" w:hint="eastAsia"/>
          <w:sz w:val="30"/>
          <w:szCs w:val="30"/>
        </w:rPr>
        <w:t>体现</w:t>
      </w:r>
      <w:r w:rsidR="005C50EB">
        <w:rPr>
          <w:rFonts w:ascii="楷体_GB2312" w:eastAsia="楷体_GB2312" w:hAnsi="宋体" w:hint="eastAsia"/>
          <w:sz w:val="30"/>
          <w:szCs w:val="30"/>
        </w:rPr>
        <w:t>；</w:t>
      </w:r>
    </w:p>
    <w:p w:rsidR="00A762FC" w:rsidRPr="009D5F4D" w:rsidRDefault="00AD6E80" w:rsidP="009D5F4D">
      <w:pPr>
        <w:tabs>
          <w:tab w:val="left" w:pos="2340"/>
        </w:tabs>
        <w:adjustRightInd w:val="0"/>
        <w:snapToGrid w:val="0"/>
        <w:spacing w:line="480" w:lineRule="auto"/>
        <w:ind w:leftChars="-67" w:left="-141" w:firstLineChars="236" w:firstLine="708"/>
        <w:rPr>
          <w:rFonts w:ascii="楷体_GB2312" w:eastAsia="楷体_GB2312" w:hAnsi="宋体"/>
          <w:sz w:val="30"/>
          <w:szCs w:val="30"/>
        </w:rPr>
      </w:pPr>
      <w:r>
        <w:rPr>
          <w:rFonts w:ascii="楷体_GB2312" w:eastAsia="楷体_GB2312" w:hAnsi="宋体"/>
          <w:sz w:val="30"/>
          <w:szCs w:val="30"/>
        </w:rPr>
        <w:t>3.</w:t>
      </w:r>
      <w:r w:rsidR="009D5F4D" w:rsidRPr="009D5F4D">
        <w:rPr>
          <w:rFonts w:eastAsia="华文楷体" w:hint="eastAsia"/>
          <w:color w:val="000000"/>
          <w:sz w:val="28"/>
          <w:szCs w:val="28"/>
        </w:rPr>
        <w:t xml:space="preserve"> </w:t>
      </w:r>
      <w:r w:rsidR="009D5F4D" w:rsidRPr="009D5F4D">
        <w:rPr>
          <w:rFonts w:ascii="楷体_GB2312" w:eastAsia="楷体_GB2312" w:hAnsi="宋体" w:hint="eastAsia"/>
          <w:sz w:val="30"/>
          <w:szCs w:val="30"/>
        </w:rPr>
        <w:t>有关物质：</w:t>
      </w:r>
      <w:r w:rsidR="009D5F4D" w:rsidRPr="009D5F4D">
        <w:rPr>
          <w:rFonts w:ascii="楷体_GB2312" w:eastAsia="楷体_GB2312" w:hAnsi="宋体"/>
          <w:sz w:val="30"/>
          <w:szCs w:val="30"/>
        </w:rPr>
        <w:t>坎地沙坦酯系统适用性贮备溶液</w:t>
      </w:r>
      <w:r w:rsidR="009D5F4D" w:rsidRPr="009D5F4D">
        <w:rPr>
          <w:rFonts w:ascii="楷体_GB2312" w:eastAsia="楷体_GB2312" w:hAnsi="宋体" w:hint="eastAsia"/>
          <w:sz w:val="30"/>
          <w:szCs w:val="30"/>
        </w:rPr>
        <w:t>（</w:t>
      </w:r>
      <w:r w:rsidR="009D5F4D" w:rsidRPr="009D5F4D">
        <w:rPr>
          <w:rFonts w:ascii="楷体_GB2312" w:eastAsia="楷体_GB2312" w:hAnsi="宋体"/>
          <w:sz w:val="30"/>
          <w:szCs w:val="30"/>
        </w:rPr>
        <w:t>1</w:t>
      </w:r>
      <w:r w:rsidR="009D5F4D" w:rsidRPr="009D5F4D">
        <w:rPr>
          <w:rFonts w:ascii="楷体_GB2312" w:eastAsia="楷体_GB2312" w:hAnsi="宋体" w:hint="eastAsia"/>
          <w:sz w:val="30"/>
          <w:szCs w:val="30"/>
        </w:rPr>
        <w:t>）</w:t>
      </w:r>
      <w:r w:rsidR="009D5F4D">
        <w:rPr>
          <w:rFonts w:ascii="楷体_GB2312" w:eastAsia="楷体_GB2312" w:hAnsi="宋体" w:hint="eastAsia"/>
          <w:sz w:val="30"/>
          <w:szCs w:val="30"/>
        </w:rPr>
        <w:t>制备时</w:t>
      </w:r>
      <w:r w:rsidR="009D5F4D">
        <w:rPr>
          <w:rFonts w:ascii="楷体_GB2312" w:eastAsia="楷体_GB2312" w:hAnsi="宋体"/>
          <w:sz w:val="30"/>
          <w:szCs w:val="30"/>
        </w:rPr>
        <w:t>，</w:t>
      </w:r>
      <w:r w:rsidR="009D5F4D" w:rsidRPr="009D5F4D">
        <w:rPr>
          <w:rFonts w:ascii="楷体_GB2312" w:eastAsia="楷体_GB2312" w:hAnsi="宋体" w:hint="eastAsia"/>
          <w:sz w:val="30"/>
          <w:szCs w:val="30"/>
        </w:rPr>
        <w:t>加热破坏需要待溶剂中的乙腈挥发后才会破坏出坎地沙坦酯各杂质峰，50ml溶剂水浴加热至乙腈挥发，剩余约20ml水，此时观察到浑浊溶液，继续水浴加热破坏产生杂质峰。</w:t>
      </w:r>
      <w:r w:rsidR="009D5F4D">
        <w:rPr>
          <w:rFonts w:ascii="楷体_GB2312" w:eastAsia="楷体_GB2312" w:hAnsi="宋体" w:hint="eastAsia"/>
          <w:sz w:val="30"/>
          <w:szCs w:val="30"/>
        </w:rPr>
        <w:t>经试验</w:t>
      </w:r>
      <w:r w:rsidR="009D5F4D">
        <w:rPr>
          <w:rFonts w:ascii="楷体_GB2312" w:eastAsia="楷体_GB2312" w:hAnsi="宋体"/>
          <w:sz w:val="30"/>
          <w:szCs w:val="30"/>
        </w:rPr>
        <w:t>考察不同</w:t>
      </w:r>
      <w:r w:rsidR="009D5F4D">
        <w:rPr>
          <w:rFonts w:ascii="楷体_GB2312" w:eastAsia="楷体_GB2312" w:hAnsi="宋体" w:hint="eastAsia"/>
          <w:sz w:val="30"/>
          <w:szCs w:val="30"/>
        </w:rPr>
        <w:t>加热</w:t>
      </w:r>
      <w:r w:rsidR="009D5F4D">
        <w:rPr>
          <w:rFonts w:ascii="楷体_GB2312" w:eastAsia="楷体_GB2312" w:hAnsi="宋体"/>
          <w:sz w:val="30"/>
          <w:szCs w:val="30"/>
        </w:rPr>
        <w:t>时间和温度，</w:t>
      </w:r>
      <w:r w:rsidR="009D5F4D">
        <w:rPr>
          <w:rFonts w:ascii="楷体_GB2312" w:eastAsia="楷体_GB2312" w:hAnsi="宋体" w:hint="eastAsia"/>
          <w:sz w:val="30"/>
          <w:szCs w:val="30"/>
        </w:rPr>
        <w:t>确认</w:t>
      </w:r>
      <w:r w:rsidR="009D5F4D" w:rsidRPr="009D5F4D">
        <w:rPr>
          <w:rFonts w:ascii="楷体_GB2312" w:eastAsia="楷体_GB2312" w:hAnsi="宋体" w:hint="eastAsia"/>
          <w:sz w:val="30"/>
          <w:szCs w:val="30"/>
        </w:rPr>
        <w:t>100℃水浴加热1小时的色谱图杂质峰破坏</w:t>
      </w:r>
      <w:r w:rsidR="009D5F4D">
        <w:rPr>
          <w:rFonts w:ascii="楷体_GB2312" w:eastAsia="楷体_GB2312" w:hAnsi="宋体" w:hint="eastAsia"/>
          <w:sz w:val="30"/>
          <w:szCs w:val="30"/>
        </w:rPr>
        <w:t>结果</w:t>
      </w:r>
      <w:r w:rsidR="009D5F4D">
        <w:rPr>
          <w:rFonts w:ascii="楷体_GB2312" w:eastAsia="楷体_GB2312" w:hAnsi="宋体"/>
          <w:sz w:val="30"/>
          <w:szCs w:val="30"/>
        </w:rPr>
        <w:t>明确</w:t>
      </w:r>
      <w:r w:rsidR="009D5F4D" w:rsidRPr="009D5F4D">
        <w:rPr>
          <w:rFonts w:ascii="楷体_GB2312" w:eastAsia="楷体_GB2312" w:hAnsi="宋体" w:hint="eastAsia"/>
          <w:sz w:val="30"/>
          <w:szCs w:val="30"/>
        </w:rPr>
        <w:t>，</w:t>
      </w:r>
      <w:r w:rsidR="009D5F4D">
        <w:rPr>
          <w:rFonts w:ascii="楷体_GB2312" w:eastAsia="楷体_GB2312" w:hAnsi="宋体" w:hint="eastAsia"/>
          <w:sz w:val="30"/>
          <w:szCs w:val="30"/>
        </w:rPr>
        <w:t>方法</w:t>
      </w:r>
      <w:r w:rsidR="009D5F4D">
        <w:rPr>
          <w:rFonts w:ascii="楷体_GB2312" w:eastAsia="楷体_GB2312" w:hAnsi="宋体"/>
          <w:sz w:val="30"/>
          <w:szCs w:val="30"/>
        </w:rPr>
        <w:t>耐用性较好，</w:t>
      </w:r>
      <w:r w:rsidR="009D5F4D">
        <w:rPr>
          <w:rFonts w:ascii="楷体_GB2312" w:eastAsia="楷体_GB2312" w:hAnsi="宋体" w:hint="eastAsia"/>
          <w:sz w:val="30"/>
          <w:szCs w:val="30"/>
        </w:rPr>
        <w:t>故选择</w:t>
      </w:r>
      <w:r w:rsidR="009D5F4D">
        <w:rPr>
          <w:rFonts w:ascii="楷体_GB2312" w:eastAsia="楷体_GB2312" w:hAnsi="宋体"/>
          <w:sz w:val="30"/>
          <w:szCs w:val="30"/>
        </w:rPr>
        <w:t>此破坏条件，</w:t>
      </w:r>
      <w:r w:rsidR="009D5F4D">
        <w:rPr>
          <w:rFonts w:ascii="楷体_GB2312" w:eastAsia="楷体_GB2312" w:hAnsi="宋体" w:hint="eastAsia"/>
          <w:sz w:val="30"/>
          <w:szCs w:val="30"/>
        </w:rPr>
        <w:t>标准</w:t>
      </w:r>
      <w:r w:rsidR="009D5F4D">
        <w:rPr>
          <w:rFonts w:ascii="楷体_GB2312" w:eastAsia="楷体_GB2312" w:hAnsi="宋体"/>
          <w:sz w:val="30"/>
          <w:szCs w:val="30"/>
        </w:rPr>
        <w:t>中</w:t>
      </w:r>
      <w:r w:rsidR="009D5F4D" w:rsidRPr="009D5F4D">
        <w:rPr>
          <w:rFonts w:ascii="楷体_GB2312" w:eastAsia="楷体_GB2312" w:hAnsi="宋体" w:hint="eastAsia"/>
          <w:sz w:val="30"/>
          <w:szCs w:val="30"/>
        </w:rPr>
        <w:t>附</w:t>
      </w:r>
      <w:r w:rsidR="009D5F4D">
        <w:rPr>
          <w:rFonts w:ascii="楷体_GB2312" w:eastAsia="楷体_GB2312" w:hAnsi="宋体" w:hint="eastAsia"/>
          <w:sz w:val="30"/>
          <w:szCs w:val="30"/>
        </w:rPr>
        <w:t>典型</w:t>
      </w:r>
      <w:r w:rsidR="009D5F4D">
        <w:rPr>
          <w:rFonts w:ascii="楷体_GB2312" w:eastAsia="楷体_GB2312" w:hAnsi="宋体"/>
          <w:sz w:val="30"/>
          <w:szCs w:val="30"/>
        </w:rPr>
        <w:t>色谱</w:t>
      </w:r>
      <w:r w:rsidR="009D5F4D" w:rsidRPr="009D5F4D">
        <w:rPr>
          <w:rFonts w:ascii="楷体_GB2312" w:eastAsia="楷体_GB2312" w:hAnsi="宋体" w:hint="eastAsia"/>
          <w:sz w:val="30"/>
          <w:szCs w:val="30"/>
        </w:rPr>
        <w:t>图。</w:t>
      </w:r>
    </w:p>
    <w:sectPr w:rsidR="00A762FC" w:rsidRPr="009D5F4D" w:rsidSect="009D5F4D">
      <w:pgSz w:w="11906" w:h="16838"/>
      <w:pgMar w:top="1440" w:right="17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2FC" w:rsidRDefault="00A762FC" w:rsidP="00A762FC">
      <w:r>
        <w:separator/>
      </w:r>
    </w:p>
  </w:endnote>
  <w:endnote w:type="continuationSeparator" w:id="0">
    <w:p w:rsidR="00A762FC" w:rsidRDefault="00A762FC" w:rsidP="00A76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2FC" w:rsidRDefault="00A762FC" w:rsidP="00A762FC">
      <w:r>
        <w:separator/>
      </w:r>
    </w:p>
  </w:footnote>
  <w:footnote w:type="continuationSeparator" w:id="0">
    <w:p w:rsidR="00A762FC" w:rsidRDefault="00A762FC" w:rsidP="00A76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8F9"/>
    <w:rsid w:val="000361C3"/>
    <w:rsid w:val="000F693E"/>
    <w:rsid w:val="001B6B5E"/>
    <w:rsid w:val="00217459"/>
    <w:rsid w:val="00283175"/>
    <w:rsid w:val="00386598"/>
    <w:rsid w:val="0041723D"/>
    <w:rsid w:val="004C3D87"/>
    <w:rsid w:val="005C50EB"/>
    <w:rsid w:val="00650A2F"/>
    <w:rsid w:val="006D3BF6"/>
    <w:rsid w:val="008468F9"/>
    <w:rsid w:val="00940EEB"/>
    <w:rsid w:val="009D5F4D"/>
    <w:rsid w:val="00A170DB"/>
    <w:rsid w:val="00A40B42"/>
    <w:rsid w:val="00A762FC"/>
    <w:rsid w:val="00AD6E80"/>
    <w:rsid w:val="00B6270E"/>
    <w:rsid w:val="00BF392E"/>
    <w:rsid w:val="00D35FA5"/>
    <w:rsid w:val="00D82217"/>
    <w:rsid w:val="00DA232A"/>
    <w:rsid w:val="00F82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1A728"/>
  <w15:chartTrackingRefBased/>
  <w15:docId w15:val="{9E3E9A0A-691F-4DE9-A883-A114FE5B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2F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762FC"/>
    <w:rPr>
      <w:sz w:val="18"/>
      <w:szCs w:val="18"/>
    </w:rPr>
  </w:style>
  <w:style w:type="paragraph" w:styleId="a5">
    <w:name w:val="footer"/>
    <w:basedOn w:val="a"/>
    <w:link w:val="a6"/>
    <w:uiPriority w:val="99"/>
    <w:unhideWhenUsed/>
    <w:rsid w:val="00A762FC"/>
    <w:pPr>
      <w:tabs>
        <w:tab w:val="center" w:pos="4153"/>
        <w:tab w:val="right" w:pos="8306"/>
      </w:tabs>
      <w:snapToGrid w:val="0"/>
      <w:jc w:val="left"/>
    </w:pPr>
    <w:rPr>
      <w:sz w:val="18"/>
      <w:szCs w:val="18"/>
    </w:rPr>
  </w:style>
  <w:style w:type="character" w:customStyle="1" w:styleId="a6">
    <w:name w:val="页脚 字符"/>
    <w:basedOn w:val="a0"/>
    <w:link w:val="a5"/>
    <w:uiPriority w:val="99"/>
    <w:rsid w:val="00A762FC"/>
    <w:rPr>
      <w:sz w:val="18"/>
      <w:szCs w:val="18"/>
    </w:rPr>
  </w:style>
  <w:style w:type="paragraph" w:styleId="a7">
    <w:name w:val="Balloon Text"/>
    <w:basedOn w:val="a"/>
    <w:link w:val="a8"/>
    <w:uiPriority w:val="99"/>
    <w:semiHidden/>
    <w:unhideWhenUsed/>
    <w:rsid w:val="00DA232A"/>
    <w:rPr>
      <w:sz w:val="18"/>
      <w:szCs w:val="18"/>
    </w:rPr>
  </w:style>
  <w:style w:type="character" w:customStyle="1" w:styleId="a8">
    <w:name w:val="批注框文本 字符"/>
    <w:basedOn w:val="a0"/>
    <w:link w:val="a7"/>
    <w:uiPriority w:val="99"/>
    <w:semiHidden/>
    <w:rsid w:val="00DA23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66</Words>
  <Characters>379</Characters>
  <Application>Microsoft Office Word</Application>
  <DocSecurity>0</DocSecurity>
  <Lines>3</Lines>
  <Paragraphs>1</Paragraphs>
  <ScaleCrop>false</ScaleCrop>
  <Company>China</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周怡</dc:creator>
  <cp:keywords/>
  <dc:description/>
  <cp:lastModifiedBy>周怡</cp:lastModifiedBy>
  <cp:revision>18</cp:revision>
  <cp:lastPrinted>2024-04-02T06:15:00Z</cp:lastPrinted>
  <dcterms:created xsi:type="dcterms:W3CDTF">2024-01-03T07:22:00Z</dcterms:created>
  <dcterms:modified xsi:type="dcterms:W3CDTF">2024-04-15T09:22:00Z</dcterms:modified>
</cp:coreProperties>
</file>