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大标宋_GBK" w:cs="Times New Roman"/>
          <w:color w:val="FF0000"/>
          <w:w w:val="48"/>
          <w:kern w:val="36"/>
          <w:position w:val="-19"/>
          <w:sz w:val="136"/>
          <w:szCs w:val="136"/>
        </w:rPr>
      </w:pPr>
      <w:r>
        <w:rPr>
          <w:rFonts w:ascii="Times New Roman" w:hAnsi="Times New Roman" w:eastAsia="方正大标宋_GBK" w:cs="Times New Roman"/>
          <w:color w:val="FF0000"/>
          <w:w w:val="48"/>
          <w:position w:val="-20"/>
          <w:sz w:val="136"/>
          <w:szCs w:val="136"/>
        </w:rPr>
        <w:t>南</w:t>
      </w:r>
      <w:r>
        <w:rPr>
          <w:rFonts w:ascii="Times New Roman" w:hAnsi="Times New Roman" w:eastAsia="方正大标宋_GBK" w:cs="Times New Roman"/>
          <w:color w:val="FF0000"/>
          <w:w w:val="48"/>
          <w:kern w:val="36"/>
          <w:position w:val="-19"/>
          <w:sz w:val="136"/>
          <w:szCs w:val="136"/>
        </w:rPr>
        <w:t>京市医药集中采购保障中心</w:t>
      </w:r>
    </w:p>
    <w:p>
      <w:pPr>
        <w:pStyle w:val="18"/>
        <w:spacing w:before="0" w:line="5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12700</wp:posOffset>
                </wp:positionV>
                <wp:extent cx="5773420" cy="1905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3420" cy="1905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position:absolute;left:0pt;flip:y;margin-left:-5.2pt;margin-top:1pt;height:1.5pt;width:454.6pt;mso-wrap-distance-bottom:0pt;mso-wrap-distance-top:0pt;z-index:251660288;mso-width-relative:page;mso-height-relative:page;" coordsize="21600,21600" o:spid="_x0000_s1026" filled="f" stroked="t" o:spt="20" o:gfxdata="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9Gp1rUAAAABwEAAA8AAAAAAAAAAQAgAAAAIgAAAGRycy9kb3ducmV2&#10;LnhtbFBLAQIUABQAAAAIAIdO4kAwOw1MAAIAAPUDAAAOAAAAAAAAAAEAIAAAACMBAABkcnMvZTJv&#10;RG9jLnhtbFBLBQYAAAAABgAGAFkBAACVBQAAAAA=&#10;">
                <v:fill on="f" focussize="0,0"/>
                <v:stroke weight="2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18"/>
        <w:spacing w:before="0" w:line="560" w:lineRule="exact"/>
        <w:jc w:val="both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3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月份</w:t>
      </w:r>
      <w:r>
        <w:rPr>
          <w:rFonts w:ascii="Times New Roman" w:hAnsi="Times New Roman" w:eastAsia="方正小标宋_GBK" w:cs="Times New Roman"/>
          <w:sz w:val="44"/>
          <w:szCs w:val="44"/>
        </w:rPr>
        <w:t>医用耗材</w:t>
      </w:r>
      <w:r>
        <w:rPr>
          <w:rFonts w:ascii="宋体" w:hAnsi="宋体" w:eastAsia="宋体" w:cs="宋体"/>
          <w:sz w:val="44"/>
          <w:szCs w:val="44"/>
        </w:rPr>
        <w:t>、</w:t>
      </w:r>
      <w:r>
        <w:rPr>
          <w:rFonts w:ascii="Times New Roman" w:hAnsi="Times New Roman" w:eastAsia="方正小标宋_GBK" w:cs="Times New Roman"/>
          <w:sz w:val="44"/>
          <w:szCs w:val="44"/>
        </w:rPr>
        <w:t>药品网上采购结算监测月报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3月份，南京地区医用耗材、药品网上集中采购、集中结算和去年同期相比持续增加，但企业药品申请金额和医疗机构医用耗材、药品确认金额略有下降；在带量采购方面，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于3月31日</w:t>
      </w:r>
      <w:bookmarkStart w:name="_GoBack" w:id="2"/>
      <w:bookmarkEnd w:id="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到期的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“10.30”带量采购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及3家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企业整体带量采购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均超额完成计划量。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一、定点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医疗机构</w:t>
      </w:r>
      <w:r>
        <w:rPr>
          <w:rFonts w:ascii="Times New Roman" w:hAnsi="Times New Roman" w:eastAsia="黑体" w:cs="Times New Roman"/>
          <w:sz w:val="32"/>
          <w:szCs w:val="32"/>
        </w:rPr>
        <w:t>网上采购情况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highlight w:val="cya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3月份，南京地区定点医疗机构在省、市平台网上采购医用耗材和药品金额为23.73亿元，比去年3月上升60.54%，比今年2月上升41.48%。1至3月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累计采购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医用耗材和药品金额为65.74亿元，比去年同期上升40.46%。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Times New Roman"/>
          <w:sz w:val="32"/>
          <w:szCs w:val="32"/>
        </w:rPr>
        <w:t>医用耗材：</w:t>
      </w:r>
      <w:r>
        <w:rPr>
          <w:rFonts w:ascii="Times New Roman" w:hAnsi="Times New Roman" w:eastAsia="方正仿宋_GBK" w:cs="Times New Roman"/>
          <w:sz w:val="32"/>
          <w:szCs w:val="32"/>
        </w:rPr>
        <w:t>267家定点医疗机构在省、市平台网上采购，比去年3月增加57家，比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ascii="Times New Roman" w:hAnsi="Times New Roman" w:eastAsia="方正仿宋_GBK" w:cs="Times New Roman"/>
          <w:sz w:val="32"/>
          <w:szCs w:val="32"/>
        </w:rPr>
        <w:t>32家；采购金额为7.05亿元，比去年3月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147.7%，比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21.99%。</w:t>
      </w:r>
      <w:bookmarkStart w:name="_Hlk66522608" w:id="0"/>
      <w:r>
        <w:rPr>
          <w:rFonts w:hint="eastAsia" w:ascii="Times New Roman" w:hAnsi="Times New Roman" w:eastAsia="方正仿宋_GBK" w:cs="Times New Roman"/>
          <w:sz w:val="32"/>
          <w:szCs w:val="32"/>
        </w:rPr>
        <w:t>1至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月累计</w:t>
      </w:r>
      <w:r>
        <w:rPr>
          <w:rFonts w:ascii="Times New Roman" w:hAnsi="Times New Roman" w:eastAsia="方正仿宋_GBK" w:cs="Times New Roman"/>
          <w:sz w:val="32"/>
          <w:szCs w:val="32"/>
        </w:rPr>
        <w:t>采购医用耗材金额为20.32亿元，比去年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同期上升</w:t>
      </w:r>
      <w:r>
        <w:rPr>
          <w:rFonts w:ascii="Times New Roman" w:hAnsi="Times New Roman" w:eastAsia="方正仿宋_GBK" w:cs="Times New Roman"/>
          <w:sz w:val="32"/>
          <w:szCs w:val="32"/>
        </w:rPr>
        <w:t>101.59%。</w:t>
      </w:r>
    </w:p>
    <w:bookmarkEnd w:id="0"/>
    <w:p>
      <w:pPr>
        <w:pStyle w:val="13"/>
        <w:spacing w:line="560" w:lineRule="exact"/>
        <w:ind w:firstLine="640"/>
        <w:rPr>
          <w:rFonts w:hint="default" w:ascii="Times New Roman" w:hAnsi="Times New Roman" w:eastAsia="方正仿宋_GB2312" w:cs="Times New Roman"/>
          <w:sz w:val="32"/>
          <w:szCs w:val="32"/>
          <w:highlight w:val="cya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其中，有27家定点医疗机构申请医用耗材应急采购，采购金额209.17万元，与去年3月相比，下降70.27%；比今年2月增加7家，应急采购金额下降29.25%。1至3月累计有45家定点医疗机构申请医用耗材应急采购，采购金额1116.19万元，比去年同期上升49.06%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 w:cs="Times New Roman"/>
          <w:sz w:val="32"/>
          <w:szCs w:val="32"/>
        </w:rPr>
        <w:t>药品：</w:t>
      </w:r>
      <w:r>
        <w:rPr>
          <w:rFonts w:ascii="Times New Roman" w:hAnsi="Times New Roman" w:eastAsia="方正仿宋_GBK" w:cs="Times New Roman"/>
          <w:sz w:val="32"/>
          <w:szCs w:val="32"/>
        </w:rPr>
        <w:t>327家定点医疗机构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（含未定级医疗机构8</w:t>
      </w:r>
      <w:r>
        <w:rPr>
          <w:rFonts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家）</w:t>
      </w:r>
      <w:r>
        <w:rPr>
          <w:rFonts w:ascii="Times New Roman" w:hAnsi="Times New Roman" w:eastAsia="方正仿宋_GBK" w:cs="Times New Roman"/>
          <w:sz w:val="32"/>
          <w:szCs w:val="32"/>
        </w:rPr>
        <w:t>在省、市平台网上采购药品，比去年3月增加118家，比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增加3</w:t>
      </w:r>
      <w:r>
        <w:rPr>
          <w:rFonts w:ascii="Times New Roman" w:hAnsi="Times New Roman" w:eastAsia="方正仿宋_GBK" w:cs="Times New Roman"/>
          <w:sz w:val="32"/>
          <w:szCs w:val="32"/>
        </w:rPr>
        <w:t>4家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</w:rPr>
        <w:t>采购金额为16.67亿元，比去年3月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39.73 %，比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51.73%。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1至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月累计</w:t>
      </w:r>
      <w:r>
        <w:rPr>
          <w:rFonts w:ascii="Times New Roman" w:hAnsi="Times New Roman" w:eastAsia="方正仿宋_GBK" w:cs="Times New Roman"/>
          <w:sz w:val="32"/>
          <w:szCs w:val="32"/>
        </w:rPr>
        <w:t>采购药品金额为45.42亿元，比去年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同期上升</w:t>
      </w:r>
      <w:r>
        <w:rPr>
          <w:rFonts w:ascii="Times New Roman" w:hAnsi="Times New Roman" w:eastAsia="方正仿宋_GBK" w:cs="Times New Roman"/>
          <w:sz w:val="32"/>
          <w:szCs w:val="32"/>
        </w:rPr>
        <w:t>23.68 %。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二、企业网上供货情况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3月份，医用耗材、药品供货企业响应定点医疗机构网上订单，配送金额为22.07亿元，比去年3月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40.68%，比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44.82%。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1至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月累计</w:t>
      </w:r>
      <w:r>
        <w:rPr>
          <w:rFonts w:ascii="Times New Roman" w:hAnsi="Times New Roman" w:eastAsia="方正仿宋_GBK" w:cs="Times New Roman"/>
          <w:sz w:val="32"/>
          <w:szCs w:val="32"/>
        </w:rPr>
        <w:t>配送金额61.0亿元，平均配送率92.79%。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（一）医用耗材：</w:t>
      </w:r>
      <w:r>
        <w:rPr>
          <w:rFonts w:ascii="Times New Roman" w:hAnsi="Times New Roman" w:eastAsia="方正仿宋_GBK" w:cs="Times New Roman"/>
          <w:sz w:val="32"/>
          <w:szCs w:val="32"/>
        </w:rPr>
        <w:t>1237家供货企业响应医疗机构网上订单，比去年3月增加700家，比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ascii="Times New Roman" w:hAnsi="Times New Roman" w:eastAsia="方正仿宋_GBK" w:cs="Times New Roman"/>
          <w:sz w:val="32"/>
          <w:szCs w:val="32"/>
        </w:rPr>
        <w:t>89家；配送金额7.09亿元，比去年3月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72.8%，比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31.33%；平均配送率100 %，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</w:t>
      </w:r>
      <w:r>
        <w:rPr>
          <w:rFonts w:ascii="Times New Roman" w:hAnsi="Times New Roman" w:eastAsia="方正仿宋_GBK" w:cs="Times New Roman"/>
          <w:sz w:val="32"/>
          <w:szCs w:val="32"/>
        </w:rPr>
        <w:t>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7.52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1至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月累计</w:t>
      </w:r>
      <w:r>
        <w:rPr>
          <w:rFonts w:ascii="Times New Roman" w:hAnsi="Times New Roman" w:eastAsia="方正仿宋_GBK" w:cs="Times New Roman"/>
          <w:sz w:val="32"/>
          <w:szCs w:val="32"/>
        </w:rPr>
        <w:t>配送金额19.52亿元，平均配送率96.05 %。</w:t>
      </w:r>
    </w:p>
    <w:p>
      <w:pPr>
        <w:pStyle w:val="13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（二）药品：</w:t>
      </w:r>
      <w:r>
        <w:rPr>
          <w:rFonts w:ascii="Times New Roman" w:hAnsi="Times New Roman" w:eastAsia="方正仿宋_GBK" w:cs="Times New Roman"/>
          <w:sz w:val="32"/>
          <w:szCs w:val="32"/>
        </w:rPr>
        <w:t>106家供货企业响应医疗机构网上订单，比去年3月增加43家，比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2月增加13家；配送金额14.97亿元，比去年3月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29.3%，比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52.23%；平均配送率89.82 %，比去年3月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下降</w:t>
      </w:r>
      <w:r>
        <w:rPr>
          <w:rFonts w:ascii="Times New Roman" w:hAnsi="Times New Roman" w:eastAsia="方正仿宋_GBK" w:cs="Times New Roman"/>
          <w:sz w:val="32"/>
          <w:szCs w:val="32"/>
        </w:rPr>
        <w:t>7.47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sz w:val="32"/>
          <w:szCs w:val="32"/>
        </w:rPr>
        <w:t>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上升</w:t>
      </w:r>
      <w:r>
        <w:rPr>
          <w:rFonts w:ascii="Times New Roman" w:hAnsi="Times New Roman" w:eastAsia="方正仿宋_GBK" w:cs="Times New Roman"/>
          <w:sz w:val="32"/>
          <w:szCs w:val="32"/>
        </w:rPr>
        <w:t>1.42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1至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月累计</w:t>
      </w:r>
      <w:r>
        <w:rPr>
          <w:rFonts w:ascii="Times New Roman" w:hAnsi="Times New Roman" w:eastAsia="方正仿宋_GBK" w:cs="Times New Roman"/>
          <w:sz w:val="32"/>
          <w:szCs w:val="32"/>
        </w:rPr>
        <w:t>配送金额41.48亿元，平均配送率91.33 %。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三、网上集中结算情况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3月份，省部属医疗机构网上支付货款金额2.35亿元，与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月份持平；市属医疗机构网上支付货款金额6亿元，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比今年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月增加3.93亿元，上升190%。企业申请、医疗机构支付货款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均上升，</w:t>
      </w:r>
      <w:r>
        <w:rPr>
          <w:rFonts w:ascii="Times New Roman" w:hAnsi="Times New Roman" w:eastAsia="方正仿宋_GBK" w:cs="Times New Roman"/>
          <w:sz w:val="32"/>
          <w:szCs w:val="32"/>
        </w:rPr>
        <w:t>医疗机构网上确认下降。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（一）企业申请：</w:t>
      </w:r>
      <w:r>
        <w:rPr>
          <w:rFonts w:ascii="Times New Roman" w:hAnsi="Times New Roman" w:eastAsia="方正仿宋_GBK" w:cs="Times New Roman"/>
          <w:sz w:val="32"/>
          <w:szCs w:val="32"/>
        </w:rPr>
        <w:t>企业网上申请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发票金额18.72亿元，比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2月增加0.63亿元，上升3.48%。其中，药品12.3亿元，占65.71%，比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2月减少0.1亿元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下降0.81%，累计申请率68.2%，比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2月上升1.35%；</w:t>
      </w:r>
      <w:r>
        <w:rPr>
          <w:rFonts w:ascii="Times New Roman" w:hAnsi="Times New Roman" w:eastAsia="方正仿宋_GBK" w:cs="Times New Roman"/>
          <w:sz w:val="32"/>
          <w:szCs w:val="32"/>
        </w:rPr>
        <w:t>医用耗材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6.42亿元，占34.29%，</w:t>
      </w:r>
      <w:r>
        <w:rPr>
          <w:rFonts w:ascii="Times New Roman" w:hAnsi="Times New Roman" w:eastAsia="方正仿宋_GBK" w:cs="Times New Roman"/>
          <w:sz w:val="32"/>
          <w:szCs w:val="32"/>
        </w:rPr>
        <w:t>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2月增加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0.73亿元，上升12.83%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累计申请率77.4%，比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2月上升1.1%</w:t>
      </w:r>
      <w:r>
        <w:rPr>
          <w:rFonts w:ascii="Times New Roman" w:hAnsi="Times New Roman" w:eastAsia="方正仿宋_GBK" w:cs="Times New Roman"/>
          <w:sz w:val="32"/>
          <w:szCs w:val="32"/>
        </w:rPr>
        <w:t>。截至3月底，企业网上申请发票金额为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56.46</w:t>
      </w:r>
      <w:r>
        <w:rPr>
          <w:rFonts w:ascii="Times New Roman" w:hAnsi="Times New Roman" w:eastAsia="方正仿宋_GBK" w:cs="Times New Roman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（二）医疗机构确认：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医疗机构网上确认发票金额为17.64亿元，比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2月减少1.94亿元，下降9.91%。其中，药品11.73亿元，占66.5%，比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2月减少1.52亿元，下降11.47%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累计确认率81.23%，比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2月下降2.42%；医用耗材5.91亿元，占33.5%，比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2月减少0.43亿元，下降6.78%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累计确认率88.33%，比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2月下降1.96%。</w:t>
      </w:r>
      <w:r>
        <w:rPr>
          <w:rFonts w:ascii="Times New Roman" w:hAnsi="Times New Roman" w:eastAsia="方正仿宋_GBK" w:cs="Times New Roman"/>
          <w:sz w:val="32"/>
          <w:szCs w:val="32"/>
        </w:rPr>
        <w:t>截至3月底，医疗机构网上确认发票金额为56.24亿元。</w:t>
      </w:r>
    </w:p>
    <w:p>
      <w:pPr>
        <w:spacing w:line="56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（三）医疗机构支付货款：</w:t>
      </w:r>
      <w:r>
        <w:rPr>
          <w:rFonts w:ascii="Times New Roman" w:hAnsi="Times New Roman" w:eastAsia="方正仿宋_GBK" w:cs="Times New Roman"/>
          <w:sz w:val="32"/>
          <w:szCs w:val="32"/>
        </w:rPr>
        <w:t>医疗机构网上支付货款金额为13.83亿元，比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sz w:val="32"/>
          <w:szCs w:val="32"/>
        </w:rPr>
        <w:t>2月增加5.66亿元，上升69.28%。其中，药品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10.44亿元，占75.49%，比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2月增加4.06亿元，上升63.63%，累计付款率75.23%，比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2月上升3.2%；</w:t>
      </w:r>
      <w:r>
        <w:rPr>
          <w:rFonts w:ascii="Times New Roman" w:hAnsi="Times New Roman" w:eastAsia="方正仿宋_GBK" w:cs="Times New Roman"/>
          <w:sz w:val="32"/>
          <w:szCs w:val="32"/>
        </w:rPr>
        <w:t>医用耗材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3.39亿元，占24.51%，比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2月增加1.6亿元，上升89.39%，累计付款率58.94%，比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2月下降2.94%</w:t>
      </w:r>
      <w:r>
        <w:rPr>
          <w:rFonts w:ascii="Times New Roman" w:hAnsi="Times New Roman" w:eastAsia="方正仿宋_GBK" w:cs="Times New Roman"/>
          <w:sz w:val="32"/>
          <w:szCs w:val="32"/>
        </w:rPr>
        <w:t>。截至3月底，医疗机构网上支付货款金额为31.77亿元。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</w:t>
      </w:r>
      <w:r>
        <w:rPr>
          <w:rFonts w:ascii="Times New Roman" w:hAnsi="Times New Roman" w:eastAsia="方正楷体_GBK" w:cs="Times New Roman"/>
          <w:sz w:val="32"/>
          <w:szCs w:val="32"/>
        </w:rPr>
        <w:t>中心结算：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中心结算货款15.13亿元，比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2月增加5.44亿元，上升56.14%。其中，药品11.46亿元，占75.74%，比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2月增加4.37亿元，上升61.64%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累计结算率98.25%；医用耗材3.68亿元，占24.32%，比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2月增加1.08亿元，上升41.54%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累计结算率97.34%</w:t>
      </w:r>
      <w:r>
        <w:rPr>
          <w:rFonts w:ascii="Times New Roman" w:hAnsi="Times New Roman" w:eastAsia="方正仿宋_GBK" w:cs="Times New Roman"/>
          <w:sz w:val="32"/>
          <w:szCs w:val="32"/>
        </w:rPr>
        <w:t>。截至3月底，中心结算货款33.28亿元。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四、市医用耗材带量采购情况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（一）“10.30”带量采购：</w:t>
      </w:r>
      <w:r>
        <w:rPr>
          <w:rFonts w:ascii="Times New Roman" w:hAnsi="Times New Roman" w:eastAsia="方正仿宋_GBK" w:cs="Times New Roman"/>
          <w:sz w:val="32"/>
          <w:szCs w:val="32"/>
        </w:rPr>
        <w:t>“10.30”带量采购于2021年3月到期。截至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3月底</w:t>
      </w:r>
      <w:r>
        <w:rPr>
          <w:rFonts w:ascii="Times New Roman" w:hAnsi="Times New Roman" w:eastAsia="方正仿宋_GBK" w:cs="Times New Roman"/>
          <w:sz w:val="32"/>
          <w:szCs w:val="32"/>
        </w:rPr>
        <w:t>，南京地区35家定点医疗机构共采购12类入围产品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88.37</w:t>
      </w:r>
      <w:r>
        <w:rPr>
          <w:rFonts w:ascii="Times New Roman" w:hAnsi="Times New Roman" w:eastAsia="方正仿宋_GBK" w:cs="Times New Roman"/>
          <w:sz w:val="32"/>
          <w:szCs w:val="32"/>
        </w:rPr>
        <w:t>万个，采购金额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4706.19</w:t>
      </w:r>
      <w:r>
        <w:rPr>
          <w:rFonts w:ascii="Times New Roman" w:hAnsi="Times New Roman" w:eastAsia="方正仿宋_GBK" w:cs="Times New Roman"/>
          <w:sz w:val="32"/>
          <w:szCs w:val="32"/>
        </w:rPr>
        <w:t>万元，平均完成率216.04%，累计已经节约资金1.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亿元。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（二）企业整体带量采购：</w:t>
      </w:r>
      <w:r>
        <w:rPr>
          <w:rFonts w:ascii="Times New Roman" w:hAnsi="Times New Roman" w:eastAsia="方正仿宋_GBK" w:cs="Times New Roman"/>
          <w:sz w:val="32"/>
          <w:szCs w:val="32"/>
        </w:rPr>
        <w:t>碧迪、大博、威高等3家公司的整体带量采购于2021年3月到期，截至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3月底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碧迪公司采购总金额为</w:t>
      </w:r>
      <w:r>
        <w:rPr>
          <w:rFonts w:ascii="Times New Roman" w:hAnsi="Times New Roman" w:eastAsia="方正仿宋_GBK" w:cs="Times New Roman"/>
          <w:sz w:val="32"/>
          <w:szCs w:val="32"/>
        </w:rPr>
        <w:t>1.21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亿元，平均完成率</w:t>
      </w:r>
      <w:r>
        <w:rPr>
          <w:rFonts w:ascii="Times New Roman" w:hAnsi="Times New Roman" w:eastAsia="方正仿宋_GBK" w:cs="Times New Roman"/>
          <w:sz w:val="32"/>
          <w:szCs w:val="32"/>
        </w:rPr>
        <w:t>219.61%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，累计节约资金</w:t>
      </w:r>
      <w:r>
        <w:rPr>
          <w:rFonts w:ascii="Times New Roman" w:hAnsi="Times New Roman" w:eastAsia="方正仿宋_GBK" w:cs="Times New Roman"/>
          <w:sz w:val="32"/>
          <w:szCs w:val="32"/>
        </w:rPr>
        <w:t>4627.44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大博公司采购总金额</w:t>
      </w:r>
      <w:r>
        <w:rPr>
          <w:rFonts w:ascii="Times New Roman" w:hAnsi="Times New Roman" w:eastAsia="方正仿宋_GBK" w:cs="Times New Roman"/>
          <w:sz w:val="32"/>
          <w:szCs w:val="32"/>
        </w:rPr>
        <w:t>4220.79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万元，平均完成率</w:t>
      </w:r>
      <w:r>
        <w:rPr>
          <w:rFonts w:ascii="Times New Roman" w:hAnsi="Times New Roman" w:eastAsia="方正仿宋_GBK" w:cs="Times New Roman"/>
          <w:sz w:val="32"/>
          <w:szCs w:val="32"/>
        </w:rPr>
        <w:t>150.08%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，累计节约资金</w:t>
      </w:r>
      <w:r>
        <w:rPr>
          <w:rFonts w:ascii="Times New Roman" w:hAnsi="Times New Roman" w:eastAsia="方正仿宋_GBK" w:cs="Times New Roman"/>
          <w:sz w:val="32"/>
          <w:szCs w:val="32"/>
        </w:rPr>
        <w:t>2074.9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威高公司采购总金额</w:t>
      </w:r>
      <w:r>
        <w:rPr>
          <w:rFonts w:ascii="Times New Roman" w:hAnsi="Times New Roman" w:eastAsia="方正仿宋_GBK" w:cs="Times New Roman"/>
          <w:sz w:val="32"/>
          <w:szCs w:val="32"/>
        </w:rPr>
        <w:t>1.15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亿元，平均完成率</w:t>
      </w:r>
      <w:r>
        <w:rPr>
          <w:rFonts w:ascii="Times New Roman" w:hAnsi="Times New Roman" w:eastAsia="方正仿宋_GBK" w:cs="Times New Roman"/>
          <w:sz w:val="32"/>
          <w:szCs w:val="32"/>
        </w:rPr>
        <w:t>250.98%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，累计节约资金</w:t>
      </w:r>
      <w:r>
        <w:rPr>
          <w:rFonts w:ascii="Times New Roman" w:hAnsi="Times New Roman" w:eastAsia="方正仿宋_GBK" w:cs="Times New Roman"/>
          <w:sz w:val="32"/>
          <w:szCs w:val="32"/>
        </w:rPr>
        <w:t>2250.05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（三）“8.16”延续带量采购：</w:t>
      </w:r>
      <w:r>
        <w:rPr>
          <w:rFonts w:ascii="Times New Roman" w:hAnsi="Times New Roman" w:eastAsia="方正仿宋_GBK" w:cs="Times New Roman"/>
          <w:sz w:val="32"/>
          <w:szCs w:val="32"/>
        </w:rPr>
        <w:t>“8.16”延续带量采购自2021年2月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1日</w:t>
      </w:r>
      <w:r>
        <w:rPr>
          <w:rFonts w:ascii="Times New Roman" w:hAnsi="Times New Roman" w:eastAsia="方正仿宋_GBK" w:cs="Times New Roman"/>
          <w:sz w:val="32"/>
          <w:szCs w:val="32"/>
        </w:rPr>
        <w:t>起执行，南京地区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ascii="Times New Roman" w:hAnsi="Times New Roman" w:eastAsia="方正仿宋_GBK" w:cs="Times New Roman"/>
          <w:sz w:val="32"/>
          <w:szCs w:val="32"/>
        </w:rPr>
        <w:t>家定点医疗机构分配了7类产品计划量，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截至3月份，</w:t>
      </w:r>
      <w:r>
        <w:rPr>
          <w:rFonts w:ascii="Times New Roman" w:hAnsi="Times New Roman" w:eastAsia="方正仿宋_GBK" w:cs="Times New Roman"/>
          <w:sz w:val="32"/>
          <w:szCs w:val="32"/>
        </w:rPr>
        <w:t>采购金额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1036.08</w:t>
      </w:r>
      <w:r>
        <w:rPr>
          <w:rFonts w:ascii="Times New Roman" w:hAnsi="Times New Roman" w:eastAsia="方正仿宋_GBK" w:cs="Times New Roman"/>
          <w:sz w:val="32"/>
          <w:szCs w:val="32"/>
        </w:rPr>
        <w:t>万元，平均完成率14.85%。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（四）“12.30”带量采购：</w:t>
      </w:r>
      <w:r>
        <w:rPr>
          <w:rFonts w:ascii="Times New Roman" w:hAnsi="Times New Roman" w:eastAsia="方正仿宋_GBK" w:cs="Times New Roman"/>
          <w:sz w:val="32"/>
          <w:szCs w:val="32"/>
        </w:rPr>
        <w:t>“12.30”带量采购自2021年2月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1日</w:t>
      </w:r>
      <w:r>
        <w:rPr>
          <w:rFonts w:ascii="Times New Roman" w:hAnsi="Times New Roman" w:eastAsia="方正仿宋_GBK" w:cs="Times New Roman"/>
          <w:sz w:val="32"/>
          <w:szCs w:val="32"/>
        </w:rPr>
        <w:t>起执行，南京地区54家定点医疗机构分配了4类入围产品计划量，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截至3月份，</w:t>
      </w:r>
      <w:r>
        <w:rPr>
          <w:rFonts w:ascii="Times New Roman" w:hAnsi="Times New Roman" w:eastAsia="方正仿宋_GBK" w:cs="Times New Roman"/>
          <w:sz w:val="32"/>
          <w:szCs w:val="32"/>
        </w:rPr>
        <w:t>采购金额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182.57</w:t>
      </w:r>
      <w:r>
        <w:rPr>
          <w:rFonts w:ascii="Times New Roman" w:hAnsi="Times New Roman" w:eastAsia="方正仿宋_GBK" w:cs="Times New Roman"/>
          <w:sz w:val="32"/>
          <w:szCs w:val="32"/>
        </w:rPr>
        <w:t>万元，平均完成率21.81%，累计节约资金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772.99</w:t>
      </w:r>
      <w:r>
        <w:rPr>
          <w:rFonts w:ascii="Times New Roman" w:hAnsi="Times New Roman" w:eastAsia="方正仿宋_GBK" w:cs="Times New Roman"/>
          <w:sz w:val="32"/>
          <w:szCs w:val="32"/>
        </w:rPr>
        <w:t>万元</w:t>
      </w:r>
      <w:bookmarkStart w:name="_Hlk66723808" w:id="1"/>
      <w:r>
        <w:rPr>
          <w:rFonts w:ascii="Times New Roman" w:hAnsi="Times New Roman" w:eastAsia="方正仿宋_GBK" w:cs="Times New Roman"/>
          <w:sz w:val="32"/>
          <w:szCs w:val="32"/>
        </w:rPr>
        <w:t>。</w:t>
      </w:r>
      <w:bookmarkEnd w:id="1"/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五、阳光监管平台数据上传质量情况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（一）医疗机构联网情况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截至3月底，共有1505家定点医疗机构接入阳光监管平台，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比</w:t>
      </w:r>
      <w:r>
        <w:rPr>
          <w:rFonts w:ascii="Times New Roman" w:hAnsi="Times New Roman" w:eastAsia="方正仿宋_GBK" w:cs="Times New Roman"/>
          <w:sz w:val="32"/>
          <w:szCs w:val="32"/>
        </w:rPr>
        <w:t>去年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月增加742家，主要为区属和民营医疗机构。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（二）重点医疗机构数据上传质量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3月份，从完整性、准确性、及时性等三个方面，对34家三级定点医疗机构数据上传质量进行了监测。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ascii="Times New Roman" w:hAnsi="Times New Roman" w:eastAsia="方正仿宋_GBK" w:cs="Times New Roman"/>
          <w:sz w:val="32"/>
          <w:szCs w:val="32"/>
        </w:rPr>
        <w:t>医疗机构数据上传完整性：按接口规范要求，各医疗机构应完整上传11张表单数据，其中：25家定点医疗机构已全部上传表单数据，比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2月增加3家，</w:t>
      </w:r>
      <w:r>
        <w:rPr>
          <w:rFonts w:ascii="Times New Roman" w:hAnsi="Times New Roman" w:eastAsia="方正仿宋_GBK" w:cs="Times New Roman"/>
          <w:sz w:val="32"/>
          <w:szCs w:val="32"/>
        </w:rPr>
        <w:t>占比73.53%；5家定点医疗机构上传10张表单数据，比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2月减少3家，</w:t>
      </w:r>
      <w:r>
        <w:rPr>
          <w:rFonts w:ascii="Times New Roman" w:hAnsi="Times New Roman" w:eastAsia="方正仿宋_GBK" w:cs="Times New Roman"/>
          <w:sz w:val="32"/>
          <w:szCs w:val="32"/>
        </w:rPr>
        <w:t>占比14.71%；仍有3家定点医疗机构上传9张表单数据，1家定点医疗机构上传8张表单数据，分别占比8.82% 和2.94%。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 医疗机构数据上传准确性：34家定点医疗机构上传的11张表单中，22家上传数据符合要求，比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今年2月增加9家，</w:t>
      </w:r>
      <w:r>
        <w:rPr>
          <w:rFonts w:ascii="Times New Roman" w:hAnsi="Times New Roman" w:eastAsia="方正仿宋_GBK" w:cs="Times New Roman"/>
          <w:sz w:val="32"/>
          <w:szCs w:val="32"/>
        </w:rPr>
        <w:t>占比64.71%；12家上传数据不符合要求，比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今年2月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减少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9家，</w:t>
      </w:r>
      <w:r>
        <w:rPr>
          <w:rFonts w:ascii="Times New Roman" w:hAnsi="Times New Roman" w:eastAsia="方正仿宋_GBK" w:cs="Times New Roman"/>
          <w:sz w:val="32"/>
          <w:szCs w:val="32"/>
        </w:rPr>
        <w:t>占比35.29%，主要问题仍集中在医护人员信息关联性、职工字典中身份证信息、高值医用耗材编码及线上采购中标编号等方面。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医疗机构数据上传及时性：3月份，在34家定点医疗机构中，12家及时上传数据，未进行短信提醒，比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2月增加1家，</w:t>
      </w:r>
      <w:r>
        <w:rPr>
          <w:rFonts w:ascii="Times New Roman" w:hAnsi="Times New Roman" w:eastAsia="方正仿宋_GBK" w:cs="Times New Roman"/>
          <w:sz w:val="32"/>
          <w:szCs w:val="32"/>
        </w:rPr>
        <w:t>占比35.29%；14家短信提醒次数在1次以上10次以下，比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2月份减少2家，</w:t>
      </w:r>
      <w:r>
        <w:rPr>
          <w:rFonts w:ascii="Times New Roman" w:hAnsi="Times New Roman" w:eastAsia="方正仿宋_GBK" w:cs="Times New Roman"/>
          <w:sz w:val="32"/>
          <w:szCs w:val="32"/>
        </w:rPr>
        <w:t>占比41.18%；8家短信提醒次数超过10次，比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2月份增加1家，</w:t>
      </w:r>
      <w:r>
        <w:rPr>
          <w:rFonts w:ascii="Times New Roman" w:hAnsi="Times New Roman" w:eastAsia="方正仿宋_GBK" w:cs="Times New Roman"/>
          <w:sz w:val="32"/>
          <w:szCs w:val="32"/>
        </w:rPr>
        <w:t>占比23.53%。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六</w:t>
      </w:r>
      <w:r>
        <w:rPr>
          <w:rFonts w:ascii="Times New Roman" w:hAnsi="Times New Roman" w:eastAsia="黑体" w:cs="Times New Roman"/>
          <w:sz w:val="32"/>
          <w:szCs w:val="32"/>
        </w:rPr>
        <w:t>、主要工作措施</w:t>
      </w:r>
    </w:p>
    <w:p>
      <w:pPr>
        <w:spacing w:line="560" w:lineRule="exact"/>
        <w:ind w:firstLine="680" w:firstLineChars="200"/>
        <w:rPr>
          <w:rFonts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3月份，中心针对医疗机构和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t>供货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企业在集中采购、集中结算方面存在的问题采取了以下措施：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t>通过阳光监管平台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对存在问题的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t>省人民医院、南医大二附院、省级机关医院、江宁医院、浦口区中医医院等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t>家</w:t>
      </w:r>
      <w:r>
        <w:rPr>
          <w:rFonts w:ascii="Times New Roman" w:hAnsi="Times New Roman" w:eastAsia="方正仿宋_GBK" w:cs="Times New Roman"/>
          <w:spacing w:val="10"/>
          <w:sz w:val="32"/>
          <w:szCs w:val="32"/>
        </w:rPr>
        <w:t>医疗机构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t>集中通报1次。</w:t>
      </w: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二是根据《南京市医疗保障定点医疗机构医用耗材（药品）供应服务企业协议》约定，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  <w:t>在阳光监管平台</w:t>
      </w:r>
      <w:r>
        <w:rPr>
          <w:rFonts w:ascii="Times New Roman" w:hAnsi="Times New Roman" w:eastAsia="方正仿宋_GBK" w:cs="Times New Roman"/>
          <w:sz w:val="32"/>
          <w:szCs w:val="32"/>
        </w:rPr>
        <w:t>对配送响应、付款申请不及时的74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</w:t>
      </w:r>
      <w:r>
        <w:rPr>
          <w:rFonts w:ascii="Times New Roman" w:hAnsi="Times New Roman" w:eastAsia="方正仿宋_GBK" w:cs="Times New Roman"/>
          <w:sz w:val="32"/>
          <w:szCs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集中</w:t>
      </w:r>
      <w:r>
        <w:rPr>
          <w:rFonts w:ascii="Times New Roman" w:hAnsi="Times New Roman" w:eastAsia="方正仿宋_GBK" w:cs="Times New Roman"/>
          <w:sz w:val="32"/>
          <w:szCs w:val="32"/>
        </w:rPr>
        <w:t>通报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1次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三是通过阳光监管平台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</w:t>
      </w:r>
      <w:r>
        <w:rPr>
          <w:rFonts w:ascii="Times New Roman" w:hAnsi="Times New Roman" w:eastAsia="方正仿宋_GBK" w:cs="Times New Roman"/>
          <w:sz w:val="32"/>
          <w:szCs w:val="32"/>
        </w:rPr>
        <w:t>业务报表的形式反馈给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34家三级</w:t>
      </w:r>
      <w:r>
        <w:rPr>
          <w:rFonts w:ascii="Times New Roman" w:hAnsi="Times New Roman" w:eastAsia="方正仿宋_GBK" w:cs="Times New Roman"/>
          <w:sz w:val="32"/>
          <w:szCs w:val="32"/>
        </w:rPr>
        <w:t>定点医疗机构，并点对点督办解决。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对南京市中西医结合医院、南京市第一医院等2家医疗机构HIS端业务数据上传情况进行现场抽查。联合市卫生信息中心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召开南京医用耗材阳光监管平台数据治理工作推进会，督促</w:t>
      </w:r>
      <w:r>
        <w:rPr>
          <w:rFonts w:ascii="Times New Roman" w:hAnsi="Times New Roman" w:eastAsia="方正仿宋_GBK" w:cs="Times New Roman"/>
          <w:sz w:val="32"/>
          <w:szCs w:val="32"/>
        </w:rPr>
        <w:t>8家存在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数据上传</w:t>
      </w:r>
      <w:r>
        <w:rPr>
          <w:rFonts w:ascii="Times New Roman" w:hAnsi="Times New Roman" w:eastAsia="方正仿宋_GBK" w:cs="Times New Roman"/>
          <w:sz w:val="32"/>
          <w:szCs w:val="32"/>
        </w:rPr>
        <w:t>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医疗机构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，务必严格按照南京医用耗材阳光监管平台数据接入标准和要求，及时、规范、准确、完整上传各类数据。</w:t>
      </w:r>
    </w:p>
    <w:p>
      <w:pPr>
        <w:spacing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此页无正文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南京市医药集中采购保障中心</w:t>
      </w:r>
    </w:p>
    <w:p>
      <w:pPr>
        <w:spacing w:line="560" w:lineRule="exact"/>
        <w:ind w:firstLine="4800" w:firstLineChars="15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2021年4月7日</w:t>
      </w:r>
    </w:p>
    <w:p>
      <w:pPr>
        <w:pStyle w:val="13"/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w:type="default" r:id="rId3"/>
      <w:footerReference w:type="default" r:id="rId4"/>
      <w:pgSz w:w="11906" w:h="16838"/>
      <w:pgMar w:top="2098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728594-6D0B-43FD-9D3D-FFB7DAC872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9DDBC7E-2EFD-4461-A492-C99A2CF5486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7B61DD-21B5-4EC8-8B5E-E9D1B2B3BEC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C1EEF8F-295F-48CF-915E-8E53A1A3AD5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C4D081ED-7A0E-4A4C-AB07-E59977D39C73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E7911BF-4A15-440A-964F-DC5C792FFA9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A9B67532-3EE3-4A78-9939-7C928F5D0FF1}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89"/>
    <w:rsid w:val="000736B7"/>
    <w:rsid w:val="00147B46"/>
    <w:rsid w:val="00150EBB"/>
    <w:rsid w:val="002D1589"/>
    <w:rsid w:val="0094393C"/>
    <w:rsid w:val="0098785A"/>
    <w:rsid w:val="009E1929"/>
    <w:rsid w:val="00AD2A45"/>
    <w:rsid w:val="00B722F5"/>
    <w:rsid w:val="00D1373F"/>
    <w:rsid w:val="00E87170"/>
    <w:rsid w:val="05F717DF"/>
    <w:rsid w:val="0C473A0C"/>
    <w:rsid w:val="1ACD271D"/>
    <w:rsid w:val="2C9D2CBD"/>
    <w:rsid w:val="31EC7B53"/>
    <w:rsid w:val="33524708"/>
    <w:rsid w:val="58AE5DB9"/>
    <w:rsid w:val="5E4E1BB3"/>
    <w:rsid w:val="61E554A0"/>
    <w:rsid w:val="65E210A5"/>
    <w:rsid w:val="6CBC673E"/>
    <w:rsid w:val="73F855E7"/>
    <w:rsid w:val="745129D1"/>
    <w:rsid w:val="76367E03"/>
    <w:rsid w:val="779E1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  <w:rPr>
      <w:szCs w:val="22"/>
    </w:rPr>
  </w:style>
  <w:style w:type="table" w:customStyle="1" w:styleId="14">
    <w:name w:val="无格式表格 31"/>
    <w:basedOn w:val="7"/>
    <w:qFormat/>
    <w:uiPriority w:val="0"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文号"/>
    <w:basedOn w:val="1"/>
    <w:qFormat/>
    <w:uiPriority w:val="0"/>
    <w:pPr>
      <w:spacing w:before="2040"/>
      <w:jc w:val="center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1073</Words>
  <Characters>6118</Characters>
  <Lines>50</Lines>
  <Paragraphs>14</Paragraphs>
  <TotalTime>3</TotalTime>
  <ScaleCrop>false</ScaleCrop>
  <LinksUpToDate>false</LinksUpToDate>
  <CharactersWithSpaces>7177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2021-03-16T18:18:00Z</dcterms:created>
  <dc:creator>M J</dc:creator>
  <cp:lastModifiedBy>Napoleon</cp:lastModifiedBy>
  <cp:lastPrinted>2021-04-08T07:57:00Z</cp:lastPrinted>
  <dcterms:modified xsi:type="dcterms:W3CDTF">2021-04-09T11:31:31Z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508813400_embed</vt:lpwstr>
  </property>
  <property fmtid="{D5CDD505-2E9C-101B-9397-08002B2CF9AE}" pid="3" name="KSOProductBuildVer">
    <vt:lpwstr>2052-11.1.0.10314</vt:lpwstr>
  </property>
  <property fmtid="{D5CDD505-2E9C-101B-9397-08002B2CF9AE}" pid="4" name="ICV">
    <vt:lpwstr>3EB8C73F351E4988BB48B89DDAE76270</vt:lpwstr>
  </property>
</Properties>
</file>