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仿宋" w:hAnsi="仿宋" w:eastAsia="仿宋" w:cs="仿宋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/>
      </w:r>
    </w:p>
    <w:p>
      <w:pPr>
        <w:pStyle w:val="Normal"/>
        <w:rPr>
          <w:lang w:val="en-US" w:eastAsia="zh-CN"/>
        </w:rPr>
      </w:pPr>
      <w:r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Normal"/>
        <w:ind w:firstLine="2200"/>
        <w:jc w:val="center"/>
        <w:rPr>
          <w:rFonts w:ascii="宋体" w:hAnsi="宋体" w:eastAsia="宋体" w:cs="宋体"/>
          <w:sz w:val="44"/>
          <w:szCs w:val="44"/>
          <w:lang w:val="en-US" w:eastAsia="zh-CN"/>
        </w:rPr>
      </w:pPr>
      <w:bookmarkStart w:name="__DdeLink__764_1442254331" w:id="0"/>
      <w:r>
        <w:rPr>
          <w:rFonts w:ascii="仿宋" w:hAnsi="仿宋" w:eastAsia="仿宋" w:cs="仿宋"/>
          <w:color w:val="000000"/>
          <w:sz w:val="44"/>
          <w:szCs w:val="44"/>
          <w:lang w:val="en-US" w:eastAsia="zh-CN"/>
        </w:rPr>
        <w:t>西藏自治区新增中药饮片生产品种备案目录</w:t>
      </w:r>
      <w:bookmarkEnd w:id="0"/>
    </w:p>
    <w:tbl>
      <w:tblPr>
        <w:tblStyle w:val="7"/>
        <w:tblpPr w:leftFromText="180" w:rightFromText="180" w:topFromText="0" w:bottomFromText="0" w:vertAnchor="text" w:horzAnchor="page" w:tblpX="1116" w:tblpY="1125"/>
        <w:tblW w:w="143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51"/>
        <w:gridCol w:w="959"/>
        <w:gridCol w:w="912"/>
        <w:gridCol w:w="1427"/>
        <w:gridCol w:w="1523"/>
        <w:gridCol w:w="4493"/>
        <w:gridCol w:w="1799"/>
        <w:gridCol w:w="1261"/>
        <w:gridCol w:w="677"/>
      </w:tblGrid>
      <w:tr>
        <w:trPr>
          <w:trHeight w:val="800" w:hRule="atLeast"/>
        </w:trPr>
        <w:tc>
          <w:tcPr>
            <w:tcW w:w="781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企业</w:t>
            </w:r>
          </w:p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饮片名称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主要生产工序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标准依据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炮制方法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主要检验项目</w:t>
            </w:r>
            <w:r>
              <w:rPr>
                <w:rFonts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检验方法</w:t>
            </w:r>
            <w:r>
              <w:rPr>
                <w:rFonts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检验设备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对照品</w:t>
            </w:r>
            <w:r>
              <w:rPr>
                <w:rFonts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对照药材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检验情况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spacing w:line="280" w:lineRule="exact"/>
              <w:jc w:val="both"/>
              <w:rPr>
                <w:rFonts w:ascii="宋体" w:hAnsi="宋体" w:eastAsia="宋体" w:cs="宋体"/>
                <w:b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rPr/>
        <w:tc>
          <w:tcPr>
            <w:tcW w:w="781" w:type="dxa"/>
            <w:vMerge w:val="restart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西藏</w:t>
            </w:r>
          </w:p>
          <w:p>
            <w:pPr>
              <w:pStyle w:val="Normal"/>
              <w:jc w:val="both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求本</w:t>
            </w:r>
          </w:p>
          <w:p>
            <w:pPr>
              <w:pStyle w:val="Normal"/>
              <w:jc w:val="both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生物</w:t>
            </w:r>
          </w:p>
          <w:p>
            <w:pPr>
              <w:pStyle w:val="Normal"/>
              <w:jc w:val="both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科技</w:t>
            </w:r>
          </w:p>
          <w:p>
            <w:pPr>
              <w:pStyle w:val="Normal"/>
              <w:jc w:val="both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发展</w:t>
            </w:r>
          </w:p>
          <w:p>
            <w:pPr>
              <w:pStyle w:val="Normal"/>
              <w:jc w:val="both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有限</w:t>
            </w:r>
          </w:p>
          <w:p>
            <w:pPr>
              <w:pStyle w:val="Normal"/>
              <w:jc w:val="both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公司</w:t>
            </w:r>
          </w:p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红芪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净选、清洗、浸润、切制、干燥、包装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除去杂质，大小分开，洗净，润透，切厚片，干燥。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、检查：杂质《中国药典》四部通则；水分《中国药典》四部通则烘干法；总灰分《中国药典》四部通则；二氧化硫残留。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检验设备：电子天平、电热鼓风干燥箱、箱式电阻炉、水浴锅、显微镜、二氧化硫测定仪。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红芪对照药材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灸红芪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净选、炒制、包装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取红苠片，照蜜炙法（通则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炒至不粘手。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、鉴别：薄层鉴别。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、检查：杂质《中国药典》四部通则；水分《中国药典》四部通则烘干法；总灰分《中国药典》四部通则；二氧化硫残留。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检验设备：电子天平、电热鼓风干燥箱、箱式电阻炉、水浴锅、二氧化硫测定仪。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红芪对照药材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醋鸡内金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净选、炒制、醋制、干燥、包装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取净鸡内金，照清炒法（通则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炒至鼓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起，喷醋，取出，干燥。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100kg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鸡内金，用醋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15kg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检查：杂质《中国药典》四部通则；水分《中国药典》四部通则；二氧化硫残留。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检验设备：二氧化硫测定仪、电子天平、电热鼓风干燥箱。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南板蓝根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净选、清洗、浸润、切制、干燥、包装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除去杂质，洗净，润透，切厚片，干燥。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、鉴别：薄层鉴别。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检验设备：电子天平、电热鼓风干燥箱、箱式电阻炉、水浴锅、二氧化硫测定仪。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靛蓝对照品、靛玉红对照品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酒丹参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净选、酒炙、包装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取丹参片，照酒炙法（通则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炒干。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、检查：杂质《中国药典》四部通则；水分《中国药典》四部通则；总灰分《中国药典》四部通则；酸不溶性灰分《中国药典》四部通则；二氧化硫残留。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检验设备：电子天平、显微镜、电热鼓风干燥箱、箱式电阻炉、水浴锅、二氧化硫测定仪。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丹参对照药材、丹参酮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II</w:t>
            </w:r>
            <w:r>
              <w:rPr>
                <w:rFonts w:ascii="仿宋" w:hAnsi="仿宋" w:eastAsia="仿宋" w:cs="仿宋"/>
                <w:b/>
                <w:sz w:val="24"/>
                <w:szCs w:val="24"/>
                <w:vertAlign w:val="subscript"/>
              </w:rPr>
              <w:t>A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对照品、丹酚酸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B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vMerge w:val="restart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醋北柴胡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净选、醋炙、包装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取北柴胡片，照醋炙法（通则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0213 )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炒干。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检验设备：电子天平、电热鼓风干燥箱、箱式电阻炉、水浴锅、二氧化硫测定仪、高效液相色谱仪。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北柴胡对照药材、柴胡皂</w:t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昔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a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对照品、柴胡皂甘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d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vMerge w:val="restart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南柴胡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净选、清洗、浸润、切制、干燥、包装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除去杂质，洗净， 润透， 切厚片， 干燥。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检验设备：电子天平、电热鼓风干燥箱、二氧化硫测定仪。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7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驴血粉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净选、破碎、灭菌干燥、粉碎、包装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《内蒙古蒙药饮片炮制规范》（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驴血，研细粉，过筛，即得。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、浸出物：《中国药典》四部通则。 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、含量。总氮（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N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）。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、微生物限度（非无菌药品微生物限度检查《中国药典》四部通则）。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检验设备：电子天平、显微镜、电热鼓风干燥箱、箱式电阻炉、水浴锅、二氧化硫测定仪、双人单面净化工作台、生物安全柜。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缬氨酸对照品、丙氨酸对照品、亮氨酸对照品、组氨酸对照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vMerge w:val="restart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南五味子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除去杂质。用时捣碎。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检验设备：电子天平、电热鼓风干燥箱、箱式电阻炉、水浴锅、二氧化硫测定仪、高效液相色谱仪。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南五味子对照药材、安五脂素对照品、五味子酯甲对照品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vMerge w:val="restart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醋南五味子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净选、醋蒸、干燥、包装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取净南五味子， 照醋蒸法（通则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蒸至黑色。用时捣碎。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检验设备：电子天平、电热鼓风干燥箱、箱式电阻炉、水浴锅、二氧化硫测定仪、高效液相色谱仪。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南五味子对照药材、安五脂素对照品、五味子酯甲对照品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9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米炒党参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净选、炒制、包装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取党参片，照炒法（通则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用米拌炒至表面深黄色，取出，筛去米，放凉。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100kg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党参片，用米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20kg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检验设备：电子天平、显微镜、电热鼓风干燥箱、箱式电阻炉、水浴锅、二氧化硫测定仪。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党参炔苷对照品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滇鸡血藤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净选、清洗、浸润、切制、干燥、包装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秋季采收，除去枝叶，切片，晒干。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检验设备：电子天平、显微镜、电热鼓风干燥箱、箱式电阻炉、水浴锅、二氧化硫测定仪、高效液相色谱仪。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异型南五味子丁素对照品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11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酒白芍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净选、酒炙、包装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取净白芍片，照酒炙法（通则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炒至微黄色。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检验设备：电子天平、显微镜、电热鼓风干燥箱、箱式电阻炉、水浴锅、二氧化硫测定仪、高效液相色谱仪。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芍药苷对照品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云芝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净选、清洗、干燥、包装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除去杂质， 洗净，干燥。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酒黄精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净选、酒炖（酒蒸）、切制、干燥、包装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取净黄精，照酒炖法或酒蒸法（通则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炖透或蒸透，稍凉，切厚片，干燥。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100kg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黄精，用黄酒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20kg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检验设备：电子天平、电热鼓风干燥箱、箱式电阻炉、水浴锅、二氧化硫测定仪。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黄精对照药材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沙棘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秋、冬二季果实成熟或冻硬时采收，除去杂质，干燥或蒸后干燥。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、检查：杂质《中国药典》四部通则；水分《中国药典》四部通则；总灰分《中国药典》四部通则；酸不溶性灰分《中国药典》四部通则；二氧化硫残留。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检验设备：电子天平、显微镜、电热鼓风干燥箱、箱式电阻炉、水浴锅、二氧化硫测定仪、紫外可见分光光度计、高效液相色谱仪。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异鼠李素对照品、槲皮素对照品、芦丁对照品、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独一味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净选、切制、包装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除去杂质，切碎。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、检查：杂质《中国药典》四部通则；水分《中国药典》四部通则；总灰分《中国药典》四部通则；酸不溶性灰分《中国药典》四部通则；二氧化硫残留。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检验设备：电子天平、显微镜、电热鼓风干燥箱、箱式电阻炉、水浴锅、二氧化硫测定仪、紫外可见分光光度计、高效液相色谱仪。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独一味对照药材、山枙苷甲酯对照品、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8-O-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乙酰山枙苷甲酯对照品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16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贯叶金丝桃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夏、秋二季开花时采割，阴干或低温烘干。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检验设备：电子天平、显微镜、电热鼓风干燥箱、二氧化硫测定仪、紫外可见分光光度计、高效液相色谱仪。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贯叶金丝桃对照药材、金丝桃苷对照品、芦丁对照品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vMerge w:val="continue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17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山楂叶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蔷薇科植物山里红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Crataegus pinnatifida Bge.var. major N.E.Br.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或山梭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Crataegus pinnatifida Bge.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的</w:t>
            </w:r>
          </w:p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干燥叶。夏、秋二季采收，晚干。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、检查：杂质《中国药典》四部通则；水分《中国药典》四部通则；酸不溶性灰分《中国药典》四部通则；二氧化硫残留。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检验设备：电子天平、显微镜、电热鼓风干燥箱、二氧化硫测定仪、紫外可见分光光度计、高效液相色谱仪。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芦丁对照品、金丝桃昔对照品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肿节风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净选、清洗、浸润、切制、干燥、包装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除去杂质，洗净，润透，切段，干燥。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、鉴别：显微鉴别、薄层鉴别，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、检查：杂质《中国药典》四部通则；水分《中国药典》四部通则；总灰分《中国药典》四部通则；酸不溶性灰分《中国药典》四部通则；二氧化硫残留。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种禁用农残。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、浸出物：《中国药典》四部通则。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、含量。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检验设备：电子天平、显微镜、电热鼓风干燥箱、二氧化硫测定仪、紫外可见分光光度计、高效液相色谱仪。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肿节风对照药材、异嗓皮啶对照品、迷迭香酸对照品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农残委托检验，其余项目自检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81" w:type="dxa"/>
            <w:tcBorders/>
            <w:shd w:val="clear" w:fill="auto"/>
            <w:vAlign w:val="center"/>
          </w:tcPr>
          <w:p>
            <w:pPr>
              <w:pStyle w:val="Normal"/>
              <w:jc w:val="both"/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55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烫水蛭</w:t>
            </w:r>
          </w:p>
        </w:tc>
        <w:tc>
          <w:tcPr>
            <w:tcW w:w="912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净选、炒制、包装</w:t>
            </w:r>
          </w:p>
        </w:tc>
        <w:tc>
          <w:tcPr>
            <w:tcW w:w="1427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《中华人民共和国药典》（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2020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52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取净水蛭段，照炒法（通则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 xml:space="preserve">0213)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用滑石粉烫至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微鼓起。</w:t>
            </w:r>
          </w:p>
        </w:tc>
        <w:tc>
          <w:tcPr>
            <w:tcW w:w="4493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、性状；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、鉴别：薄层鉴别。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、检查：杂质《中国药典》四部通则；水分《中国药典》四部通则烘干法；总灰分《中国药典》四部通则；酸不溶性灰分《中国药典》四部通则；酸碱度、重金属及有害元素、黄曲霉毒素、二氧化硫残留。</w:t>
            </w:r>
          </w:p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检验设备：电子天平、电热鼓风干燥箱、箱式电阻炉、二氧化硫测定仪。</w:t>
            </w:r>
          </w:p>
        </w:tc>
        <w:tc>
          <w:tcPr>
            <w:tcW w:w="1799" w:type="dxa"/>
            <w:tcBorders/>
            <w:shd w:val="clear" w:fill="auto"/>
            <w:vAlign w:val="center"/>
          </w:tcPr>
          <w:p>
            <w:pPr>
              <w:pStyle w:val="Normal"/>
              <w:jc w:val="left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水蛭对照药材</w:t>
            </w:r>
          </w:p>
        </w:tc>
        <w:tc>
          <w:tcPr>
            <w:tcW w:w="1261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重金属及有害元素、黄曲霉毒素委托检验，其余项目自检</w:t>
            </w:r>
          </w:p>
        </w:tc>
        <w:tc>
          <w:tcPr>
            <w:tcW w:w="677" w:type="dxa"/>
            <w:tcBorders/>
            <w:shd w:val="clear" w:fill="auto"/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6838" w:h="11906" w:orient="landscape"/>
      <w:pgMar w:top="1440" w:right="1800" w:bottom="1440" w:left="1800" w:header="0" w:footer="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Arial">
    <w:charset w:val="86"/>
    <w:family w:val="swiss"/>
    <w:pitch w:val="variable"/>
  </w:font>
  <w:font w:name="仿宋">
    <w:charset w:val="86"/>
    <w:family w:val="roman"/>
    <w:pitch w:val="variable"/>
  </w:font>
  <w:font w:name="黑体">
    <w:charset w:val="86"/>
    <w:family w:val="roman"/>
    <w:pitch w:val="variable"/>
  </w:font>
  <w:font w:name="宋体">
    <w:charset w:val="86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decimal"/>
      <w:lvlText w:val="%3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1"/>
        <w:spacing w:val="0"/>
        <w:i w:val="false"/>
        <w:u w:val="none"/>
        <w:b/>
        <w:kern w:val="0"/>
        <w:iCs w:val="false"/>
        <w:bCs/>
        <w:vanish w:val="false"/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next w:val="3"/>
    <w:uiPriority w:val="0"/>
    <w:qFormat/>
    <w:pPr>
      <w:widowControl w:val="false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basedOn w:val="Normal"/>
    <w:next w:val="Style13"/>
    <w:uiPriority w:val="0"/>
    <w:qFormat/>
    <w:pPr>
      <w:keepNext w:val="true"/>
      <w:spacing w:before="120" w:after="120"/>
      <w:outlineLvl w:val="0"/>
    </w:pPr>
    <w:rPr>
      <w:rFonts w:eastAsia="黑体"/>
      <w:b/>
      <w:bCs/>
      <w:sz w:val="32"/>
      <w:szCs w:val="32"/>
    </w:rPr>
  </w:style>
  <w:style w:type="paragraph" w:styleId="3">
    <w:name w:val="Heading 3"/>
    <w:basedOn w:val="1"/>
    <w:next w:val="Normal"/>
    <w:uiPriority w:val="0"/>
    <w:unhideWhenUsed/>
    <w:qFormat/>
    <w:pPr>
      <w:numPr>
        <w:ilvl w:val="2"/>
        <w:numId w:val="1"/>
      </w:numPr>
      <w:outlineLvl w:val="2"/>
    </w:pPr>
    <w:rPr>
      <w:bCs w:val="false"/>
      <w:iCs/>
      <w:sz w:val="28"/>
      <w:szCs w:val="21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ListLabel1">
    <w:name w:val="ListLabel 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spacing w:val="0"/>
      <w:kern w:val="0"/>
      <w:position w:val="0"/>
      <w:sz w:val="21"/>
      <w:u w:val="none"/>
      <w:vertAlign w:val="baseline"/>
    </w:rPr>
  </w:style>
  <w:style w:type="character" w:styleId="ListLabel2">
    <w:name w:val="ListLabel 2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spacing w:val="0"/>
      <w:kern w:val="0"/>
      <w:position w:val="0"/>
      <w:sz w:val="21"/>
      <w:u w:val="none"/>
      <w:vertAlign w:val="baseline"/>
    </w:rPr>
  </w:style>
  <w:style w:type="paragraph" w:styleId="Style12">
    <w:name w:val="标题样式"/>
    <w:basedOn w:val="Normal"/>
    <w:next w:val="Style13"/>
    <w:qFormat/>
    <w:pPr>
      <w:keepNext w:val="true"/>
      <w:spacing w:before="240" w:after="120"/>
    </w:pPr>
    <w:rPr>
      <w:rFonts w:ascii="Arial" w:hAnsi="Arial" w:eastAsia="微软雅黑" w:cs="Arial"/>
      <w:sz w:val="28"/>
      <w:szCs w:val="28"/>
    </w:rPr>
  </w:style>
  <w:style w:type="paragraph" w:styleId="Style13">
    <w:name w:val="Body Text"/>
    <w:basedOn w:val="Normal"/>
    <w:uiPriority w:val="0"/>
    <w:qFormat/>
    <w:pPr>
      <w:keepLines/>
      <w:spacing w:before="40" w:after="40"/>
      <w:ind w:left="720" w:hanging="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0"/>
    <w:qFormat/>
    <w:pPr>
      <w:spacing w:beforeAutospacing="1" w:afterAutospacing="1"/>
      <w:ind w:left="0" w:right="0" w:hanging="0"/>
      <w:jc w:val="left"/>
    </w:pPr>
    <w:rPr>
      <w:kern w:val="0"/>
      <w:sz w:val="24"/>
      <w:lang w:val="en-US" w:eastAsia="zh-CN" w:bidi="ar"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Application>Trio_Office/6.2.8.2$Windows_x86 LibreOffice_project/</Application>
  <Pages>10</Pages>
  <Words>4592</Words>
  <Characters>4800</Characters>
  <CharactersWithSpaces>4827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dc:description/>
  <dc:language>zh-CN</dc:language>
  <cp:lastModifiedBy/>
  <cp:lastPrinted>2022-11-10T08:59:00Z</cp:lastPrinted>
  <dcterms:modified xsi:type="dcterms:W3CDTF">2022-11-12T12:04:14Z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4D00CEACC98F4C76A7C67390F8582AA2</vt:lpwstr>
  </property>
  <property fmtid="{D5CDD505-2E9C-101B-9397-08002B2CF9AE}" pid="4" name="KSOProductBuildVer">
    <vt:lpwstr>2052-11.1.0.12598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