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0"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bookmarkStart w:name="_GoBack" w:id="0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仿宋_GB2312" w:eastAsia="仿宋_GB2312" w:cs="仿宋_GB2312"/>
          <w:sz w:val="32"/>
          <w:szCs w:val="32"/>
        </w:rPr>
        <w:t>日医保发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规范理顺公立医疗机构部分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按病种收费项目价格的通知</w:t>
      </w:r>
    </w:p>
    <w:p>
      <w:pPr>
        <w:spacing w:line="1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各区县医疗保障局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各功能区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社会事业发展局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市医疗保险事业中心，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各有关公立医疗机构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我市医疗服务定价方式改革，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促进医疗卫生事业健康发展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我市按病种收费项目执行情况，决定调整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全市二级及二级以上公立医疗机构部分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病种收费项目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sz w:val="32"/>
          <w:szCs w:val="32"/>
        </w:rPr>
        <w:t>按病种收费实行最高限价管理。附件所列病种收费标准为全市三级、二级公立医疗机构最高收费标准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各医疗机构在规定价格的基础上，可适当下浮。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二、各区县局要结合实际，积极推进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按病种收费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工作，指导医疗机构严格费用控制，建立健全按病种收费的进入和退出机制，抓好控费工作。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医疗机构要加强政策宣传引导，在院内开展多种形式进行宣传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，保障患者的知情权、选择权，自觉接受群众和有关部门监督。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日照市医疗保障局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日照市卫生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健康委员会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重新公布公立医疗机构按病种收费项目的通知》（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日医保发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），有效期延长至20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，其中涉及本次规范理顺的项目价格，以本通知为准。本通知自2021年12月20日起执行，有效期至2022年12月31日。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64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日照市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公立医疗机构部分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病种收费项目价格表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日照市医疗保障局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此件主动公开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057" w:firstLineChars="189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w:type="default" r:id="rId3"/>
          <w:pgSz w:w="11906" w:h="16838"/>
          <w:pgMar w:top="2098" w:right="1474" w:bottom="1985" w:left="1588" w:header="709" w:footer="992" w:gutter="0"/>
          <w:pgNumType w:fmt="decimal"/>
          <w:cols w:space="708" w:num="1"/>
          <w:docGrid w:linePitch="360" w:charSpace="0"/>
        </w:sect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280" w:firstLineChars="1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35560</wp:posOffset>
                </wp:positionV>
                <wp:extent cx="5529580" cy="12065"/>
                <wp:effectExtent l="0" t="4445" r="13970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29580" cy="12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left:0pt;flip:y;margin-left:3pt;margin-top:2.8pt;height:0.95pt;width:435.4pt;z-index:251670528;mso-width-relative:page;mso-height-relative:page;" coordsize="21600,21600" o:spid="_x0000_s1026" filled="f" stroked="t" o:spt="20" o:gfxdata="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rmsiQ1AAAAAUBAAAPAAAAAAAAAAEAIAAAADgAAABkcnMvZG93bnJldi54bWxQSwEC&#10;FAAUAAAACACHTuJAAgHRLeIBAACpAwAADgAAAAAAAAABACAAAAA5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359410</wp:posOffset>
                </wp:positionV>
                <wp:extent cx="5529580" cy="13335"/>
                <wp:effectExtent l="0" t="4445" r="1397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29580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left:0pt;flip:y;margin-left:3pt;margin-top:28.3pt;height:1.05pt;width:435.4pt;z-index:251671552;mso-width-relative:page;mso-height-relative:page;" coordsize="21600,21600" o:spid="_x0000_s1026" filled="f" stroked="t" o:spt="20" o:gfxdata="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YZNNP1gAAAAcBAAAPAAAAAAAAAAEAIAAAADgAAABkcnMvZG93bnJldi54&#10;bWxQSwECFAAUAAAACACHTuJA0W8xKuYBAACpAwAADgAAAAAAAAABACAAAAA7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日照市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医疗保障局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办公室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发</w:t>
      </w:r>
    </w:p>
    <w:sectPr>
      <w:footerReference w:type="default" r:id="rId4"/>
      <w:pgSz w:w="11906" w:h="16838"/>
      <w:pgMar w:top="2098" w:right="1474" w:bottom="1985" w:left="1588" w:header="709" w:footer="992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oNotHyphenateCaps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1A0"/>
    <w:rsid w:val="000515E5"/>
    <w:rsid w:val="000C29BD"/>
    <w:rsid w:val="00114752"/>
    <w:rsid w:val="001371A2"/>
    <w:rsid w:val="001F5FF0"/>
    <w:rsid w:val="00304803"/>
    <w:rsid w:val="00323B43"/>
    <w:rsid w:val="003D37D8"/>
    <w:rsid w:val="00426133"/>
    <w:rsid w:val="004358AB"/>
    <w:rsid w:val="004D4CF7"/>
    <w:rsid w:val="004E6C3B"/>
    <w:rsid w:val="007775FE"/>
    <w:rsid w:val="008B7726"/>
    <w:rsid w:val="00A33ED9"/>
    <w:rsid w:val="00B23745"/>
    <w:rsid w:val="00B84C23"/>
    <w:rsid w:val="00BD25DC"/>
    <w:rsid w:val="00C70989"/>
    <w:rsid w:val="00C92120"/>
    <w:rsid w:val="00D31D50"/>
    <w:rsid w:val="00DE6968"/>
    <w:rsid w:val="00E630CB"/>
    <w:rsid w:val="00EE1D48"/>
    <w:rsid w:val="00EF22CC"/>
    <w:rsid w:val="00F40EAE"/>
    <w:rsid w:val="01EC3FA1"/>
    <w:rsid w:val="03CF52FF"/>
    <w:rsid w:val="04823D5D"/>
    <w:rsid w:val="06359359"/>
    <w:rsid w:val="0B1D5EA0"/>
    <w:rsid w:val="0BB74A4B"/>
    <w:rsid w:val="0C634887"/>
    <w:rsid w:val="0D5379E7"/>
    <w:rsid w:val="0F5F7A96"/>
    <w:rsid w:val="0F945417"/>
    <w:rsid w:val="11687723"/>
    <w:rsid w:val="117170B9"/>
    <w:rsid w:val="11945011"/>
    <w:rsid w:val="11D27EEB"/>
    <w:rsid w:val="15707C45"/>
    <w:rsid w:val="15DF0911"/>
    <w:rsid w:val="17B71845"/>
    <w:rsid w:val="185C10ED"/>
    <w:rsid w:val="18DB32B5"/>
    <w:rsid w:val="190934F3"/>
    <w:rsid w:val="19BE1225"/>
    <w:rsid w:val="1A1A7194"/>
    <w:rsid w:val="1B511483"/>
    <w:rsid w:val="1B6C0BE1"/>
    <w:rsid w:val="1C3F6FA1"/>
    <w:rsid w:val="1C94387A"/>
    <w:rsid w:val="1D49634A"/>
    <w:rsid w:val="1D4B2F6B"/>
    <w:rsid w:val="1D861720"/>
    <w:rsid w:val="1DBA6D05"/>
    <w:rsid w:val="1E645F32"/>
    <w:rsid w:val="1FE30C84"/>
    <w:rsid w:val="20E229C4"/>
    <w:rsid w:val="21472816"/>
    <w:rsid w:val="2158609B"/>
    <w:rsid w:val="23556A2B"/>
    <w:rsid w:val="235C2D14"/>
    <w:rsid w:val="245E37BA"/>
    <w:rsid w:val="27F64CD1"/>
    <w:rsid w:val="281176E8"/>
    <w:rsid w:val="295C5BAD"/>
    <w:rsid w:val="299E7873"/>
    <w:rsid w:val="2A6935BF"/>
    <w:rsid w:val="2B7A338C"/>
    <w:rsid w:val="2BFF673E"/>
    <w:rsid w:val="2E103C62"/>
    <w:rsid w:val="2F451CE3"/>
    <w:rsid w:val="2F57195C"/>
    <w:rsid w:val="2FDE34FC"/>
    <w:rsid w:val="31BB42FE"/>
    <w:rsid w:val="32575F4C"/>
    <w:rsid w:val="327B42EC"/>
    <w:rsid w:val="3293562F"/>
    <w:rsid w:val="33E20F5B"/>
    <w:rsid w:val="35593256"/>
    <w:rsid w:val="37A12FA4"/>
    <w:rsid w:val="3A4726E5"/>
    <w:rsid w:val="3B1D485E"/>
    <w:rsid w:val="3B7478A9"/>
    <w:rsid w:val="3C6D78AF"/>
    <w:rsid w:val="3DB533F1"/>
    <w:rsid w:val="3DC54F46"/>
    <w:rsid w:val="3E765B98"/>
    <w:rsid w:val="3E81628A"/>
    <w:rsid w:val="3EBB0473"/>
    <w:rsid w:val="3EDA7E5D"/>
    <w:rsid w:val="3FFF7485"/>
    <w:rsid w:val="40CA6687"/>
    <w:rsid w:val="417A3A2C"/>
    <w:rsid w:val="427A628F"/>
    <w:rsid w:val="43AF3C01"/>
    <w:rsid w:val="45B2098C"/>
    <w:rsid w:val="46711382"/>
    <w:rsid w:val="46CB3D56"/>
    <w:rsid w:val="47DC0B61"/>
    <w:rsid w:val="4803718D"/>
    <w:rsid w:val="49157DD0"/>
    <w:rsid w:val="4B3D1E55"/>
    <w:rsid w:val="4B6F7161"/>
    <w:rsid w:val="4D1B5853"/>
    <w:rsid w:val="4D526A7B"/>
    <w:rsid w:val="4DEFA4FC"/>
    <w:rsid w:val="4F9A6008"/>
    <w:rsid w:val="52340300"/>
    <w:rsid w:val="53532B57"/>
    <w:rsid w:val="54055734"/>
    <w:rsid w:val="546E0544"/>
    <w:rsid w:val="55B73C9A"/>
    <w:rsid w:val="56EA4687"/>
    <w:rsid w:val="57A3007E"/>
    <w:rsid w:val="57C33ED4"/>
    <w:rsid w:val="582E5F98"/>
    <w:rsid w:val="5C50339C"/>
    <w:rsid w:val="5E7F23A2"/>
    <w:rsid w:val="600A4BE4"/>
    <w:rsid w:val="61E35841"/>
    <w:rsid w:val="62DB1632"/>
    <w:rsid w:val="6459225F"/>
    <w:rsid w:val="6562394E"/>
    <w:rsid w:val="6AD87A71"/>
    <w:rsid w:val="6DCF1B2F"/>
    <w:rsid w:val="6DE73E1F"/>
    <w:rsid w:val="6EED6449"/>
    <w:rsid w:val="6EF32DB1"/>
    <w:rsid w:val="6F5476EA"/>
    <w:rsid w:val="6FBA2EB7"/>
    <w:rsid w:val="702E6111"/>
    <w:rsid w:val="7123193E"/>
    <w:rsid w:val="719926FD"/>
    <w:rsid w:val="719D1195"/>
    <w:rsid w:val="71CE2323"/>
    <w:rsid w:val="73766751"/>
    <w:rsid w:val="73E7121A"/>
    <w:rsid w:val="75024E28"/>
    <w:rsid w:val="753F42DD"/>
    <w:rsid w:val="76F10AB3"/>
    <w:rsid w:val="777D75EE"/>
    <w:rsid w:val="78103A29"/>
    <w:rsid w:val="7941128D"/>
    <w:rsid w:val="797644E0"/>
    <w:rsid w:val="79BB0006"/>
    <w:rsid w:val="79DF31AD"/>
    <w:rsid w:val="7C5B2527"/>
    <w:rsid w:val="7C9B6FF9"/>
    <w:rsid w:val="7D9C3C01"/>
    <w:rsid w:val="7F7FEB20"/>
    <w:rsid w:val="7FBE6129"/>
    <w:rsid w:val="7FDFDE7A"/>
    <w:rsid w:val="91B2F7A2"/>
    <w:rsid w:val="9951D300"/>
    <w:rsid w:val="AFB9D890"/>
    <w:rsid w:val="BAF79AF6"/>
    <w:rsid w:val="D7BFE385"/>
    <w:rsid w:val="DFDE39C8"/>
    <w:rsid w:val="EFCD83B1"/>
    <w:rsid w:val="FA3FEB37"/>
    <w:rsid w:val="FADB96D9"/>
    <w:rsid w:val="FAFFEF47"/>
    <w:rsid w:val="FBFDDC24"/>
    <w:rsid w:val="FBFE3221"/>
    <w:rsid w:val="FDFB2098"/>
    <w:rsid w:val="FEFE0951"/>
    <w:rsid w:val="FFEFE63A"/>
    <w:rsid w:val="FF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Date Char"/>
    <w:basedOn w:val="6"/>
    <w:link w:val="2"/>
    <w:semiHidden/>
    <w:qFormat/>
    <w:locked/>
    <w:uiPriority w:val="99"/>
    <w:rPr>
      <w:rFonts w:ascii="Tahoma" w:hAnsi="Tahoma" w:cs="Tahoma"/>
      <w:kern w:val="0"/>
      <w:sz w:val="22"/>
      <w:szCs w:val="22"/>
    </w:rPr>
  </w:style>
  <w:style w:type="character" w:customStyle="1" w:styleId="12">
    <w:name w:val="font51"/>
    <w:basedOn w:val="6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41"/>
    <w:basedOn w:val="6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32</Words>
  <Characters>183</Characters>
  <Lines>0</Lines>
  <Paragraphs>0</Paragraphs>
  <TotalTime>42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2019-02-26T09:41:00Z</dcterms:created>
  <dc:creator>User</dc:creator>
  <cp:lastModifiedBy>administrator</cp:lastModifiedBy>
  <cp:lastPrinted>2021-09-09T11:19:00Z</cp:lastPrinted>
  <dcterms:modified xsi:type="dcterms:W3CDTF">2021-12-10T17:17:17Z</dcterms:modified>
  <dc:title>日医保发〔2019〕1号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07E44E851F8C43E1BCCC6221564436D5</vt:lpwstr>
  </property>
</Properties>
</file>