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77384" w:rsidR="004B70E6" w:rsidP="00127A9A" w:rsidRDefault="004B70E6">
      <w:pPr>
        <w:spacing w:line="600" w:lineRule="exact"/>
        <w:jc w:val="center"/>
        <w:rPr>
          <w:rFonts w:ascii="宋体" w:hAnsi="宋体"/>
          <w:sz w:val="44"/>
          <w:szCs w:val="44"/>
        </w:rPr>
      </w:pPr>
      <w:r w:rsidRPr="00C77384">
        <w:rPr>
          <w:rFonts w:hint="eastAsia" w:ascii="宋体" w:hAnsi="宋体"/>
          <w:sz w:val="44"/>
          <w:szCs w:val="44"/>
        </w:rPr>
        <w:t>绍兴市医疗保障局关于</w:t>
      </w:r>
      <w:r w:rsidRPr="00C77384" w:rsidR="006B76BC">
        <w:rPr>
          <w:rFonts w:hint="eastAsia" w:ascii="宋体" w:hAnsi="宋体"/>
          <w:sz w:val="44"/>
          <w:szCs w:val="44"/>
        </w:rPr>
        <w:t>对《绍兴市医疗保险定点零售药店信用管理办法（试行）》（绍市医保〔</w:t>
      </w:r>
      <w:r w:rsidRPr="00C77384" w:rsidR="006B76BC">
        <w:rPr>
          <w:rFonts w:ascii="宋体" w:hAnsi="宋体"/>
          <w:sz w:val="44"/>
          <w:szCs w:val="44"/>
        </w:rPr>
        <w:t>2020〕39 号</w:t>
      </w:r>
      <w:r w:rsidR="007A0660">
        <w:rPr>
          <w:rFonts w:hint="eastAsia" w:ascii="宋体" w:hAnsi="宋体"/>
          <w:sz w:val="44"/>
          <w:szCs w:val="44"/>
        </w:rPr>
        <w:t>）</w:t>
      </w:r>
      <w:r w:rsidRPr="00C77384" w:rsidR="006B76BC">
        <w:rPr>
          <w:rFonts w:hint="eastAsia" w:ascii="宋体" w:hAnsi="宋体"/>
          <w:sz w:val="44"/>
          <w:szCs w:val="44"/>
        </w:rPr>
        <w:t>《绍兴市医疗保险定点零售药店信用记分操作细则（试行）》（绍市医保〔</w:t>
      </w:r>
      <w:r w:rsidRPr="00C77384" w:rsidR="006B76BC">
        <w:rPr>
          <w:rFonts w:ascii="宋体" w:hAnsi="宋体"/>
          <w:sz w:val="44"/>
          <w:szCs w:val="44"/>
        </w:rPr>
        <w:t>2020〕40号</w:t>
      </w:r>
      <w:r w:rsidRPr="00C77384" w:rsidR="006B76BC">
        <w:rPr>
          <w:rFonts w:hint="eastAsia" w:ascii="宋体" w:hAnsi="宋体"/>
          <w:sz w:val="44"/>
          <w:szCs w:val="44"/>
        </w:rPr>
        <w:t>）</w:t>
      </w:r>
      <w:r w:rsidR="00037E6D">
        <w:rPr>
          <w:rFonts w:hint="eastAsia" w:ascii="宋体" w:hAnsi="宋体"/>
          <w:sz w:val="44"/>
          <w:szCs w:val="44"/>
        </w:rPr>
        <w:t>有关内容</w:t>
      </w:r>
      <w:r w:rsidRPr="00C77384" w:rsidR="006B76BC">
        <w:rPr>
          <w:rFonts w:hint="eastAsia" w:ascii="宋体" w:hAnsi="宋体"/>
          <w:sz w:val="44"/>
          <w:szCs w:val="44"/>
        </w:rPr>
        <w:t>进行修改</w:t>
      </w:r>
      <w:r w:rsidRPr="00C77384">
        <w:rPr>
          <w:rFonts w:hint="eastAsia" w:ascii="宋体" w:hAnsi="宋体"/>
          <w:sz w:val="44"/>
          <w:szCs w:val="44"/>
        </w:rPr>
        <w:t>的通知</w:t>
      </w:r>
    </w:p>
    <w:p w:rsidR="00F26DB3" w:rsidP="00F26DB3" w:rsidRDefault="00F26DB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Pr="00BC6B03" w:rsidR="004B70E6" w:rsidP="00F26DB3" w:rsidRDefault="004B70E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BC6B03">
        <w:rPr>
          <w:rFonts w:hint="eastAsia" w:ascii="仿宋_GB2312" w:eastAsia="仿宋_GB2312"/>
          <w:sz w:val="32"/>
          <w:szCs w:val="32"/>
        </w:rPr>
        <w:t>各县（市)医疗保障局，市局各分局，市</w:t>
      </w:r>
      <w:proofErr w:type="gramStart"/>
      <w:r w:rsidRPr="00BC6B03">
        <w:rPr>
          <w:rFonts w:hint="eastAsia" w:ascii="仿宋_GB2312" w:eastAsia="仿宋_GB2312"/>
          <w:sz w:val="32"/>
          <w:szCs w:val="32"/>
        </w:rPr>
        <w:t>医</w:t>
      </w:r>
      <w:proofErr w:type="gramEnd"/>
      <w:r w:rsidRPr="00BC6B03">
        <w:rPr>
          <w:rFonts w:hint="eastAsia" w:ascii="仿宋_GB2312" w:eastAsia="仿宋_GB2312"/>
          <w:sz w:val="32"/>
          <w:szCs w:val="32"/>
        </w:rPr>
        <w:t>保中心：</w:t>
      </w:r>
    </w:p>
    <w:p w:rsidRPr="00BC6B03" w:rsidR="004B70E6" w:rsidP="00F26DB3" w:rsidRDefault="004B70E6">
      <w:pPr>
        <w:spacing w:line="600" w:lineRule="exact"/>
        <w:ind w:firstLine="640" w:firstLineChars="200"/>
        <w:textAlignment w:val="baseline"/>
        <w:outlineLvl w:val="1"/>
        <w:rPr>
          <w:rFonts w:eastAsia="仿宋_GB2312"/>
          <w:sz w:val="32"/>
          <w:szCs w:val="32"/>
        </w:rPr>
      </w:pPr>
      <w:r w:rsidRPr="00BC6B03">
        <w:rPr>
          <w:rFonts w:hint="eastAsia" w:ascii="仿宋_GB2312" w:eastAsia="仿宋_GB2312"/>
          <w:sz w:val="32"/>
          <w:szCs w:val="32"/>
        </w:rPr>
        <w:t>为进一步推进我市医保领域信用体系建设</w:t>
      </w:r>
      <w:r w:rsidRPr="00BC6B03">
        <w:rPr>
          <w:rFonts w:hint="eastAsia" w:eastAsia="仿宋_GB2312"/>
          <w:sz w:val="32"/>
          <w:szCs w:val="32"/>
        </w:rPr>
        <w:t>，</w:t>
      </w:r>
      <w:r w:rsidRPr="00BC6B03">
        <w:rPr>
          <w:rFonts w:eastAsia="仿宋_GB2312"/>
          <w:sz w:val="32"/>
          <w:szCs w:val="32"/>
        </w:rPr>
        <w:t>根据《中共中央国务院印发关于深化医疗保障制度改革的意见》</w:t>
      </w:r>
      <w:r w:rsidRPr="00BC6B03">
        <w:rPr>
          <w:rFonts w:hint="eastAsia" w:eastAsia="仿宋_GB2312"/>
          <w:sz w:val="32"/>
          <w:szCs w:val="32"/>
        </w:rPr>
        <w:t>《国务院办公厅关于推进医疗保障基金监管制度体系改革的指导意见》</w:t>
      </w:r>
      <w:r w:rsidRPr="00BC6B03">
        <w:rPr>
          <w:rFonts w:eastAsia="仿宋_GB2312"/>
          <w:sz w:val="32"/>
          <w:szCs w:val="32"/>
        </w:rPr>
        <w:t>《浙江省公共信用信息管理条例》</w:t>
      </w:r>
      <w:r w:rsidRPr="00BC6B03">
        <w:rPr>
          <w:rFonts w:hint="eastAsia" w:eastAsia="仿宋_GB2312"/>
          <w:sz w:val="32"/>
          <w:szCs w:val="32"/>
        </w:rPr>
        <w:t>《</w:t>
      </w:r>
      <w:r w:rsidRPr="00BC6B03">
        <w:rPr>
          <w:rFonts w:eastAsia="仿宋_GB2312"/>
          <w:sz w:val="32"/>
          <w:szCs w:val="32"/>
        </w:rPr>
        <w:t>浙江省医疗保障信用管理办法</w:t>
      </w:r>
      <w:r w:rsidRPr="00BC6B03">
        <w:rPr>
          <w:rFonts w:hint="eastAsia" w:eastAsia="仿宋_GB2312"/>
          <w:sz w:val="32"/>
          <w:szCs w:val="32"/>
        </w:rPr>
        <w:t>（试行）》</w:t>
      </w:r>
      <w:r w:rsidRPr="00BC6B03">
        <w:rPr>
          <w:rFonts w:hint="eastAsia" w:ascii="仿宋_GB2312" w:eastAsia="仿宋_GB2312"/>
          <w:sz w:val="32"/>
          <w:szCs w:val="32"/>
        </w:rPr>
        <w:t>（浙医保发〔</w:t>
      </w:r>
      <w:r w:rsidRPr="00BC6B03">
        <w:rPr>
          <w:rFonts w:ascii="仿宋_GB2312" w:eastAsia="仿宋_GB2312"/>
          <w:sz w:val="32"/>
          <w:szCs w:val="32"/>
        </w:rPr>
        <w:t>2020〕</w:t>
      </w:r>
      <w:r w:rsidRPr="00BC6B03">
        <w:rPr>
          <w:rFonts w:hint="eastAsia" w:ascii="仿宋_GB2312" w:eastAsia="仿宋_GB2312"/>
          <w:sz w:val="32"/>
          <w:szCs w:val="32"/>
        </w:rPr>
        <w:t>21</w:t>
      </w:r>
      <w:r w:rsidRPr="00BC6B03">
        <w:rPr>
          <w:rFonts w:ascii="仿宋_GB2312" w:eastAsia="仿宋_GB2312"/>
          <w:sz w:val="32"/>
          <w:szCs w:val="32"/>
        </w:rPr>
        <w:t>号</w:t>
      </w:r>
      <w:r w:rsidRPr="00BC6B03">
        <w:rPr>
          <w:rFonts w:hint="eastAsia" w:ascii="仿宋_GB2312" w:eastAsia="仿宋_GB2312"/>
          <w:sz w:val="32"/>
          <w:szCs w:val="32"/>
        </w:rPr>
        <w:t>）</w:t>
      </w:r>
      <w:r w:rsidRPr="00BC6B03">
        <w:rPr>
          <w:rFonts w:hint="eastAsia" w:eastAsia="仿宋_GB2312"/>
          <w:sz w:val="32"/>
          <w:szCs w:val="32"/>
        </w:rPr>
        <w:t>等文件精神，结合前期试点运行经验，</w:t>
      </w:r>
      <w:r w:rsidRPr="00BC6B03">
        <w:rPr>
          <w:rFonts w:hint="eastAsia" w:ascii="仿宋_GB2312" w:eastAsia="仿宋_GB2312"/>
          <w:sz w:val="32"/>
          <w:szCs w:val="32"/>
        </w:rPr>
        <w:t>决定</w:t>
      </w:r>
      <w:bookmarkStart w:name="_Hlk47432504" w:id="0"/>
      <w:r w:rsidRPr="00BC6B03">
        <w:rPr>
          <w:rFonts w:hint="eastAsia" w:ascii="仿宋_GB2312" w:eastAsia="仿宋_GB2312"/>
          <w:sz w:val="32"/>
          <w:szCs w:val="32"/>
        </w:rPr>
        <w:t>对《绍兴市医疗保险定点零售药店信用管理办法（试行</w:t>
      </w:r>
      <w:bookmarkStart w:name="_Hlk47432401" w:id="1"/>
      <w:r w:rsidRPr="00BC6B03">
        <w:rPr>
          <w:rFonts w:hint="eastAsia" w:ascii="仿宋_GB2312" w:eastAsia="仿宋_GB2312"/>
          <w:sz w:val="32"/>
          <w:szCs w:val="32"/>
        </w:rPr>
        <w:t>）》</w:t>
      </w:r>
      <w:bookmarkStart w:name="_Hlk47432395" w:id="2"/>
      <w:bookmarkEnd w:id="1"/>
      <w:r w:rsidRPr="00BC6B03">
        <w:rPr>
          <w:rFonts w:hint="eastAsia" w:ascii="仿宋_GB2312" w:eastAsia="仿宋_GB2312"/>
          <w:sz w:val="32"/>
          <w:szCs w:val="32"/>
        </w:rPr>
        <w:t>（绍市医保〔</w:t>
      </w:r>
      <w:r w:rsidRPr="00BC6B03">
        <w:rPr>
          <w:rFonts w:ascii="仿宋_GB2312" w:eastAsia="仿宋_GB2312"/>
          <w:sz w:val="32"/>
          <w:szCs w:val="32"/>
        </w:rPr>
        <w:t>2020〕39 号</w:t>
      </w:r>
      <w:r w:rsidRPr="00BC6B03">
        <w:rPr>
          <w:rFonts w:hint="eastAsia" w:ascii="仿宋_GB2312" w:eastAsia="仿宋_GB2312"/>
          <w:sz w:val="32"/>
          <w:szCs w:val="32"/>
        </w:rPr>
        <w:t>）</w:t>
      </w:r>
      <w:bookmarkEnd w:id="0"/>
      <w:bookmarkEnd w:id="2"/>
      <w:r w:rsidRPr="00BC6B03">
        <w:rPr>
          <w:rFonts w:hint="eastAsia" w:ascii="仿宋_GB2312" w:eastAsia="仿宋_GB2312"/>
          <w:sz w:val="32"/>
          <w:szCs w:val="32"/>
        </w:rPr>
        <w:t>《绍兴市医疗保险定点零售药店信用记分操作细则（试行）》（绍</w:t>
      </w:r>
      <w:bookmarkStart w:name="_GoBack" w:id="3"/>
      <w:bookmarkEnd w:id="3"/>
      <w:r w:rsidRPr="00BC6B03">
        <w:rPr>
          <w:rFonts w:hint="eastAsia" w:ascii="仿宋_GB2312" w:eastAsia="仿宋_GB2312"/>
          <w:sz w:val="32"/>
          <w:szCs w:val="32"/>
        </w:rPr>
        <w:t>市医保〔</w:t>
      </w:r>
      <w:r w:rsidRPr="00BC6B03">
        <w:rPr>
          <w:rFonts w:ascii="仿宋_GB2312" w:eastAsia="仿宋_GB2312"/>
          <w:sz w:val="32"/>
          <w:szCs w:val="32"/>
        </w:rPr>
        <w:t>2020〕40号</w:t>
      </w:r>
      <w:r w:rsidRPr="00BC6B03">
        <w:rPr>
          <w:rFonts w:hint="eastAsia" w:ascii="仿宋_GB2312" w:eastAsia="仿宋_GB2312"/>
          <w:sz w:val="32"/>
          <w:szCs w:val="32"/>
        </w:rPr>
        <w:t>）</w:t>
      </w:r>
      <w:r w:rsidR="00037E6D">
        <w:rPr>
          <w:rFonts w:hint="eastAsia" w:ascii="仿宋_GB2312" w:eastAsia="仿宋_GB2312"/>
          <w:sz w:val="32"/>
          <w:szCs w:val="32"/>
        </w:rPr>
        <w:t>有关内容</w:t>
      </w:r>
      <w:r w:rsidRPr="00BC6B03">
        <w:rPr>
          <w:rFonts w:hint="eastAsia" w:ascii="仿宋_GB2312" w:eastAsia="仿宋_GB2312"/>
          <w:sz w:val="32"/>
          <w:szCs w:val="32"/>
        </w:rPr>
        <w:t>进行修改。修改</w:t>
      </w:r>
      <w:proofErr w:type="gramStart"/>
      <w:r w:rsidRPr="00BC6B03">
        <w:rPr>
          <w:rFonts w:hint="eastAsia" w:ascii="仿宋_GB2312" w:eastAsia="仿宋_GB2312"/>
          <w:sz w:val="32"/>
          <w:szCs w:val="32"/>
        </w:rPr>
        <w:t>后内容</w:t>
      </w:r>
      <w:proofErr w:type="gramEnd"/>
      <w:r w:rsidRPr="00BC6B03">
        <w:rPr>
          <w:rFonts w:hint="eastAsia" w:ascii="仿宋_GB2312" w:eastAsia="仿宋_GB2312"/>
          <w:sz w:val="32"/>
          <w:szCs w:val="32"/>
        </w:rPr>
        <w:t>如下：</w:t>
      </w:r>
    </w:p>
    <w:p w:rsidR="00274F9E" w:rsidP="00F26DB3" w:rsidRDefault="004B70E6">
      <w:pPr>
        <w:spacing w:line="600" w:lineRule="exact"/>
        <w:ind w:left="640" w:hanging="640" w:hangingChars="200"/>
        <w:rPr>
          <w:rFonts w:ascii="黑体" w:hAnsi="黑体" w:eastAsia="黑体"/>
          <w:sz w:val="32"/>
          <w:szCs w:val="32"/>
        </w:rPr>
      </w:pPr>
      <w:r w:rsidRPr="00BC6B03">
        <w:rPr>
          <w:rFonts w:hint="eastAsia" w:ascii="黑体" w:hAnsi="黑体" w:eastAsia="黑体"/>
          <w:sz w:val="32"/>
          <w:szCs w:val="32"/>
        </w:rPr>
        <w:t>一、《绍兴市医疗保险定点零售药店信用管理办法（试行）》（</w:t>
      </w:r>
      <w:proofErr w:type="gramStart"/>
      <w:r w:rsidRPr="00BC6B03">
        <w:rPr>
          <w:rFonts w:hint="eastAsia" w:ascii="黑体" w:hAnsi="黑体" w:eastAsia="黑体"/>
          <w:sz w:val="32"/>
          <w:szCs w:val="32"/>
        </w:rPr>
        <w:t>绍</w:t>
      </w:r>
      <w:proofErr w:type="gramEnd"/>
      <w:r w:rsidRPr="00BC6B03">
        <w:rPr>
          <w:rFonts w:hint="eastAsia" w:ascii="黑体" w:hAnsi="黑体" w:eastAsia="黑体"/>
          <w:sz w:val="32"/>
          <w:szCs w:val="32"/>
        </w:rPr>
        <w:t>市</w:t>
      </w:r>
      <w:proofErr w:type="gramStart"/>
      <w:r w:rsidRPr="00BC6B03">
        <w:rPr>
          <w:rFonts w:hint="eastAsia" w:ascii="黑体" w:hAnsi="黑体" w:eastAsia="黑体"/>
          <w:sz w:val="32"/>
          <w:szCs w:val="32"/>
        </w:rPr>
        <w:t>医</w:t>
      </w:r>
      <w:proofErr w:type="gramEnd"/>
      <w:r w:rsidRPr="00BC6B03">
        <w:rPr>
          <w:rFonts w:hint="eastAsia" w:ascii="黑体" w:hAnsi="黑体" w:eastAsia="黑体"/>
          <w:sz w:val="32"/>
          <w:szCs w:val="32"/>
        </w:rPr>
        <w:t>保〔</w:t>
      </w:r>
      <w:r w:rsidRPr="00BC6B03">
        <w:rPr>
          <w:rFonts w:ascii="黑体" w:hAnsi="黑体" w:eastAsia="黑体"/>
          <w:sz w:val="32"/>
          <w:szCs w:val="32"/>
        </w:rPr>
        <w:t>2020〕39号</w:t>
      </w:r>
      <w:r w:rsidRPr="00BC6B03">
        <w:rPr>
          <w:rFonts w:hint="eastAsia" w:ascii="黑体" w:hAnsi="黑体" w:eastAsia="黑体"/>
          <w:sz w:val="32"/>
          <w:szCs w:val="32"/>
        </w:rPr>
        <w:t>）修改情况</w:t>
      </w:r>
    </w:p>
    <w:p w:rsidRPr="005B5C90" w:rsidR="004B70E6" w:rsidP="00F26DB3" w:rsidRDefault="004B70E6">
      <w:pPr>
        <w:spacing w:line="600" w:lineRule="exact"/>
        <w:ind w:firstLine="640" w:firstLineChars="200"/>
        <w:rPr>
          <w:rFonts w:ascii="仿宋_GB2312" w:eastAsia="仿宋_GB2312"/>
          <w:dstrike/>
          <w:sz w:val="32"/>
          <w:szCs w:val="32"/>
        </w:rPr>
      </w:pPr>
      <w:bookmarkStart w:name="_Hlk47443651" w:id="4"/>
      <w:r w:rsidRPr="00BC6B03">
        <w:rPr>
          <w:rFonts w:hint="eastAsia" w:ascii="黑体" w:hAnsi="黑体" w:eastAsia="黑体"/>
          <w:sz w:val="32"/>
          <w:szCs w:val="32"/>
        </w:rPr>
        <w:t>（一）第十一条</w:t>
      </w:r>
      <w:r w:rsidR="005B5C90">
        <w:rPr>
          <w:rFonts w:hint="eastAsia" w:ascii="黑体" w:hAnsi="黑体" w:eastAsia="黑体"/>
          <w:sz w:val="32"/>
          <w:szCs w:val="32"/>
        </w:rPr>
        <w:t xml:space="preserve"> </w:t>
      </w:r>
      <w:r w:rsidRPr="005B5C90" w:rsidR="005B5C90">
        <w:rPr>
          <w:rFonts w:hint="eastAsia" w:ascii="仿宋_GB2312" w:eastAsia="仿宋_GB2312"/>
          <w:sz w:val="32"/>
          <w:szCs w:val="32"/>
        </w:rPr>
        <w:t>满</w:t>
      </w:r>
      <w:r w:rsidRPr="00BC6B03">
        <w:rPr>
          <w:rFonts w:hint="eastAsia" w:ascii="仿宋_GB2312" w:eastAsia="仿宋_GB2312"/>
          <w:sz w:val="32"/>
          <w:szCs w:val="32"/>
        </w:rPr>
        <w:t>足以下标准之一的列入黑名单（严重失信名单）：因欺诈骗保被解除协议的；未在法定期限内申请行政复议或起诉，或复议诉讼后维持原决定，拒不履行</w:t>
      </w:r>
      <w:proofErr w:type="gramStart"/>
      <w:r w:rsidRPr="00BC6B03">
        <w:rPr>
          <w:rFonts w:hint="eastAsia" w:ascii="仿宋_GB2312" w:eastAsia="仿宋_GB2312"/>
          <w:sz w:val="32"/>
          <w:szCs w:val="32"/>
        </w:rPr>
        <w:t>医保行政</w:t>
      </w:r>
      <w:proofErr w:type="gramEnd"/>
      <w:r w:rsidRPr="00BC6B03">
        <w:rPr>
          <w:rFonts w:hint="eastAsia" w:ascii="仿宋_GB2312" w:eastAsia="仿宋_GB2312"/>
          <w:sz w:val="32"/>
          <w:szCs w:val="32"/>
        </w:rPr>
        <w:t>处罚或行政决定的；欺诈骗取</w:t>
      </w:r>
      <w:proofErr w:type="gramStart"/>
      <w:r w:rsidRPr="00BC6B03">
        <w:rPr>
          <w:rFonts w:hint="eastAsia" w:ascii="仿宋_GB2312" w:eastAsia="仿宋_GB2312"/>
          <w:sz w:val="32"/>
          <w:szCs w:val="32"/>
        </w:rPr>
        <w:t>医</w:t>
      </w:r>
      <w:proofErr w:type="gramEnd"/>
      <w:r w:rsidRPr="00BC6B03">
        <w:rPr>
          <w:rFonts w:hint="eastAsia" w:ascii="仿宋_GB2312" w:eastAsia="仿宋_GB2312"/>
          <w:sz w:val="32"/>
          <w:szCs w:val="32"/>
        </w:rPr>
        <w:t>保基金涉嫌犯罪，</w:t>
      </w:r>
      <w:r w:rsidRPr="00BC6B03">
        <w:rPr>
          <w:rFonts w:hint="eastAsia" w:ascii="仿宋_GB2312" w:eastAsia="仿宋_GB2312"/>
          <w:sz w:val="32"/>
          <w:szCs w:val="32"/>
        </w:rPr>
        <w:lastRenderedPageBreak/>
        <w:t>移交司法部门处理的；</w:t>
      </w:r>
      <w:r w:rsidRPr="00CA79E3">
        <w:rPr>
          <w:rFonts w:hint="eastAsia" w:ascii="仿宋_GB2312" w:eastAsia="仿宋_GB2312"/>
          <w:sz w:val="32"/>
          <w:szCs w:val="32"/>
        </w:rPr>
        <w:t>在医药购销中给予回扣或其他不正当利益的；</w:t>
      </w:r>
      <w:r w:rsidRPr="00BC6B03">
        <w:rPr>
          <w:rFonts w:hint="eastAsia" w:ascii="仿宋_GB2312" w:eastAsia="仿宋_GB2312"/>
          <w:sz w:val="32"/>
          <w:szCs w:val="32"/>
        </w:rPr>
        <w:t xml:space="preserve">法律、法规规定的其他应当将信用主体列入严重失信名单的。 </w:t>
      </w:r>
    </w:p>
    <w:p w:rsidRPr="00BC6B03" w:rsidR="004B70E6" w:rsidP="00F26DB3" w:rsidRDefault="004B70E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 w:rsidRPr="00BC6B03">
        <w:rPr>
          <w:rFonts w:hint="eastAsia" w:ascii="黑体" w:hAnsi="黑体" w:eastAsia="黑体"/>
          <w:sz w:val="32"/>
          <w:szCs w:val="32"/>
        </w:rPr>
        <w:t>（</w:t>
      </w:r>
      <w:r w:rsidR="005B5C90">
        <w:rPr>
          <w:rFonts w:hint="eastAsia" w:ascii="黑体" w:hAnsi="黑体" w:eastAsia="黑体"/>
          <w:sz w:val="32"/>
          <w:szCs w:val="32"/>
        </w:rPr>
        <w:t>二</w:t>
      </w:r>
      <w:r w:rsidRPr="00BC6B03">
        <w:rPr>
          <w:rFonts w:hint="eastAsia" w:ascii="黑体" w:hAnsi="黑体" w:eastAsia="黑体"/>
          <w:sz w:val="32"/>
          <w:szCs w:val="32"/>
        </w:rPr>
        <w:t>）第十六条</w:t>
      </w:r>
      <w:r w:rsidRPr="00BC6B03">
        <w:rPr>
          <w:rFonts w:ascii="楷体" w:hAnsi="楷体" w:eastAsia="楷体"/>
          <w:sz w:val="32"/>
          <w:szCs w:val="32"/>
        </w:rPr>
        <w:t xml:space="preserve"> </w:t>
      </w:r>
      <w:proofErr w:type="gramStart"/>
      <w:r w:rsidRPr="00BC6B03">
        <w:rPr>
          <w:rFonts w:hint="eastAsia" w:ascii="仿宋_GB2312" w:eastAsia="仿宋_GB2312"/>
          <w:sz w:val="32"/>
          <w:szCs w:val="32"/>
        </w:rPr>
        <w:t>医</w:t>
      </w:r>
      <w:proofErr w:type="gramEnd"/>
      <w:r w:rsidRPr="00BC6B03">
        <w:rPr>
          <w:rFonts w:hint="eastAsia" w:ascii="仿宋_GB2312" w:eastAsia="仿宋_GB2312"/>
          <w:sz w:val="32"/>
          <w:szCs w:val="32"/>
        </w:rPr>
        <w:t>保部门每年年初将定点药店“红黑名单”、信用分级情况推送至公共信用平台，与其他相关部门实现信息共享、实施联合奖惩。对信用等级为较差、差的信用主体，有效期为</w:t>
      </w:r>
      <w:r w:rsidRPr="00BC6B03">
        <w:rPr>
          <w:rFonts w:ascii="仿宋_GB2312" w:eastAsia="仿宋_GB2312"/>
          <w:sz w:val="32"/>
          <w:szCs w:val="32"/>
        </w:rPr>
        <w:t>1年；</w:t>
      </w:r>
      <w:r w:rsidRPr="00BC6B03">
        <w:rPr>
          <w:rFonts w:hint="eastAsia" w:ascii="仿宋_GB2312" w:eastAsia="仿宋_GB2312"/>
          <w:sz w:val="32"/>
          <w:szCs w:val="32"/>
        </w:rPr>
        <w:t>对列入严重失信（黑）名单的信用主体，有效期为</w:t>
      </w:r>
      <w:r w:rsidRPr="00BC6B03">
        <w:rPr>
          <w:rFonts w:ascii="仿宋_GB2312" w:eastAsia="仿宋_GB2312"/>
          <w:sz w:val="32"/>
          <w:szCs w:val="32"/>
        </w:rPr>
        <w:t>3年，</w:t>
      </w:r>
      <w:r w:rsidRPr="00BC6B03">
        <w:rPr>
          <w:rFonts w:hint="eastAsia" w:ascii="仿宋_GB2312" w:eastAsia="仿宋_GB2312"/>
          <w:sz w:val="32"/>
          <w:szCs w:val="32"/>
        </w:rPr>
        <w:t>法律法规另有规定的除外</w:t>
      </w:r>
      <w:r w:rsidRPr="00BC6B03">
        <w:rPr>
          <w:rFonts w:ascii="仿宋_GB2312" w:eastAsia="仿宋_GB2312"/>
          <w:sz w:val="32"/>
          <w:szCs w:val="32"/>
        </w:rPr>
        <w:t>;</w:t>
      </w:r>
      <w:r w:rsidRPr="00BC6B03">
        <w:rPr>
          <w:rFonts w:hint="eastAsia" w:ascii="仿宋_GB2312" w:eastAsia="仿宋_GB2312"/>
          <w:sz w:val="32"/>
          <w:szCs w:val="32"/>
        </w:rPr>
        <w:t xml:space="preserve"> 期满后，转入后台数据库。</w:t>
      </w:r>
    </w:p>
    <w:bookmarkEnd w:id="4"/>
    <w:p w:rsidR="004B70E6" w:rsidP="00F26DB3" w:rsidRDefault="004B70E6">
      <w:pPr>
        <w:spacing w:line="600" w:lineRule="exact"/>
        <w:ind w:left="640" w:hanging="640" w:hangingChars="200"/>
        <w:rPr>
          <w:rFonts w:ascii="黑体" w:hAnsi="黑体" w:eastAsia="黑体"/>
          <w:sz w:val="32"/>
          <w:szCs w:val="32"/>
        </w:rPr>
      </w:pPr>
      <w:r w:rsidRPr="00BC6B03">
        <w:rPr>
          <w:rFonts w:hint="eastAsia" w:ascii="黑体" w:hAnsi="黑体" w:eastAsia="黑体"/>
          <w:sz w:val="32"/>
          <w:szCs w:val="32"/>
        </w:rPr>
        <w:t>二</w:t>
      </w:r>
      <w:r w:rsidR="00D0262A">
        <w:rPr>
          <w:rFonts w:ascii="黑体" w:hAnsi="黑体" w:eastAsia="黑体"/>
          <w:sz w:val="32"/>
          <w:szCs w:val="32"/>
        </w:rPr>
        <w:t>、</w:t>
      </w:r>
      <w:r w:rsidRPr="00BC6B03">
        <w:rPr>
          <w:rFonts w:hint="eastAsia" w:ascii="黑体" w:hAnsi="黑体" w:eastAsia="黑体"/>
          <w:sz w:val="32"/>
          <w:szCs w:val="32"/>
        </w:rPr>
        <w:t>《绍兴市医疗保险定点零售药店信用记分操作细则（试行）》（</w:t>
      </w:r>
      <w:proofErr w:type="gramStart"/>
      <w:r w:rsidRPr="00BC6B03">
        <w:rPr>
          <w:rFonts w:hint="eastAsia" w:ascii="黑体" w:hAnsi="黑体" w:eastAsia="黑体"/>
          <w:sz w:val="32"/>
          <w:szCs w:val="32"/>
        </w:rPr>
        <w:t>绍</w:t>
      </w:r>
      <w:proofErr w:type="gramEnd"/>
      <w:r w:rsidRPr="00BC6B03">
        <w:rPr>
          <w:rFonts w:hint="eastAsia" w:ascii="黑体" w:hAnsi="黑体" w:eastAsia="黑体"/>
          <w:sz w:val="32"/>
          <w:szCs w:val="32"/>
        </w:rPr>
        <w:t>市</w:t>
      </w:r>
      <w:proofErr w:type="gramStart"/>
      <w:r w:rsidRPr="00BC6B03">
        <w:rPr>
          <w:rFonts w:hint="eastAsia" w:ascii="黑体" w:hAnsi="黑体" w:eastAsia="黑体"/>
          <w:sz w:val="32"/>
          <w:szCs w:val="32"/>
        </w:rPr>
        <w:t>医</w:t>
      </w:r>
      <w:proofErr w:type="gramEnd"/>
      <w:r w:rsidRPr="00BC6B03">
        <w:rPr>
          <w:rFonts w:hint="eastAsia" w:ascii="黑体" w:hAnsi="黑体" w:eastAsia="黑体"/>
          <w:sz w:val="32"/>
          <w:szCs w:val="32"/>
        </w:rPr>
        <w:t>保〔</w:t>
      </w:r>
      <w:r w:rsidRPr="00BC6B03">
        <w:rPr>
          <w:rFonts w:ascii="黑体" w:hAnsi="黑体" w:eastAsia="黑体"/>
          <w:sz w:val="32"/>
          <w:szCs w:val="32"/>
        </w:rPr>
        <w:t>2020〕40号</w:t>
      </w:r>
      <w:r w:rsidRPr="00BC6B03">
        <w:rPr>
          <w:rFonts w:hint="eastAsia" w:ascii="黑体" w:hAnsi="黑体" w:eastAsia="黑体"/>
          <w:sz w:val="32"/>
          <w:szCs w:val="32"/>
        </w:rPr>
        <w:t>）《信用指标评分标准》修改情况</w:t>
      </w:r>
      <w:r w:rsidR="00F26DB3">
        <w:rPr>
          <w:rFonts w:hint="eastAsia" w:ascii="黑体" w:hAnsi="黑体" w:eastAsia="黑体"/>
          <w:sz w:val="32"/>
          <w:szCs w:val="32"/>
        </w:rPr>
        <w:t>(见附表)</w:t>
      </w:r>
    </w:p>
    <w:p w:rsidRPr="00F26DB3" w:rsidR="00F26DB3" w:rsidP="00F26DB3" w:rsidRDefault="00F26DB3">
      <w:pPr>
        <w:pStyle w:val="a0"/>
      </w:pPr>
    </w:p>
    <w:p w:rsidR="00F26DB3" w:rsidP="00F26DB3" w:rsidRDefault="00F26DB3">
      <w:pPr>
        <w:tabs>
          <w:tab w:val="left" w:pos="-142"/>
        </w:tabs>
        <w:ind w:left="-567" w:leftChars="-270" w:firstLine="2240" w:firstLineChars="700"/>
        <w:jc w:val="right"/>
        <w:rPr>
          <w:rFonts w:ascii="仿宋_GB2312" w:eastAsia="仿宋_GB2312"/>
          <w:sz w:val="32"/>
          <w:szCs w:val="32"/>
        </w:rPr>
      </w:pPr>
    </w:p>
    <w:p w:rsidRPr="00266A2E" w:rsidR="00F26DB3" w:rsidP="00F26DB3" w:rsidRDefault="00F26DB3">
      <w:pPr>
        <w:tabs>
          <w:tab w:val="left" w:pos="-142"/>
        </w:tabs>
        <w:ind w:left="-567" w:leftChars="-270" w:firstLine="2240" w:firstLineChars="700"/>
        <w:jc w:val="right"/>
        <w:rPr>
          <w:rFonts w:ascii="仿宋_GB2312" w:eastAsia="仿宋_GB2312"/>
          <w:sz w:val="32"/>
          <w:szCs w:val="32"/>
        </w:rPr>
      </w:pPr>
      <w:r w:rsidRPr="00266A2E">
        <w:rPr>
          <w:rFonts w:hint="eastAsia" w:ascii="仿宋_GB2312" w:eastAsia="仿宋_GB2312"/>
          <w:sz w:val="32"/>
          <w:szCs w:val="32"/>
        </w:rPr>
        <w:t>绍兴市医疗保障局</w:t>
      </w:r>
    </w:p>
    <w:p w:rsidRPr="00266A2E" w:rsidR="00F26DB3" w:rsidP="00F26DB3" w:rsidRDefault="00F26DB3">
      <w:pPr>
        <w:pStyle w:val="a0"/>
        <w:ind w:firstLine="3840" w:firstLineChars="1200"/>
        <w:jc w:val="right"/>
        <w:rPr>
          <w:rFonts w:ascii="仿宋_GB2312" w:eastAsia="仿宋_GB2312"/>
          <w:sz w:val="32"/>
          <w:szCs w:val="32"/>
        </w:rPr>
      </w:pPr>
      <w:r w:rsidRPr="00266A2E">
        <w:rPr>
          <w:rFonts w:hint="eastAsia" w:ascii="仿宋_GB2312" w:eastAsia="仿宋_GB2312"/>
          <w:sz w:val="32"/>
          <w:szCs w:val="32"/>
        </w:rPr>
        <w:t>2020年11月</w:t>
      </w:r>
      <w:r w:rsidR="003E7223">
        <w:rPr>
          <w:rFonts w:hint="eastAsia" w:ascii="仿宋_GB2312" w:eastAsia="仿宋_GB2312"/>
          <w:sz w:val="32"/>
          <w:szCs w:val="32"/>
        </w:rPr>
        <w:t>2</w:t>
      </w:r>
      <w:r w:rsidR="00AC6F79">
        <w:rPr>
          <w:rFonts w:hint="eastAsia" w:ascii="仿宋_GB2312" w:eastAsia="仿宋_GB2312"/>
          <w:sz w:val="32"/>
          <w:szCs w:val="32"/>
        </w:rPr>
        <w:t>5</w:t>
      </w:r>
      <w:r w:rsidRPr="00266A2E">
        <w:rPr>
          <w:rFonts w:hint="eastAsia" w:ascii="仿宋_GB2312" w:eastAsia="仿宋_GB2312"/>
          <w:sz w:val="32"/>
          <w:szCs w:val="32"/>
        </w:rPr>
        <w:t>日</w:t>
      </w:r>
    </w:p>
    <w:p w:rsidR="00F26DB3" w:rsidP="0047573A" w:rsidRDefault="00F26DB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:rsidR="00F26DB3" w:rsidP="00F26DB3" w:rsidRDefault="00F26DB3">
      <w:pPr>
        <w:pStyle w:val="a0"/>
      </w:pPr>
    </w:p>
    <w:p w:rsidR="00F26DB3" w:rsidP="00F26DB3" w:rsidRDefault="00F26DB3">
      <w:pPr>
        <w:pStyle w:val="a0"/>
      </w:pPr>
    </w:p>
    <w:p w:rsidR="00F26DB3" w:rsidP="00F26DB3" w:rsidRDefault="00F26DB3">
      <w:pPr>
        <w:pStyle w:val="a0"/>
      </w:pPr>
    </w:p>
    <w:p w:rsidR="00F26DB3" w:rsidP="00F26DB3" w:rsidRDefault="00F26DB3">
      <w:pPr>
        <w:pStyle w:val="a0"/>
      </w:pPr>
    </w:p>
    <w:p w:rsidR="00F26DB3" w:rsidP="00F26DB3" w:rsidRDefault="00F26DB3">
      <w:pPr>
        <w:pStyle w:val="a0"/>
      </w:pPr>
    </w:p>
    <w:p w:rsidR="00F26DB3" w:rsidP="00F26DB3" w:rsidRDefault="00F26DB3">
      <w:pPr>
        <w:pStyle w:val="a0"/>
      </w:pPr>
    </w:p>
    <w:p w:rsidRPr="00F26DB3" w:rsidR="00F26DB3" w:rsidP="00F26DB3" w:rsidRDefault="00F26DB3">
      <w:pPr>
        <w:pStyle w:val="a0"/>
        <w:sectPr w:rsidRPr="00F26DB3" w:rsidR="00F26D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Pr="003E7223" w:rsidR="00055876" w:rsidP="00F26DB3" w:rsidRDefault="003E7223">
      <w:pPr>
        <w:spacing w:line="560" w:lineRule="exact"/>
        <w:rPr>
          <w:rFonts w:ascii="Times New Roman" w:hAnsi="Times New Roman" w:eastAsia="仿宋_GB2312" w:cstheme="minorBidi"/>
          <w:sz w:val="32"/>
          <w:szCs w:val="32"/>
        </w:rPr>
      </w:pPr>
      <w:r w:rsidRPr="003E7223">
        <w:rPr>
          <w:rFonts w:hint="eastAsia" w:ascii="Times New Roman" w:hAnsi="Times New Roman" w:eastAsia="仿宋_GB2312" w:cstheme="minorBidi"/>
          <w:sz w:val="32"/>
          <w:szCs w:val="32"/>
        </w:rPr>
        <w:lastRenderedPageBreak/>
        <w:t>附表</w:t>
      </w:r>
      <w:r w:rsidRPr="003E7223" w:rsidR="00055876">
        <w:rPr>
          <w:rFonts w:hint="eastAsia" w:ascii="Times New Roman" w:hAnsi="Times New Roman" w:eastAsia="仿宋_GB2312" w:cstheme="minorBidi"/>
          <w:sz w:val="32"/>
          <w:szCs w:val="32"/>
        </w:rPr>
        <w:t xml:space="preserve"> </w:t>
      </w:r>
    </w:p>
    <w:tbl>
      <w:tblPr>
        <w:tblW w:w="470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811"/>
        <w:gridCol w:w="464"/>
        <w:gridCol w:w="1417"/>
        <w:gridCol w:w="4681"/>
        <w:gridCol w:w="707"/>
        <w:gridCol w:w="1134"/>
        <w:gridCol w:w="710"/>
        <w:gridCol w:w="2460"/>
      </w:tblGrid>
      <w:tr w:rsidRPr="003470A6" w:rsidR="003E7223" w:rsidTr="006012A9">
        <w:trPr>
          <w:trHeight w:val="153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一级</w:t>
            </w:r>
          </w:p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指标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二级</w:t>
            </w:r>
          </w:p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指标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三级</w:t>
            </w:r>
          </w:p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指标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指标内容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评定</w:t>
            </w:r>
          </w:p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频率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获取</w:t>
            </w:r>
          </w:p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方式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信用</w:t>
            </w:r>
          </w:p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修复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 w:rsidRPr="003470A6">
              <w:rPr>
                <w:rFonts w:hint="eastAsia" w:ascii="仿宋_GB2312" w:eastAsia="仿宋_GB2312"/>
                <w:sz w:val="20"/>
                <w:szCs w:val="20"/>
              </w:rPr>
              <w:t>赋分标准</w:t>
            </w:r>
            <w:proofErr w:type="gramEnd"/>
          </w:p>
        </w:tc>
      </w:tr>
      <w:tr w:rsidRPr="003470A6" w:rsidR="003E7223" w:rsidTr="006012A9">
        <w:trPr>
          <w:trHeight w:val="649" w:hRule="exact"/>
        </w:trPr>
        <w:tc>
          <w:tcPr>
            <w:tcW w:w="35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140FFD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1.协议管理</w:t>
            </w:r>
          </w:p>
        </w:tc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140FFD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药品管理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18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药品配备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  <w:lang w:bidi="zh-CN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  <w:lang w:bidi="zh-CN"/>
              </w:rPr>
              <w:t>药店备药，药品总量未到 600 种（不含中药饮片）。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月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系统监测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可</w:t>
            </w:r>
          </w:p>
        </w:tc>
        <w:tc>
          <w:tcPr>
            <w:tcW w:w="922" w:type="pct"/>
            <w:tcBorders>
              <w:left w:val="single" w:color="auto" w:sz="4" w:space="0"/>
            </w:tcBorders>
            <w:vAlign w:val="center"/>
          </w:tcPr>
          <w:p w:rsidRPr="003470A6" w:rsidR="003E7223" w:rsidP="00140FFD" w:rsidRDefault="003E7223">
            <w:pPr>
              <w:spacing w:line="240" w:lineRule="atLeast"/>
              <w:rPr>
                <w:rFonts w:ascii="仿宋_GB2312" w:eastAsia="仿宋_GB2312"/>
                <w:snapToGrid w:val="0"/>
                <w:spacing w:val="-20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信用扣分分值=25×药店协议管理考核扣分</w:t>
            </w:r>
          </w:p>
          <w:p w:rsidRPr="00140FFD" w:rsidR="003E7223" w:rsidP="00516D9C" w:rsidRDefault="003E7223">
            <w:pPr>
              <w:spacing w:line="240" w:lineRule="atLeast"/>
              <w:rPr>
                <w:rFonts w:ascii="仿宋_GB2312" w:eastAsia="仿宋_GB2312"/>
                <w:snapToGrid w:val="0"/>
                <w:spacing w:val="-20"/>
                <w:sz w:val="20"/>
                <w:szCs w:val="20"/>
              </w:rPr>
            </w:pPr>
          </w:p>
        </w:tc>
      </w:tr>
      <w:tr w:rsidRPr="003470A6" w:rsidR="003E7223" w:rsidTr="006012A9">
        <w:trPr>
          <w:trHeight w:val="702" w:hRule="exact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140FFD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</w:t>
            </w:r>
            <w:r w:rsidRPr="00140FFD">
              <w:rPr>
                <w:rFonts w:hint="eastAsia" w:ascii="仿宋_GB2312" w:eastAsia="仿宋_GB2312"/>
                <w:sz w:val="20"/>
                <w:szCs w:val="20"/>
              </w:rPr>
              <w:t>监督管理</w:t>
            </w:r>
          </w:p>
        </w:tc>
        <w:tc>
          <w:tcPr>
            <w:tcW w:w="3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价格管理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Del="007B13CD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44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6012A9">
              <w:rPr>
                <w:rFonts w:hint="eastAsia" w:ascii="仿宋_GB2312" w:eastAsia="仿宋_GB2312"/>
                <w:sz w:val="20"/>
                <w:szCs w:val="20"/>
              </w:rPr>
              <w:t>标签标识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未对</w:t>
            </w:r>
            <w:proofErr w:type="gramStart"/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医</w:t>
            </w:r>
            <w:proofErr w:type="gramEnd"/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保支付价药品进行价格标签标识。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不可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napToGrid w:val="0"/>
                <w:spacing w:val="-20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5分，发现一次扣5分。</w:t>
            </w:r>
          </w:p>
        </w:tc>
      </w:tr>
      <w:tr w:rsidRPr="003470A6" w:rsidR="003E7223" w:rsidTr="006012A9">
        <w:trPr>
          <w:trHeight w:val="153"/>
        </w:trPr>
        <w:tc>
          <w:tcPr>
            <w:tcW w:w="3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</w:t>
            </w:r>
            <w:r w:rsidRPr="003470A6">
              <w:rPr>
                <w:rFonts w:hint="eastAsia" w:ascii="仿宋_GB2312" w:eastAsia="仿宋_GB2312"/>
                <w:sz w:val="20"/>
                <w:szCs w:val="20"/>
              </w:rPr>
              <w:t>管理引导</w:t>
            </w:r>
          </w:p>
        </w:tc>
        <w:tc>
          <w:tcPr>
            <w:tcW w:w="3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140FFD" w:rsidR="003E7223" w:rsidP="00140FFD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40FFD">
              <w:rPr>
                <w:rFonts w:hint="eastAsia" w:ascii="仿宋_GB2312" w:eastAsia="仿宋_GB2312"/>
                <w:sz w:val="20"/>
                <w:szCs w:val="20"/>
              </w:rPr>
              <w:t>满意度评价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51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eastAsia="仿宋_GB2312"/>
                <w:strike/>
                <w:sz w:val="20"/>
                <w:szCs w:val="20"/>
              </w:rPr>
            </w:pPr>
            <w:r w:rsidRPr="006012A9">
              <w:rPr>
                <w:rFonts w:hint="eastAsia" w:ascii="仿宋_GB2312" w:eastAsia="仿宋_GB2312"/>
                <w:sz w:val="20"/>
                <w:szCs w:val="20"/>
              </w:rPr>
              <w:t>参保人</w:t>
            </w:r>
            <w:proofErr w:type="gramStart"/>
            <w:r w:rsidRPr="006012A9">
              <w:rPr>
                <w:rFonts w:hint="eastAsia" w:ascii="仿宋_GB2312" w:eastAsia="仿宋_GB2312"/>
                <w:sz w:val="20"/>
                <w:szCs w:val="20"/>
              </w:rPr>
              <w:t>员评价</w:t>
            </w:r>
            <w:proofErr w:type="gramEnd"/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trike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参保人员对购药服务、政策咨询等满意度</w:t>
            </w:r>
            <w:r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评价</w:t>
            </w: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trike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年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trike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系统识别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trike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--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trike/>
                <w:snapToGrid w:val="0"/>
                <w:spacing w:val="-20"/>
                <w:sz w:val="20"/>
                <w:szCs w:val="20"/>
              </w:rPr>
            </w:pPr>
            <w:r w:rsidRPr="00140FFD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30分（从高到低排名，前三十的药店依次加30-1分。</w:t>
            </w:r>
          </w:p>
        </w:tc>
      </w:tr>
      <w:tr w:rsidRPr="003470A6" w:rsidR="003E7223" w:rsidTr="006012A9">
        <w:trPr>
          <w:trHeight w:val="153"/>
        </w:trPr>
        <w:tc>
          <w:tcPr>
            <w:tcW w:w="359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trike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5</w:t>
            </w: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eastAsia="仿宋_GB2312"/>
                <w:strike/>
                <w:sz w:val="20"/>
                <w:szCs w:val="20"/>
              </w:rPr>
            </w:pPr>
            <w:r w:rsidRPr="006012A9">
              <w:rPr>
                <w:rFonts w:hint="eastAsia" w:ascii="仿宋_GB2312" w:eastAsia="仿宋_GB2312"/>
                <w:sz w:val="20"/>
                <w:szCs w:val="20"/>
              </w:rPr>
              <w:t>其他人员评价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E7223" w:rsidP="00516D9C" w:rsidRDefault="003E7223">
            <w:pPr>
              <w:spacing w:line="240" w:lineRule="atLeast"/>
              <w:rPr>
                <w:rFonts w:ascii="仿宋_GB2312" w:hAnsi="宋体" w:eastAsia="仿宋_GB2312" w:cs="Tahoma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社会监督员对药店声望、信誉、社会贡献等评价；</w:t>
            </w:r>
          </w:p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trike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工作人员对药店工作环境、</w:t>
            </w:r>
            <w:proofErr w:type="gramStart"/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医保培训</w:t>
            </w:r>
            <w:proofErr w:type="gramEnd"/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措施、薪资待遇</w:t>
            </w:r>
            <w:r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等满意度评价。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trike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trike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评定结果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Del="00A97FAD" w:rsidP="00516D9C" w:rsidRDefault="003E7223">
            <w:pPr>
              <w:spacing w:line="240" w:lineRule="atLeast"/>
              <w:jc w:val="center"/>
              <w:rPr>
                <w:rFonts w:ascii="仿宋_GB2312" w:hAnsi="宋体" w:eastAsia="仿宋_GB2312" w:cs="Tahoma"/>
                <w:kern w:val="0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--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6A2E" w:rsidR="003E7223" w:rsidP="00140FFD" w:rsidRDefault="003E7223">
            <w:pPr>
              <w:spacing w:line="240" w:lineRule="atLeast"/>
            </w:pPr>
            <w:r w:rsidRPr="00140FFD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总分40分，社会监督员和工作人员的评价各占20分，由第三方评价结果进行量化得分。</w:t>
            </w:r>
          </w:p>
        </w:tc>
      </w:tr>
      <w:tr w:rsidRPr="003470A6" w:rsidR="003E7223" w:rsidTr="006012A9">
        <w:trPr>
          <w:trHeight w:val="153"/>
        </w:trPr>
        <w:tc>
          <w:tcPr>
            <w:tcW w:w="359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trike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hAnsi="宋体" w:eastAsia="仿宋_GB2312" w:cs="Tahoma"/>
                <w:kern w:val="0"/>
                <w:sz w:val="20"/>
                <w:szCs w:val="20"/>
              </w:rPr>
            </w:pPr>
            <w:r w:rsidRPr="006012A9">
              <w:rPr>
                <w:rFonts w:hint="eastAsia" w:ascii="仿宋_GB2312" w:eastAsia="仿宋_GB2312"/>
                <w:sz w:val="20"/>
                <w:szCs w:val="20"/>
              </w:rPr>
              <w:t>舆情评价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hAnsi="宋体" w:eastAsia="仿宋_GB2312" w:cs="Tahoma"/>
                <w:kern w:val="0"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媒体报道关于医疗保障工作的</w:t>
            </w:r>
            <w:r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评价</w:t>
            </w: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情况。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hAnsi="宋体" w:eastAsia="仿宋_GB2312" w:cs="Tahoma"/>
                <w:kern w:val="0"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trike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资料评定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Del="00A97FAD" w:rsidP="00516D9C" w:rsidRDefault="003E7223">
            <w:pPr>
              <w:spacing w:line="240" w:lineRule="atLeast"/>
              <w:jc w:val="center"/>
              <w:rPr>
                <w:rFonts w:ascii="仿宋_GB2312" w:hAnsi="宋体" w:eastAsia="仿宋_GB2312" w:cs="Tahoma"/>
                <w:kern w:val="0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--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trike/>
                <w:snapToGrid w:val="0"/>
                <w:spacing w:val="-20"/>
                <w:sz w:val="20"/>
                <w:szCs w:val="20"/>
              </w:rPr>
            </w:pPr>
            <w:r w:rsidRPr="00140FFD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在</w:t>
            </w:r>
            <w:proofErr w:type="gramStart"/>
            <w:r w:rsidRPr="00140FFD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医</w:t>
            </w:r>
            <w:proofErr w:type="gramEnd"/>
            <w:r w:rsidRPr="00140FFD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保方面被区级官方媒体正面报道一次加15分，市级加20分，省级加25分，国家级加30分。</w:t>
            </w:r>
          </w:p>
        </w:tc>
      </w:tr>
      <w:tr w:rsidRPr="003470A6" w:rsidR="003E7223" w:rsidTr="006012A9">
        <w:trPr>
          <w:trHeight w:val="153"/>
        </w:trPr>
        <w:tc>
          <w:tcPr>
            <w:tcW w:w="359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140FFD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正面激励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5</w:t>
            </w: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表彰嘉奖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定点零售药店及其工作人员受到相关表彰。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年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资料评定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--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napToGrid w:val="0"/>
                <w:spacing w:val="-20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县（区）</w:t>
            </w:r>
            <w:proofErr w:type="gramStart"/>
            <w:r w:rsidRPr="003470A6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级加5分</w:t>
            </w:r>
            <w:proofErr w:type="gramEnd"/>
            <w:r w:rsidRPr="003470A6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，市级加</w:t>
            </w:r>
            <w:r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10</w:t>
            </w:r>
            <w:r w:rsidRPr="003470A6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分，省级加</w:t>
            </w:r>
            <w:r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1</w:t>
            </w:r>
            <w:r w:rsidRPr="003470A6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5分，国家级加</w:t>
            </w:r>
            <w:r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2</w:t>
            </w:r>
            <w:r w:rsidRPr="003470A6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0分；部门表彰分数减半。</w:t>
            </w:r>
          </w:p>
        </w:tc>
      </w:tr>
      <w:tr w:rsidRPr="003470A6" w:rsidR="003E7223" w:rsidTr="006012A9">
        <w:trPr>
          <w:trHeight w:val="153"/>
        </w:trPr>
        <w:tc>
          <w:tcPr>
            <w:tcW w:w="359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5</w:t>
            </w: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6012A9">
              <w:rPr>
                <w:rFonts w:hint="eastAsia" w:ascii="仿宋_GB2312" w:eastAsia="仿宋_GB2312"/>
                <w:sz w:val="20"/>
                <w:szCs w:val="20"/>
              </w:rPr>
              <w:t>建言献策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定点零售药店及其工作人员对</w:t>
            </w:r>
            <w:proofErr w:type="gramStart"/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医</w:t>
            </w:r>
            <w:proofErr w:type="gramEnd"/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保政策或基金监管方面提出建议并被</w:t>
            </w:r>
            <w:proofErr w:type="gramStart"/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医</w:t>
            </w:r>
            <w:proofErr w:type="gramEnd"/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保部门采纳，主动举报涉嫌欺诈骗保行为，经医疗保障部门查实的</w:t>
            </w:r>
            <w:r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hAnsi="宋体" w:eastAsia="仿宋_GB2312" w:cs="Tahoma"/>
                <w:kern w:val="0"/>
                <w:sz w:val="20"/>
                <w:szCs w:val="20"/>
              </w:rPr>
              <w:t>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6012A9">
              <w:rPr>
                <w:rFonts w:hint="eastAsia" w:ascii="仿宋_GB2312" w:eastAsia="仿宋_GB2312"/>
                <w:sz w:val="20"/>
                <w:szCs w:val="20"/>
              </w:rPr>
              <w:t>检查结果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--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napToGrid w:val="0"/>
                <w:spacing w:val="-20"/>
                <w:sz w:val="20"/>
                <w:szCs w:val="20"/>
              </w:rPr>
            </w:pPr>
            <w:r w:rsidRPr="00302011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加10分</w:t>
            </w:r>
            <w:r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。</w:t>
            </w:r>
          </w:p>
        </w:tc>
      </w:tr>
      <w:tr w:rsidRPr="003470A6" w:rsidR="003E7223" w:rsidTr="006012A9">
        <w:trPr>
          <w:trHeight w:val="153"/>
        </w:trPr>
        <w:tc>
          <w:tcPr>
            <w:tcW w:w="359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5</w:t>
            </w:r>
            <w:r>
              <w:rPr>
                <w:rFonts w:hint="eastAsia"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药品安全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市场监管部门年度药品（单体）安全信用等级评定为A级的。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年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信息交互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--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pacing w:val="-20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加10分</w:t>
            </w:r>
            <w:r>
              <w:rPr>
                <w:rFonts w:hint="eastAsia" w:ascii="仿宋_GB2312" w:eastAsia="仿宋_GB2312"/>
                <w:snapToGrid w:val="0"/>
                <w:spacing w:val="-20"/>
                <w:sz w:val="20"/>
                <w:szCs w:val="20"/>
              </w:rPr>
              <w:t>。</w:t>
            </w:r>
          </w:p>
        </w:tc>
      </w:tr>
      <w:tr w:rsidRPr="003470A6" w:rsidR="003E7223" w:rsidTr="006012A9">
        <w:trPr>
          <w:trHeight w:val="153"/>
        </w:trPr>
        <w:tc>
          <w:tcPr>
            <w:tcW w:w="359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5</w:t>
            </w:r>
            <w:r>
              <w:rPr>
                <w:rFonts w:hint="eastAsia"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6012A9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守法经营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连续三个年度无违法违规行为且未被其他行政部门行政处罚的情况。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年</w:t>
            </w:r>
          </w:p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信息交互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z w:val="20"/>
                <w:szCs w:val="20"/>
              </w:rPr>
              <w:t>--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70A6" w:rsidR="003E7223" w:rsidP="00516D9C" w:rsidRDefault="003E7223">
            <w:pPr>
              <w:spacing w:line="240" w:lineRule="atLeast"/>
              <w:rPr>
                <w:rFonts w:ascii="仿宋_GB2312" w:eastAsia="仿宋_GB2312"/>
                <w:spacing w:val="-20"/>
                <w:sz w:val="20"/>
                <w:szCs w:val="20"/>
              </w:rPr>
            </w:pPr>
            <w:r w:rsidRPr="003470A6">
              <w:rPr>
                <w:rFonts w:hint="eastAsia" w:ascii="仿宋_GB2312" w:eastAsia="仿宋_GB2312"/>
                <w:spacing w:val="-20"/>
                <w:sz w:val="20"/>
                <w:szCs w:val="20"/>
              </w:rPr>
              <w:t>加10分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。</w:t>
            </w:r>
          </w:p>
        </w:tc>
      </w:tr>
    </w:tbl>
    <w:p w:rsidRPr="0047573A" w:rsidR="004B70E6" w:rsidP="004B70E6" w:rsidRDefault="004B70E6">
      <w:pPr>
        <w:tabs>
          <w:tab w:val="left" w:pos="-142"/>
        </w:tabs>
        <w:ind w:left="-567" w:leftChars="-270" w:firstLine="645"/>
        <w:rPr>
          <w:rFonts w:ascii="仿宋_GB2312" w:eastAsia="仿宋_GB2312"/>
          <w:sz w:val="32"/>
          <w:szCs w:val="32"/>
        </w:rPr>
      </w:pPr>
    </w:p>
    <w:p w:rsidR="004B70E6" w:rsidP="00BD4786" w:rsidRDefault="004B70E6">
      <w:pPr>
        <w:spacing w:line="20" w:lineRule="exact"/>
        <w:rPr>
          <w:rFonts w:ascii="仿宋_GB2312" w:hAnsi="黑体" w:eastAsia="仿宋_GB2312"/>
          <w:sz w:val="32"/>
          <w:szCs w:val="32"/>
        </w:rPr>
      </w:pPr>
    </w:p>
    <w:sectPr w:rsidR="004B70E6" w:rsidSect="00F26DB3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60" w:rsidRDefault="00527660" w:rsidP="00EA7FDC">
      <w:r>
        <w:separator/>
      </w:r>
    </w:p>
  </w:endnote>
  <w:endnote w:type="continuationSeparator" w:id="0">
    <w:p w:rsidR="00527660" w:rsidRDefault="00527660" w:rsidP="00EA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558763"/>
      <w:docPartObj>
        <w:docPartGallery w:val="Page Numbers (Bottom of Page)"/>
        <w:docPartUnique/>
      </w:docPartObj>
    </w:sdtPr>
    <w:sdtEndPr/>
    <w:sdtContent>
      <w:p w:rsidR="00265D62" w:rsidRDefault="00265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FD7" w:rsidRPr="00653FD7">
          <w:rPr>
            <w:noProof/>
            <w:lang w:val="zh-CN"/>
          </w:rPr>
          <w:t>3</w:t>
        </w:r>
        <w:r>
          <w:fldChar w:fldCharType="end"/>
        </w:r>
      </w:p>
    </w:sdtContent>
  </w:sdt>
  <w:p w:rsidR="00265D62" w:rsidRDefault="00265D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60" w:rsidRDefault="00527660" w:rsidP="00EA7FDC">
      <w:r>
        <w:separator/>
      </w:r>
    </w:p>
  </w:footnote>
  <w:footnote w:type="continuationSeparator" w:id="0">
    <w:p w:rsidR="00527660" w:rsidRDefault="00527660" w:rsidP="00EA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03"/>
    <w:rsid w:val="00015B03"/>
    <w:rsid w:val="00027E0E"/>
    <w:rsid w:val="00037E6D"/>
    <w:rsid w:val="000503C5"/>
    <w:rsid w:val="00055876"/>
    <w:rsid w:val="00057A7F"/>
    <w:rsid w:val="000F740C"/>
    <w:rsid w:val="00127A9A"/>
    <w:rsid w:val="00140EA5"/>
    <w:rsid w:val="001C2409"/>
    <w:rsid w:val="001D2D69"/>
    <w:rsid w:val="00207435"/>
    <w:rsid w:val="00264E33"/>
    <w:rsid w:val="00265D62"/>
    <w:rsid w:val="00266A2E"/>
    <w:rsid w:val="00274F9E"/>
    <w:rsid w:val="002D020B"/>
    <w:rsid w:val="002E014F"/>
    <w:rsid w:val="00302011"/>
    <w:rsid w:val="00311F20"/>
    <w:rsid w:val="003470A6"/>
    <w:rsid w:val="003E7223"/>
    <w:rsid w:val="00405A5D"/>
    <w:rsid w:val="0047573A"/>
    <w:rsid w:val="004B70E6"/>
    <w:rsid w:val="00500D38"/>
    <w:rsid w:val="0052226C"/>
    <w:rsid w:val="00524815"/>
    <w:rsid w:val="00527660"/>
    <w:rsid w:val="00560AE4"/>
    <w:rsid w:val="005A46C1"/>
    <w:rsid w:val="005B5C90"/>
    <w:rsid w:val="005F00DD"/>
    <w:rsid w:val="005F4C5E"/>
    <w:rsid w:val="006250E9"/>
    <w:rsid w:val="00653FD7"/>
    <w:rsid w:val="006A01DA"/>
    <w:rsid w:val="006A0322"/>
    <w:rsid w:val="006B76BC"/>
    <w:rsid w:val="006E715C"/>
    <w:rsid w:val="00736B4E"/>
    <w:rsid w:val="00783F12"/>
    <w:rsid w:val="007A0660"/>
    <w:rsid w:val="007C4C72"/>
    <w:rsid w:val="007F5186"/>
    <w:rsid w:val="00800E67"/>
    <w:rsid w:val="00805041"/>
    <w:rsid w:val="0081137D"/>
    <w:rsid w:val="00837DC5"/>
    <w:rsid w:val="00893195"/>
    <w:rsid w:val="008D0ED3"/>
    <w:rsid w:val="0090624D"/>
    <w:rsid w:val="009152A1"/>
    <w:rsid w:val="00933932"/>
    <w:rsid w:val="0094173A"/>
    <w:rsid w:val="00952E3C"/>
    <w:rsid w:val="00977F69"/>
    <w:rsid w:val="00A92626"/>
    <w:rsid w:val="00AC6F79"/>
    <w:rsid w:val="00B860CC"/>
    <w:rsid w:val="00BD4786"/>
    <w:rsid w:val="00C03F68"/>
    <w:rsid w:val="00C15160"/>
    <w:rsid w:val="00C20F14"/>
    <w:rsid w:val="00C474C1"/>
    <w:rsid w:val="00C77384"/>
    <w:rsid w:val="00CA79E3"/>
    <w:rsid w:val="00D0262A"/>
    <w:rsid w:val="00D23D73"/>
    <w:rsid w:val="00E07320"/>
    <w:rsid w:val="00E47A03"/>
    <w:rsid w:val="00E87AF9"/>
    <w:rsid w:val="00EA7FDC"/>
    <w:rsid w:val="00EB3BB9"/>
    <w:rsid w:val="00EF5CE9"/>
    <w:rsid w:val="00F26DB3"/>
    <w:rsid w:val="00FC014D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7F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A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A7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7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A7FDC"/>
    <w:rPr>
      <w:sz w:val="18"/>
      <w:szCs w:val="18"/>
    </w:rPr>
  </w:style>
  <w:style w:type="character" w:customStyle="1" w:styleId="Char1">
    <w:name w:val="正文首行缩进 Char"/>
    <w:link w:val="a0"/>
    <w:qFormat/>
    <w:rsid w:val="00EA7FDC"/>
    <w:rPr>
      <w:rFonts w:ascii="Times New Roman" w:hAnsi="Times New Roman"/>
      <w:sz w:val="28"/>
    </w:rPr>
  </w:style>
  <w:style w:type="paragraph" w:styleId="a6">
    <w:name w:val="Body Text"/>
    <w:basedOn w:val="a"/>
    <w:link w:val="Char2"/>
    <w:uiPriority w:val="99"/>
    <w:semiHidden/>
    <w:unhideWhenUsed/>
    <w:rsid w:val="00EA7FDC"/>
    <w:pPr>
      <w:spacing w:after="120"/>
    </w:pPr>
  </w:style>
  <w:style w:type="character" w:customStyle="1" w:styleId="Char2">
    <w:name w:val="正文文本 Char"/>
    <w:basedOn w:val="a1"/>
    <w:link w:val="a6"/>
    <w:uiPriority w:val="99"/>
    <w:semiHidden/>
    <w:rsid w:val="00EA7FDC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1"/>
    <w:qFormat/>
    <w:rsid w:val="00EA7FDC"/>
    <w:pPr>
      <w:spacing w:after="0" w:line="500" w:lineRule="exact"/>
      <w:ind w:firstLine="420"/>
    </w:pPr>
    <w:rPr>
      <w:rFonts w:ascii="Times New Roman" w:eastAsiaTheme="minorEastAsia" w:hAnsi="Times New Roman" w:cstheme="minorBidi"/>
      <w:sz w:val="28"/>
    </w:rPr>
  </w:style>
  <w:style w:type="character" w:customStyle="1" w:styleId="a7">
    <w:name w:val="正文首行缩进 字符"/>
    <w:basedOn w:val="Char2"/>
    <w:uiPriority w:val="99"/>
    <w:semiHidden/>
    <w:rsid w:val="00EA7FDC"/>
    <w:rPr>
      <w:rFonts w:ascii="Calibri" w:eastAsia="宋体" w:hAnsi="Calibri" w:cs="Times New Roman"/>
    </w:rPr>
  </w:style>
  <w:style w:type="character" w:customStyle="1" w:styleId="keyword">
    <w:name w:val="keyword"/>
    <w:basedOn w:val="a1"/>
    <w:rsid w:val="00E07320"/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47573A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7F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A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A7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7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A7FDC"/>
    <w:rPr>
      <w:sz w:val="18"/>
      <w:szCs w:val="18"/>
    </w:rPr>
  </w:style>
  <w:style w:type="character" w:customStyle="1" w:styleId="Char1">
    <w:name w:val="正文首行缩进 Char"/>
    <w:link w:val="a0"/>
    <w:qFormat/>
    <w:rsid w:val="00EA7FDC"/>
    <w:rPr>
      <w:rFonts w:ascii="Times New Roman" w:hAnsi="Times New Roman"/>
      <w:sz w:val="28"/>
    </w:rPr>
  </w:style>
  <w:style w:type="paragraph" w:styleId="a6">
    <w:name w:val="Body Text"/>
    <w:basedOn w:val="a"/>
    <w:link w:val="Char2"/>
    <w:uiPriority w:val="99"/>
    <w:semiHidden/>
    <w:unhideWhenUsed/>
    <w:rsid w:val="00EA7FDC"/>
    <w:pPr>
      <w:spacing w:after="120"/>
    </w:pPr>
  </w:style>
  <w:style w:type="character" w:customStyle="1" w:styleId="Char2">
    <w:name w:val="正文文本 Char"/>
    <w:basedOn w:val="a1"/>
    <w:link w:val="a6"/>
    <w:uiPriority w:val="99"/>
    <w:semiHidden/>
    <w:rsid w:val="00EA7FDC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1"/>
    <w:qFormat/>
    <w:rsid w:val="00EA7FDC"/>
    <w:pPr>
      <w:spacing w:after="0" w:line="500" w:lineRule="exact"/>
      <w:ind w:firstLine="420"/>
    </w:pPr>
    <w:rPr>
      <w:rFonts w:ascii="Times New Roman" w:eastAsiaTheme="minorEastAsia" w:hAnsi="Times New Roman" w:cstheme="minorBidi"/>
      <w:sz w:val="28"/>
    </w:rPr>
  </w:style>
  <w:style w:type="character" w:customStyle="1" w:styleId="a7">
    <w:name w:val="正文首行缩进 字符"/>
    <w:basedOn w:val="Char2"/>
    <w:uiPriority w:val="99"/>
    <w:semiHidden/>
    <w:rsid w:val="00EA7FDC"/>
    <w:rPr>
      <w:rFonts w:ascii="Calibri" w:eastAsia="宋体" w:hAnsi="Calibri" w:cs="Times New Roman"/>
    </w:rPr>
  </w:style>
  <w:style w:type="character" w:customStyle="1" w:styleId="keyword">
    <w:name w:val="keyword"/>
    <w:basedOn w:val="a1"/>
    <w:rsid w:val="00E07320"/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47573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hjx</dc:creator>
  <cp:keywords/>
  <dc:description/>
  <cp:lastModifiedBy>Administrator</cp:lastModifiedBy>
  <cp:revision>50</cp:revision>
  <cp:lastPrinted>2020-11-10T07:02:00Z</cp:lastPrinted>
  <dcterms:created xsi:type="dcterms:W3CDTF">2020-10-13T01:50:00Z</dcterms:created>
  <dcterms:modified xsi:type="dcterms:W3CDTF">2020-11-25T10:46:00Z</dcterms:modified>
</cp:coreProperties>
</file>