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雾水葛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WUshuige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POUZOLZIAE ZEYLANICAE HERBA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本品为荨麻科植物雾水葛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Pouzolzia zeylanica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(L. ) Benn.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多枝雾水葛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Pouzolzia zeylanica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(L. ) Benn. var.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  <w:rPrChange w:id="0" w:author="黄国凯" w:date="2024-05-28T13:43:08Z">
            <w:rPr>
              <w:rFonts w:hint="default" w:ascii="Times New Roman" w:hAnsi="Times New Roman" w:eastAsia="宋体" w:cs="Times New Roman"/>
              <w:sz w:val="24"/>
              <w:szCs w:val="24"/>
              <w:lang w:val="en-US" w:eastAsia="zh-CN"/>
            </w:rPr>
          </w:rPrChange>
        </w:rPr>
        <w:t>Microphylla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带根的干燥全草。全年可采，洗净，干燥；或洗净，趁鲜切段，干燥。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【性状】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雾水葛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本品未切段者长20~80cm，不分枝或下部有1~3对分枝，枝条不分枝或有少数极短的分枝；切段者为5~10cm的长段。茎细弱，无毛或疏被粗毛。茎基部叶对生，顶部叶对生或互生；叶柄长0.3~1.6cm；托叶卵状披针形，易脱落；叶片膜质，卵形至宽卵形，长1.5~4cm，宽0.5~2.5cm，全缘，先端短尖，基部圆形或钝，两面疏被粗伏毛，下面较密；基出脉3条。有的可见团伞花序腋生，花被片细小，先端急尖，或呈短芒状，疏被短柔毛。瘦果卵形，长约1mm，黑色，有光泽，先端尖。主根肉质，短粗，表面黄白色，根系细小。气味，味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多枝雾水葛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长可达170cm，多分枝，末回小枝常多数，互生，长2-10cm，生有细小的叶。分枝的叶通常全部互生，少数在分枝下部叶对生，上部互生；叶片卵形、狭卵形至披针形。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【鉴别】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本品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粉末呈黄绿色。非腺毛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壁厚，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单细胞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平直或弯曲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外壁光滑或有疣状突起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草酸钙簇晶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细小，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晶瓣钝尖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木栓细胞成片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棕色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，垂周壁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多角形或类长方形,有的细胞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含黄棕色物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石细胞成群或散在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棕色块散在,形状大小不一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纤维多成束或单条出现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导管为网纹导管, 具有缘纹孔导管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螺纹导管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直径大小不一。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ascii="Times New Roman" w:hAnsi="宋体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【检查】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 水分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不得过15.0%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2020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年版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通则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0832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第二法）。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宋体" w:eastAsia="宋体" w:cs="Times New Roman"/>
          <w:b/>
          <w:sz w:val="24"/>
          <w:szCs w:val="24"/>
          <w:highlight w:val="none"/>
        </w:rPr>
        <w:t>总灰分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不得过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.0%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2020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年版通则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2302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sz w:val="24"/>
          <w:szCs w:val="24"/>
          <w:highlight w:val="none"/>
        </w:rPr>
        <w:t>酸不溶性灰分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不得过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4.0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%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2020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年版通则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2302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）。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【浸出物】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照水溶性浸出物测定法项下的热浸法（中国药典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2020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年版通则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2201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）测定，不得少于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.0%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【性味与归经】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甘，凉。归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膀胱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大肠</w:t>
      </w:r>
      <w:r>
        <w:rPr>
          <w:rFonts w:hint="default" w:ascii="Times New Roman" w:hAnsi="Times New Roman" w:eastAsia="宋体" w:cs="Times New Roman"/>
          <w:sz w:val="24"/>
          <w:szCs w:val="24"/>
        </w:rPr>
        <w:t>经。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【功能与主治】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清热利湿，消肿排脓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【用法与用量】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15~30g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【贮藏】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置阴凉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干燥</w:t>
      </w:r>
      <w:r>
        <w:rPr>
          <w:rFonts w:hint="default" w:ascii="Times New Roman" w:hAnsi="Times New Roman" w:eastAsia="宋体" w:cs="Times New Roman"/>
          <w:sz w:val="24"/>
          <w:szCs w:val="24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国凯">
    <w15:presenceInfo w15:providerId="None" w15:userId="黄国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6F17"/>
    <w:rsid w:val="2A9A79EC"/>
    <w:rsid w:val="4BBA3C85"/>
    <w:rsid w:val="535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2023-09-14T01:04:00Z</dcterms:created>
  <dc:creator>huangguokai</dc:creator>
  <cp:lastModifiedBy>黄国凯</cp:lastModifiedBy>
  <dcterms:modified xsi:type="dcterms:W3CDTF">2024-05-28T05:43:42Z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AD2F999CA8724BC98B7837225EE9E98A</vt:lpwstr>
  </property>
</Properties>
</file>