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ascii="仿宋_GB2312" w:hAnsi="仿宋_GB2312" w:eastAsia="黑体" w:cs="仿宋_GB2312"/>
          <w:w w:val="102"/>
          <w:sz w:val="32"/>
          <w:szCs w:val="32"/>
        </w:rPr>
      </w:pPr>
      <w:r>
        <w:rPr>
          <w:rFonts w:hint="eastAsia" w:ascii="黑体" w:hAnsi="黑体" w:eastAsia="黑体" w:cs="黑体"/>
          <w:w w:val="102"/>
          <w:sz w:val="32"/>
          <w:szCs w:val="32"/>
        </w:rPr>
        <w:t>附件</w:t>
      </w:r>
    </w:p>
    <w:p>
      <w:pPr>
        <w:spacing w:beforeLines="0" w:afterLines="0" w:line="560" w:lineRule="exact"/>
        <w:ind w:firstLine="639"/>
        <w:rPr>
          <w:rFonts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ascii="方正小标宋简体" w:hAnsi="方正小标宋简体" w:eastAsia="方正小标宋简体" w:cs="方正小标宋简体"/>
          <w:w w:val="102"/>
          <w:sz w:val="32"/>
          <w:szCs w:val="32"/>
        </w:rPr>
      </w:pPr>
      <w:r>
        <w:rPr>
          <w:rFonts w:hint="eastAsia" w:ascii="方正小标宋简体" w:hAnsi="方正小标宋简体" w:eastAsia="方正小标宋简体" w:cs="方正小标宋简体"/>
          <w:w w:val="102"/>
          <w:sz w:val="44"/>
          <w:szCs w:val="44"/>
        </w:rPr>
        <w:t>广东省放射卫生技术服务检测方法建立情况确认工作指南（试行）</w:t>
      </w:r>
    </w:p>
    <w:p>
      <w:pPr>
        <w:spacing w:beforeLines="0" w:afterLines="0" w:line="560" w:lineRule="exact"/>
        <w:ind w:firstLine="639"/>
        <w:rPr>
          <w:rFonts w:ascii="仿宋_GB2312" w:hAnsi="仿宋_GB2312" w:eastAsia="仿宋_GB2312" w:cs="仿宋_GB2312"/>
          <w:w w:val="102"/>
          <w:sz w:val="32"/>
          <w:szCs w:val="32"/>
        </w:rPr>
      </w:pPr>
    </w:p>
    <w:p>
      <w:pPr>
        <w:spacing w:beforeLines="0" w:afterLines="0" w:line="560" w:lineRule="exact"/>
        <w:ind w:firstLine="639"/>
        <w:rPr>
          <w:rFonts w:ascii="黑体" w:hAnsi="黑体" w:eastAsia="黑体" w:cs="黑体"/>
          <w:w w:val="102"/>
          <w:sz w:val="32"/>
          <w:szCs w:val="32"/>
        </w:rPr>
      </w:pPr>
      <w:r>
        <w:rPr>
          <w:rFonts w:hint="eastAsia" w:ascii="仿宋_GB2312" w:hAnsi="仿宋_GB2312" w:eastAsia="仿宋_GB2312" w:cs="仿宋_GB2312"/>
          <w:sz w:val="32"/>
          <w:szCs w:val="32"/>
        </w:rPr>
        <w:t>根据国家和省关于“放管服”改革要求以及《广东省市场监督管理局关于落实“证照分离”改革全覆盖试点的通知》（粤市监规字</w:t>
      </w:r>
      <w:r>
        <w:rPr>
          <w:rFonts w:hint="default" w:ascii="Times New Roman" w:hAnsi="Times New Roman" w:eastAsia="仿宋_GB2312" w:cs="Times New Roman"/>
          <w:color w:val="000000"/>
          <w:sz w:val="32"/>
          <w:szCs w:val="32"/>
          <w:highlight w:val="none"/>
        </w:rPr>
        <w:t>〔2020〕</w:t>
      </w:r>
      <w:r>
        <w:rPr>
          <w:rFonts w:hint="default" w:ascii="Times New Roman" w:hAnsi="Times New Roman" w:eastAsia="仿宋_GB2312" w:cs="Times New Roman"/>
          <w:color w:val="333333"/>
          <w:sz w:val="32"/>
          <w:szCs w:val="32"/>
          <w:highlight w:val="none"/>
          <w:shd w:val="clear" w:color="auto" w:fill="auto"/>
        </w:rPr>
        <w:t>3</w:t>
      </w:r>
      <w:r>
        <w:rPr>
          <w:rFonts w:hint="eastAsia" w:ascii="仿宋_GB2312" w:hAnsi="仿宋_GB2312" w:eastAsia="仿宋_GB2312" w:cs="仿宋_GB2312"/>
          <w:color w:val="333333"/>
          <w:sz w:val="32"/>
          <w:szCs w:val="32"/>
          <w:shd w:val="clear" w:color="auto" w:fill="FFFFFF"/>
        </w:rPr>
        <w:t>号</w:t>
      </w:r>
      <w:r>
        <w:rPr>
          <w:rFonts w:hint="eastAsia" w:ascii="仿宋_GB2312" w:hAnsi="仿宋_GB2312" w:eastAsia="仿宋_GB2312" w:cs="仿宋_GB2312"/>
          <w:sz w:val="32"/>
          <w:szCs w:val="32"/>
        </w:rPr>
        <w:t>）精神，为做好改革政策衔接，进一步服务和规范我省放射卫生技术服务领域管理工作，制定《广东省放射卫生技术服务检测方法建立情况确认工作指南（试行）》。</w:t>
      </w:r>
    </w:p>
    <w:p>
      <w:pPr>
        <w:spacing w:beforeLines="0" w:afterLines="0" w:line="560" w:lineRule="exact"/>
        <w:ind w:firstLine="639"/>
        <w:rPr>
          <w:rFonts w:ascii="黑体" w:hAnsi="黑体" w:eastAsia="黑体" w:cs="黑体"/>
          <w:w w:val="102"/>
          <w:sz w:val="32"/>
          <w:szCs w:val="32"/>
        </w:rPr>
      </w:pPr>
      <w:r>
        <w:rPr>
          <w:rFonts w:hint="eastAsia" w:ascii="黑体" w:hAnsi="黑体" w:eastAsia="黑体" w:cs="黑体"/>
          <w:w w:val="102"/>
          <w:sz w:val="32"/>
          <w:szCs w:val="32"/>
        </w:rPr>
        <w:t>一、适用范围</w:t>
      </w:r>
    </w:p>
    <w:p>
      <w:pPr>
        <w:spacing w:beforeLines="0" w:afterLines="0" w:line="560" w:lineRule="exact"/>
        <w:ind w:firstLine="639"/>
        <w:rPr>
          <w:rFonts w:ascii="仿宋_GB2312" w:hAnsi="仿宋_GB2312" w:eastAsia="仿宋_GB2312" w:cs="仿宋_GB2312"/>
          <w:w w:val="105"/>
          <w:sz w:val="32"/>
          <w:szCs w:val="32"/>
        </w:rPr>
      </w:pPr>
      <w:r>
        <w:rPr>
          <w:rFonts w:hint="eastAsia" w:ascii="仿宋_GB2312" w:hAnsi="仿宋_GB2312" w:eastAsia="仿宋_GB2312" w:cs="仿宋_GB2312"/>
          <w:w w:val="105"/>
          <w:sz w:val="32"/>
          <w:szCs w:val="32"/>
        </w:rPr>
        <w:t>已在我省取得</w:t>
      </w:r>
      <w:r>
        <w:rPr>
          <w:rFonts w:hint="eastAsia" w:ascii="仿宋_GB2312" w:hAnsi="仿宋_GB2312" w:eastAsia="仿宋_GB2312" w:cs="仿宋_GB2312"/>
          <w:bCs/>
          <w:sz w:val="32"/>
          <w:szCs w:val="32"/>
        </w:rPr>
        <w:t>放射卫生技术服务资质机构</w:t>
      </w:r>
      <w:r>
        <w:rPr>
          <w:rFonts w:hint="eastAsia" w:ascii="仿宋_GB2312" w:hAnsi="仿宋_GB2312" w:eastAsia="仿宋_GB2312" w:cs="仿宋_GB2312"/>
          <w:w w:val="105"/>
          <w:sz w:val="32"/>
          <w:szCs w:val="32"/>
        </w:rPr>
        <w:t>、或拟在我省申请放射卫生技术服务</w:t>
      </w:r>
      <w:r>
        <w:rPr>
          <w:rFonts w:hint="eastAsia" w:ascii="仿宋_GB2312" w:hAnsi="仿宋_GB2312" w:eastAsia="仿宋_GB2312" w:cs="仿宋_GB2312"/>
          <w:w w:val="105"/>
          <w:sz w:val="32"/>
          <w:szCs w:val="32"/>
          <w:lang w:val="en-US" w:eastAsia="zh-CN"/>
        </w:rPr>
        <w:t>机构资质</w:t>
      </w:r>
      <w:r>
        <w:rPr>
          <w:rFonts w:hint="eastAsia" w:ascii="仿宋_GB2312" w:hAnsi="仿宋_GB2312" w:eastAsia="仿宋_GB2312" w:cs="仿宋_GB2312"/>
          <w:w w:val="105"/>
          <w:sz w:val="32"/>
          <w:szCs w:val="32"/>
        </w:rPr>
        <w:t>的机构均适用本确认工作指南。</w:t>
      </w:r>
    </w:p>
    <w:p>
      <w:pPr>
        <w:spacing w:beforeLines="0" w:afterLines="0" w:line="560" w:lineRule="exact"/>
        <w:ind w:firstLine="672" w:firstLineChars="200"/>
        <w:rPr>
          <w:rFonts w:ascii="黑体" w:hAnsi="黑体" w:eastAsia="黑体" w:cs="黑体"/>
          <w:w w:val="105"/>
          <w:sz w:val="32"/>
          <w:szCs w:val="32"/>
        </w:rPr>
      </w:pPr>
      <w:r>
        <w:rPr>
          <w:rFonts w:hint="eastAsia" w:ascii="黑体" w:hAnsi="黑体" w:eastAsia="黑体" w:cs="黑体"/>
          <w:w w:val="105"/>
          <w:sz w:val="32"/>
          <w:szCs w:val="32"/>
        </w:rPr>
        <w:t>二、检测方法建立情况确认专家要求</w:t>
      </w:r>
    </w:p>
    <w:p>
      <w:pPr>
        <w:spacing w:beforeLines="0" w:afterLines="0" w:line="560" w:lineRule="exact"/>
        <w:ind w:firstLine="678" w:firstLineChars="200"/>
        <w:rPr>
          <w:rFonts w:hint="eastAsia" w:ascii="仿宋_GB2312" w:hAnsi="仿宋_GB2312" w:eastAsia="仿宋_GB2312" w:cs="仿宋_GB2312"/>
          <w:sz w:val="32"/>
          <w:szCs w:val="32"/>
        </w:rPr>
      </w:pPr>
      <w:r>
        <w:rPr>
          <w:rFonts w:hint="eastAsia" w:ascii="仿宋_GB2312" w:hAnsi="仿宋_GB2312" w:eastAsia="仿宋_GB2312" w:cs="仿宋_GB2312"/>
          <w:w w:val="106"/>
          <w:sz w:val="32"/>
          <w:szCs w:val="32"/>
        </w:rPr>
        <w:t>检测方法建立情况确认工作由专家组成员中熟悉掌握机</w:t>
      </w:r>
      <w:r>
        <w:rPr>
          <w:rFonts w:hint="eastAsia" w:ascii="仿宋_GB2312" w:hAnsi="仿宋_GB2312" w:eastAsia="仿宋_GB2312" w:cs="仿宋_GB2312"/>
          <w:w w:val="102"/>
          <w:sz w:val="32"/>
          <w:szCs w:val="32"/>
        </w:rPr>
        <w:t>构申请评审项目检测方法的专家负责。</w:t>
      </w:r>
      <w:r>
        <w:rPr>
          <w:rFonts w:hint="eastAsia" w:ascii="仿宋_GB2312" w:hAnsi="仿宋_GB2312" w:eastAsia="仿宋_GB2312" w:cs="仿宋_GB2312"/>
          <w:w w:val="102"/>
          <w:sz w:val="32"/>
          <w:szCs w:val="32"/>
          <w:lang w:val="en-US" w:eastAsia="zh-CN"/>
        </w:rPr>
        <w:t>新申请机构的</w:t>
      </w:r>
      <w:r>
        <w:rPr>
          <w:rFonts w:hint="eastAsia" w:ascii="仿宋_GB2312" w:hAnsi="仿宋_GB2312" w:eastAsia="仿宋_GB2312" w:cs="仿宋_GB2312"/>
          <w:w w:val="102"/>
          <w:sz w:val="32"/>
          <w:szCs w:val="32"/>
        </w:rPr>
        <w:t>检测方法建立情况确认，应保证至少有</w:t>
      </w:r>
      <w:r>
        <w:rPr>
          <w:rFonts w:hint="default" w:ascii="Times New Roman" w:hAnsi="Times New Roman" w:eastAsia="仿宋_GB2312" w:cs="Times New Roman"/>
          <w:color w:val="000000"/>
          <w:w w:val="100"/>
          <w:sz w:val="32"/>
          <w:szCs w:val="32"/>
          <w:highlight w:val="none"/>
        </w:rPr>
        <w:t>2名专家承担</w:t>
      </w:r>
      <w:r>
        <w:rPr>
          <w:rFonts w:hint="default" w:ascii="Times New Roman" w:hAnsi="Times New Roman" w:eastAsia="仿宋_GB2312" w:cs="Times New Roman"/>
          <w:color w:val="000000"/>
          <w:w w:val="100"/>
          <w:sz w:val="32"/>
          <w:szCs w:val="32"/>
          <w:highlight w:val="none"/>
          <w:lang w:eastAsia="zh-CN"/>
        </w:rPr>
        <w:t>；</w:t>
      </w:r>
      <w:r>
        <w:rPr>
          <w:rFonts w:hint="default" w:ascii="Times New Roman" w:hAnsi="Times New Roman" w:eastAsia="仿宋_GB2312" w:cs="Times New Roman"/>
          <w:color w:val="000000"/>
          <w:w w:val="100"/>
          <w:sz w:val="32"/>
          <w:szCs w:val="32"/>
          <w:highlight w:val="none"/>
          <w:lang w:val="en-US" w:eastAsia="zh-CN"/>
        </w:rPr>
        <w:t>机构资质变更、增加业务范围、延续</w:t>
      </w:r>
      <w:r>
        <w:rPr>
          <w:rFonts w:hint="eastAsia" w:ascii="Times New Roman" w:hAnsi="Times New Roman" w:eastAsia="仿宋_GB2312" w:cs="Times New Roman"/>
          <w:color w:val="000000"/>
          <w:w w:val="100"/>
          <w:sz w:val="32"/>
          <w:szCs w:val="32"/>
          <w:highlight w:val="none"/>
          <w:lang w:val="en-US" w:eastAsia="zh-CN"/>
        </w:rPr>
        <w:t>等情况涉及</w:t>
      </w:r>
      <w:r>
        <w:rPr>
          <w:rFonts w:hint="default" w:ascii="Times New Roman" w:hAnsi="Times New Roman" w:eastAsia="仿宋_GB2312" w:cs="Times New Roman"/>
          <w:color w:val="000000"/>
          <w:w w:val="100"/>
          <w:sz w:val="32"/>
          <w:szCs w:val="32"/>
          <w:highlight w:val="none"/>
        </w:rPr>
        <w:t>检测方法建立情况确认</w:t>
      </w:r>
      <w:r>
        <w:rPr>
          <w:rFonts w:hint="default" w:ascii="Times New Roman" w:hAnsi="Times New Roman" w:eastAsia="仿宋_GB2312" w:cs="Times New Roman"/>
          <w:color w:val="000000"/>
          <w:w w:val="100"/>
          <w:sz w:val="32"/>
          <w:szCs w:val="32"/>
          <w:highlight w:val="none"/>
          <w:lang w:eastAsia="zh-CN"/>
        </w:rPr>
        <w:t>，</w:t>
      </w:r>
      <w:r>
        <w:rPr>
          <w:rFonts w:hint="default" w:ascii="Times New Roman" w:hAnsi="Times New Roman" w:eastAsia="仿宋_GB2312" w:cs="Times New Roman"/>
          <w:color w:val="000000"/>
          <w:w w:val="100"/>
          <w:sz w:val="32"/>
          <w:szCs w:val="32"/>
          <w:highlight w:val="none"/>
          <w:lang w:val="en-US" w:eastAsia="zh-CN"/>
        </w:rPr>
        <w:t>可由1-</w:t>
      </w:r>
      <w:r>
        <w:rPr>
          <w:rFonts w:hint="default" w:ascii="Times New Roman" w:hAnsi="Times New Roman" w:eastAsia="仿宋_GB2312" w:cs="Times New Roman"/>
          <w:color w:val="000000"/>
          <w:w w:val="100"/>
          <w:sz w:val="32"/>
          <w:szCs w:val="32"/>
          <w:highlight w:val="none"/>
        </w:rPr>
        <w:t>2</w:t>
      </w:r>
      <w:r>
        <w:rPr>
          <w:rFonts w:hint="eastAsia" w:ascii="仿宋_GB2312" w:hAnsi="仿宋_GB2312" w:eastAsia="仿宋_GB2312" w:cs="仿宋_GB2312"/>
          <w:w w:val="102"/>
          <w:sz w:val="32"/>
          <w:szCs w:val="32"/>
        </w:rPr>
        <w:t>名专家承担</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专家所在单位应具备相应放射卫生技术服务机构申请项目的检测能力。专家组组长对现场技术评审的技术工作负总责，专家按分工对所</w:t>
      </w:r>
      <w:r>
        <w:rPr>
          <w:rFonts w:hint="eastAsia" w:ascii="仿宋_GB2312" w:hAnsi="仿宋_GB2312" w:eastAsia="仿宋_GB2312" w:cs="仿宋_GB2312"/>
          <w:sz w:val="32"/>
          <w:szCs w:val="32"/>
        </w:rPr>
        <w:t>承担的工作任务负责。</w:t>
      </w:r>
    </w:p>
    <w:p>
      <w:pPr>
        <w:spacing w:beforeLines="0" w:afterLines="0" w:line="560" w:lineRule="exact"/>
        <w:ind w:firstLine="760"/>
        <w:rPr>
          <w:rFonts w:ascii="仿宋_GB2312" w:hAnsi="仿宋_GB2312" w:eastAsia="仿宋_GB2312" w:cs="仿宋_GB2312"/>
          <w:sz w:val="32"/>
          <w:szCs w:val="32"/>
        </w:rPr>
      </w:pPr>
      <w:r>
        <w:rPr>
          <w:rFonts w:hint="eastAsia" w:ascii="Times New Roman" w:hAnsi="Times New Roman" w:eastAsia="仿宋_GB2312" w:cs="Times New Roman"/>
          <w:sz w:val="32"/>
          <w:szCs w:val="32"/>
        </w:rPr>
        <w:t>省放射卫生技术质量控中心要指导各放射卫生技术服务机构规范建立检测方法，在国家有关放射卫生检测标准变更时及时发布标准更新确认表，为检测方法建立情况确认工作提供有力技术支撑。</w:t>
      </w:r>
    </w:p>
    <w:p>
      <w:pPr>
        <w:pStyle w:val="2"/>
        <w:spacing w:beforeLines="0" w:afterLines="0" w:line="560" w:lineRule="exact"/>
        <w:ind w:firstLine="650"/>
        <w:rPr>
          <w:rFonts w:ascii="仿宋_GB2312" w:hAnsi="仿宋_GB2312" w:cs="仿宋_GB2312"/>
          <w:w w:val="102"/>
          <w:szCs w:val="32"/>
        </w:rPr>
      </w:pPr>
      <w:r>
        <w:rPr>
          <w:rFonts w:hint="eastAsia" w:ascii="仿宋_GB2312" w:hAnsi="仿宋_GB2312" w:cs="仿宋_GB2312"/>
          <w:w w:val="102"/>
          <w:szCs w:val="32"/>
        </w:rPr>
        <w:t>省放射卫生技术质量控制中心负责建立广东省放射卫生技术服务检测方法建立情况确认的专家库，并实行优化管理，专家库</w:t>
      </w:r>
      <w:r>
        <w:rPr>
          <w:rFonts w:hint="eastAsia" w:ascii="仿宋_GB2312" w:hAnsi="仿宋_GB2312" w:cs="仿宋_GB2312"/>
          <w:w w:val="102"/>
          <w:szCs w:val="32"/>
          <w:lang w:val="en-US" w:eastAsia="zh-CN"/>
        </w:rPr>
        <w:t>建立、</w:t>
      </w:r>
      <w:r>
        <w:rPr>
          <w:rFonts w:hint="eastAsia" w:ascii="仿宋_GB2312" w:hAnsi="仿宋_GB2312" w:cs="仿宋_GB2312"/>
          <w:w w:val="102"/>
          <w:szCs w:val="32"/>
        </w:rPr>
        <w:t>专家遴选及调整情况及时报省卫生健康委职业健康处阅核。《广东省放射</w:t>
      </w:r>
      <w:r>
        <w:rPr>
          <w:rFonts w:hint="eastAsia" w:ascii="仿宋_GB2312" w:hAnsi="仿宋_GB2312" w:cs="仿宋_GB2312"/>
          <w:szCs w:val="32"/>
        </w:rPr>
        <w:t>卫生技术服务检测方法建立情况确认专家名单（第一批）</w:t>
      </w:r>
      <w:r>
        <w:rPr>
          <w:rFonts w:hint="eastAsia" w:ascii="仿宋_GB2312" w:hAnsi="仿宋_GB2312" w:cs="仿宋_GB2312"/>
          <w:w w:val="102"/>
          <w:szCs w:val="32"/>
        </w:rPr>
        <w:t>》详见附表1。</w:t>
      </w:r>
    </w:p>
    <w:p>
      <w:pPr>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w w:val="105"/>
          <w:sz w:val="32"/>
          <w:szCs w:val="32"/>
        </w:rPr>
        <w:t>检测方法建立情况确认</w:t>
      </w:r>
      <w:r>
        <w:rPr>
          <w:rFonts w:hint="eastAsia" w:ascii="黑体" w:hAnsi="黑体" w:eastAsia="黑体" w:cs="黑体"/>
          <w:sz w:val="32"/>
          <w:szCs w:val="32"/>
        </w:rPr>
        <w:t>过程及结论</w:t>
      </w:r>
    </w:p>
    <w:p>
      <w:p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（一）关于检测方法建立情况。</w:t>
      </w:r>
    </w:p>
    <w:p>
      <w:pPr>
        <w:spacing w:beforeLines="0" w:afterLines="0"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.已取得检验检测机构资质</w:t>
      </w:r>
      <w:r>
        <w:rPr>
          <w:rFonts w:hint="eastAsia" w:ascii="Times New Roman" w:hAnsi="Times New Roman" w:eastAsia="仿宋_GB2312" w:cs="Times New Roman"/>
          <w:sz w:val="32"/>
          <w:szCs w:val="32"/>
        </w:rPr>
        <w:t>认定（CMA）证书或中国合格评定国家认可委员会实验室认可（CNAS）证书，</w:t>
      </w:r>
      <w:r>
        <w:rPr>
          <w:rFonts w:hint="default" w:ascii="Times New Roman" w:hAnsi="Times New Roman" w:eastAsia="仿宋_GB2312" w:cs="Times New Roman"/>
          <w:sz w:val="32"/>
          <w:szCs w:val="32"/>
        </w:rPr>
        <w:t>且标准现行有效的，可直接</w:t>
      </w:r>
      <w:r>
        <w:rPr>
          <w:rFonts w:hint="eastAsia" w:ascii="Times New Roman" w:hAnsi="Times New Roman" w:eastAsia="仿宋_GB2312" w:cs="Times New Roman"/>
          <w:sz w:val="32"/>
          <w:szCs w:val="32"/>
        </w:rPr>
        <w:t>确认</w:t>
      </w:r>
      <w:r>
        <w:rPr>
          <w:rFonts w:hint="default" w:ascii="Times New Roman" w:hAnsi="Times New Roman" w:eastAsia="仿宋_GB2312" w:cs="Times New Roman"/>
          <w:sz w:val="32"/>
          <w:szCs w:val="32"/>
        </w:rPr>
        <w:t>相应放射卫生检测项目及参数检测能力，</w:t>
      </w:r>
      <w:r>
        <w:rPr>
          <w:rFonts w:hint="eastAsia" w:ascii="Times New Roman" w:hAnsi="Times New Roman" w:eastAsia="仿宋_GB2312" w:cs="Times New Roman"/>
          <w:sz w:val="32"/>
          <w:szCs w:val="32"/>
        </w:rPr>
        <w:t>无需确认</w:t>
      </w:r>
      <w:r>
        <w:rPr>
          <w:rFonts w:hint="default" w:ascii="Times New Roman" w:hAnsi="Times New Roman" w:eastAsia="仿宋_GB2312" w:cs="Times New Roman"/>
          <w:sz w:val="32"/>
          <w:szCs w:val="32"/>
        </w:rPr>
        <w:t>检测方法建立情况</w:t>
      </w:r>
      <w:r>
        <w:rPr>
          <w:rFonts w:hint="eastAsia" w:ascii="Times New Roman" w:hAnsi="Times New Roman" w:eastAsia="仿宋_GB2312" w:cs="Times New Roman"/>
          <w:sz w:val="32"/>
          <w:szCs w:val="32"/>
        </w:rPr>
        <w:t>；但相应认定/认可标准已变更失效的，由组长根据广东省放射卫生质量控制中心发布的标准更新确认表进行确认，检测技术无实质性变化的，可直接确认相应放射卫生检测项目及参数检测能力，检测技术有实质性变化的，要确认每项放射卫生检测方法建立情况。</w:t>
      </w:r>
    </w:p>
    <w:p>
      <w:pPr>
        <w:spacing w:beforeLines="0" w:afterLines="0" w:line="560" w:lineRule="exact"/>
        <w:ind w:firstLine="642"/>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w w:val="97"/>
          <w:sz w:val="32"/>
          <w:szCs w:val="32"/>
        </w:rPr>
        <w:t>.对未取得</w:t>
      </w:r>
      <w:r>
        <w:rPr>
          <w:rFonts w:hint="eastAsia" w:ascii="Times New Roman" w:hAnsi="Times New Roman" w:eastAsia="仿宋_GB2312" w:cs="Times New Roman"/>
          <w:sz w:val="32"/>
          <w:szCs w:val="32"/>
        </w:rPr>
        <w:t>CMA证书、CNAS证书的，或CMA证书、CNAS证</w:t>
      </w:r>
      <w:r>
        <w:rPr>
          <w:rFonts w:hint="eastAsia" w:ascii="仿宋_GB2312" w:hAnsi="仿宋_GB2312" w:eastAsia="仿宋_GB2312" w:cs="仿宋_GB2312"/>
          <w:sz w:val="32"/>
          <w:szCs w:val="32"/>
        </w:rPr>
        <w:t>书未覆盖的检测项目，要逐项确认放射卫生检测方</w:t>
      </w:r>
      <w:r>
        <w:rPr>
          <w:rFonts w:hint="eastAsia" w:ascii="仿宋_GB2312" w:hAnsi="仿宋_GB2312" w:eastAsia="仿宋_GB2312" w:cs="仿宋_GB2312"/>
          <w:w w:val="101"/>
          <w:sz w:val="32"/>
          <w:szCs w:val="32"/>
        </w:rPr>
        <w:t>法建立情况。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关于检测方法建立情况确认申请。</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9"/>
        <w:textAlignment w:val="auto"/>
        <w:rPr>
          <w:rFonts w:ascii="仿宋_GB2312" w:hAnsi="仿宋_GB2312" w:eastAsia="仿宋_GB2312" w:cs="仿宋_GB2312"/>
          <w:w w:val="102"/>
          <w:sz w:val="32"/>
          <w:szCs w:val="32"/>
        </w:rPr>
      </w:pPr>
      <w:r>
        <w:rPr>
          <w:rFonts w:hint="eastAsia" w:ascii="仿宋_GB2312" w:hAnsi="仿宋_GB2312" w:eastAsia="仿宋_GB2312" w:cs="仿宋_GB2312"/>
          <w:w w:val="105"/>
          <w:sz w:val="32"/>
          <w:szCs w:val="32"/>
        </w:rPr>
        <w:t>已在我省取得</w:t>
      </w:r>
      <w:r>
        <w:rPr>
          <w:rFonts w:hint="eastAsia" w:ascii="仿宋_GB2312" w:hAnsi="仿宋_GB2312" w:eastAsia="仿宋_GB2312" w:cs="仿宋_GB2312"/>
          <w:bCs/>
          <w:sz w:val="32"/>
          <w:szCs w:val="32"/>
        </w:rPr>
        <w:t>放射卫生技术服务资质机构</w:t>
      </w:r>
      <w:r>
        <w:rPr>
          <w:rFonts w:hint="eastAsia" w:ascii="仿宋_GB2312" w:hAnsi="仿宋_GB2312" w:eastAsia="仿宋_GB2312" w:cs="仿宋_GB2312"/>
          <w:w w:val="105"/>
          <w:sz w:val="32"/>
          <w:szCs w:val="32"/>
        </w:rPr>
        <w:t>、或拟在我省申请放射卫生技术服务</w:t>
      </w:r>
      <w:r>
        <w:rPr>
          <w:rFonts w:hint="eastAsia" w:ascii="仿宋_GB2312" w:hAnsi="仿宋_GB2312" w:eastAsia="仿宋_GB2312" w:cs="仿宋_GB2312"/>
          <w:w w:val="105"/>
          <w:sz w:val="32"/>
          <w:szCs w:val="32"/>
          <w:lang w:val="en-US" w:eastAsia="zh-CN"/>
        </w:rPr>
        <w:t>机构资质</w:t>
      </w:r>
      <w:r>
        <w:rPr>
          <w:rFonts w:hint="eastAsia" w:ascii="仿宋_GB2312" w:hAnsi="仿宋_GB2312" w:eastAsia="仿宋_GB2312" w:cs="仿宋_GB2312"/>
          <w:w w:val="105"/>
          <w:sz w:val="32"/>
          <w:szCs w:val="32"/>
        </w:rPr>
        <w:t>的机构</w:t>
      </w:r>
      <w:r>
        <w:rPr>
          <w:rFonts w:hint="eastAsia" w:ascii="仿宋_GB2312" w:hAnsi="仿宋_GB2312" w:eastAsia="仿宋_GB2312" w:cs="仿宋_GB2312"/>
          <w:w w:val="105"/>
          <w:sz w:val="32"/>
          <w:szCs w:val="32"/>
          <w:lang w:val="en-US" w:eastAsia="zh-CN"/>
        </w:rPr>
        <w:t>向各地级以上市申请检测方法建立情况确认，</w:t>
      </w:r>
      <w:r>
        <w:rPr>
          <w:rFonts w:hint="eastAsia" w:ascii="仿宋_GB2312" w:hAnsi="仿宋_GB2312" w:eastAsia="仿宋_GB2312" w:cs="仿宋_GB2312"/>
          <w:w w:val="102"/>
          <w:sz w:val="32"/>
          <w:szCs w:val="32"/>
        </w:rPr>
        <w:t>检测方法建立情况确认工作与</w:t>
      </w:r>
      <w:r>
        <w:rPr>
          <w:rFonts w:hint="eastAsia" w:ascii="仿宋_GB2312" w:hAnsi="仿宋_GB2312" w:eastAsia="仿宋_GB2312" w:cs="仿宋_GB2312"/>
          <w:w w:val="105"/>
          <w:sz w:val="32"/>
          <w:szCs w:val="32"/>
        </w:rPr>
        <w:t>放射卫生技术服务机构资质认</w:t>
      </w:r>
      <w:r>
        <w:rPr>
          <w:rFonts w:hint="eastAsia" w:ascii="仿宋_GB2312" w:hAnsi="仿宋_GB2312" w:eastAsia="仿宋_GB2312" w:cs="仿宋_GB2312"/>
          <w:w w:val="105"/>
          <w:sz w:val="32"/>
          <w:szCs w:val="32"/>
          <w:lang w:val="en-US" w:eastAsia="zh-CN"/>
        </w:rPr>
        <w:t>可</w:t>
      </w:r>
      <w:r>
        <w:rPr>
          <w:rFonts w:hint="eastAsia" w:ascii="仿宋_GB2312" w:hAnsi="仿宋_GB2312" w:eastAsia="仿宋_GB2312" w:cs="仿宋_GB2312"/>
          <w:w w:val="102"/>
          <w:sz w:val="32"/>
          <w:szCs w:val="32"/>
        </w:rPr>
        <w:t>现场技术评审工作</w:t>
      </w:r>
      <w:r>
        <w:rPr>
          <w:rFonts w:hint="eastAsia" w:ascii="仿宋_GB2312" w:hAnsi="仿宋_GB2312" w:eastAsia="仿宋_GB2312" w:cs="仿宋_GB2312"/>
          <w:w w:val="102"/>
          <w:sz w:val="32"/>
          <w:szCs w:val="32"/>
          <w:lang w:val="en-US" w:eastAsia="zh-CN"/>
        </w:rPr>
        <w:t>原则上</w:t>
      </w:r>
      <w:r>
        <w:rPr>
          <w:rFonts w:hint="eastAsia" w:ascii="仿宋_GB2312" w:hAnsi="仿宋_GB2312" w:eastAsia="仿宋_GB2312" w:cs="仿宋_GB2312"/>
          <w:w w:val="102"/>
          <w:sz w:val="32"/>
          <w:szCs w:val="32"/>
        </w:rPr>
        <w:t>一并进行。放射卫生技术服务机构已经确认的检测方法发生变更时，应当向资质认</w:t>
      </w:r>
      <w:r>
        <w:rPr>
          <w:rFonts w:hint="eastAsia" w:ascii="仿宋_GB2312" w:hAnsi="仿宋_GB2312" w:eastAsia="仿宋_GB2312" w:cs="仿宋_GB2312"/>
          <w:w w:val="102"/>
          <w:sz w:val="32"/>
          <w:szCs w:val="32"/>
          <w:lang w:val="en-US" w:eastAsia="zh-CN"/>
        </w:rPr>
        <w:t>可</w:t>
      </w:r>
      <w:r>
        <w:rPr>
          <w:rFonts w:hint="eastAsia" w:ascii="仿宋_GB2312" w:hAnsi="仿宋_GB2312" w:eastAsia="仿宋_GB2312" w:cs="仿宋_GB2312"/>
          <w:w w:val="102"/>
          <w:sz w:val="32"/>
          <w:szCs w:val="32"/>
        </w:rPr>
        <w:t>部门重新申请放射卫生技术服务检测方法建立情况确认。</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关于检测方法建立情况确认要求。</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.参照检测实验室评审准则，对机构“组织和管理”“质量体系”“人员”“场所及设备”“样品处置”“记录”“结果报告”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分包”“外部支持服务和供应”等部分进行确认。</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53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w w:val="101"/>
          <w:sz w:val="32"/>
          <w:szCs w:val="32"/>
        </w:rPr>
        <w:t>.由相应技术专家对机构检测方法建立情况确认。具体</w:t>
      </w:r>
      <w:r>
        <w:rPr>
          <w:rFonts w:hint="eastAsia" w:ascii="仿宋_GB2312" w:hAnsi="仿宋_GB2312" w:eastAsia="仿宋_GB2312" w:cs="仿宋_GB2312"/>
          <w:sz w:val="32"/>
          <w:szCs w:val="32"/>
        </w:rPr>
        <w:t>包括仪器设备情况、检测方法建立的内容、过程、结论和记录。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53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申请机构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w:t>
      </w:r>
      <w:r>
        <w:rPr>
          <w:rFonts w:hint="eastAsia" w:ascii="仿宋_GB2312" w:hAnsi="仿宋_GB2312" w:eastAsia="仿宋_GB2312" w:cs="仿宋_GB2312"/>
          <w:w w:val="101"/>
          <w:sz w:val="32"/>
          <w:szCs w:val="32"/>
        </w:rPr>
        <w:t>和检测技术指标进行研究，编写研究报告，并经至少</w:t>
      </w:r>
      <w:r>
        <w:rPr>
          <w:rFonts w:hint="default" w:ascii="Times New Roman" w:hAnsi="Times New Roman" w:eastAsia="仿宋_GB2312" w:cs="Times New Roman"/>
          <w:color w:val="000000"/>
          <w:w w:val="100"/>
          <w:sz w:val="32"/>
          <w:szCs w:val="32"/>
          <w:highlight w:val="none"/>
        </w:rPr>
        <w:t>3</w:t>
      </w:r>
      <w:r>
        <w:rPr>
          <w:rFonts w:hint="eastAsia" w:ascii="仿宋_GB2312" w:hAnsi="仿宋_GB2312" w:eastAsia="仿宋_GB2312" w:cs="仿宋_GB2312"/>
          <w:w w:val="101"/>
          <w:sz w:val="32"/>
          <w:szCs w:val="32"/>
        </w:rPr>
        <w:t>名国</w:t>
      </w:r>
      <w:r>
        <w:rPr>
          <w:rFonts w:hint="eastAsia" w:ascii="仿宋_GB2312" w:hAnsi="仿宋_GB2312" w:eastAsia="仿宋_GB2312" w:cs="仿宋_GB2312"/>
          <w:sz w:val="32"/>
          <w:szCs w:val="32"/>
        </w:rPr>
        <w:t>家级或省级放射卫生检测专家进行审核论证。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）关于现场操作或模拟操作。</w:t>
      </w:r>
    </w:p>
    <w:p>
      <w:pPr>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依据申请标准内容，对照每一项检测项目，对检测人员</w:t>
      </w:r>
      <w:r>
        <w:rPr>
          <w:rFonts w:hint="eastAsia" w:ascii="仿宋_GB2312" w:hAnsi="仿宋_GB2312" w:eastAsia="仿宋_GB2312" w:cs="仿宋_GB2312"/>
          <w:w w:val="102"/>
          <w:sz w:val="32"/>
          <w:szCs w:val="32"/>
        </w:rPr>
        <w:t>进行检测操作、数据处理、结果分析等技能确认。所有申请项目均应进行技能确认，检测操作可采用现场操作或模拟操</w:t>
      </w:r>
      <w:r>
        <w:rPr>
          <w:rFonts w:hint="eastAsia" w:ascii="仿宋_GB2312" w:hAnsi="仿宋_GB2312" w:eastAsia="仿宋_GB2312" w:cs="仿宋_GB2312"/>
          <w:w w:val="101"/>
          <w:sz w:val="32"/>
          <w:szCs w:val="32"/>
        </w:rPr>
        <w:t>作两种方式，模拟操作项目数不应超过总项目数的30%;所有申请检测或校核签名的人员均应独立完成。</w:t>
      </w:r>
    </w:p>
    <w:p>
      <w:p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）关于盲样。</w:t>
      </w:r>
    </w:p>
    <w:p>
      <w:pPr>
        <w:spacing w:beforeLines="0" w:afterLines="0" w:line="560" w:lineRule="exact"/>
        <w:ind w:firstLine="650"/>
        <w:rPr>
          <w:rFonts w:ascii="仿宋_GB2312" w:hAnsi="仿宋_GB2312" w:eastAsia="仿宋_GB2312" w:cs="仿宋_GB2312"/>
          <w:sz w:val="32"/>
          <w:szCs w:val="32"/>
        </w:rPr>
      </w:pPr>
      <w:r>
        <w:rPr>
          <w:rFonts w:hint="eastAsia" w:ascii="仿宋_GB2312" w:hAnsi="仿宋_GB2312" w:eastAsia="仿宋_GB2312" w:cs="仿宋_GB2312"/>
          <w:bCs/>
          <w:sz w:val="32"/>
          <w:szCs w:val="32"/>
        </w:rPr>
        <w:t>放射卫生技术服务资质机构在上一个资质周期内，连续</w:t>
      </w:r>
      <w:r>
        <w:rPr>
          <w:rFonts w:hint="eastAsia" w:ascii="仿宋_GB2312" w:hAnsi="仿宋_GB2312" w:eastAsia="仿宋_GB2312" w:cs="仿宋_GB2312"/>
          <w:bCs/>
          <w:sz w:val="32"/>
          <w:szCs w:val="32"/>
          <w:lang w:val="zh-CN"/>
        </w:rPr>
        <w:t>参加</w:t>
      </w:r>
      <w:r>
        <w:rPr>
          <w:rFonts w:hint="eastAsia" w:ascii="仿宋_GB2312" w:hAnsi="仿宋_GB2312" w:eastAsia="仿宋_GB2312" w:cs="仿宋_GB2312"/>
          <w:bCs/>
          <w:sz w:val="32"/>
          <w:szCs w:val="32"/>
        </w:rPr>
        <w:t>中国疾控中心或广东省放射卫生技术质量控制中心（广东省职业病防治院）组织</w:t>
      </w:r>
      <w:r>
        <w:rPr>
          <w:rFonts w:hint="eastAsia" w:ascii="仿宋_GB2312" w:hAnsi="仿宋_GB2312" w:eastAsia="仿宋_GB2312" w:cs="仿宋_GB2312"/>
          <w:bCs/>
          <w:sz w:val="32"/>
          <w:szCs w:val="32"/>
          <w:lang w:val="zh-CN"/>
        </w:rPr>
        <w:t>的</w:t>
      </w:r>
      <w:r>
        <w:rPr>
          <w:rFonts w:hint="eastAsia" w:ascii="仿宋_GB2312" w:hAnsi="仿宋_GB2312" w:eastAsia="仿宋_GB2312" w:cs="仿宋_GB2312"/>
          <w:bCs/>
          <w:sz w:val="32"/>
          <w:szCs w:val="32"/>
        </w:rPr>
        <w:t>技术机构</w:t>
      </w:r>
      <w:r>
        <w:rPr>
          <w:rFonts w:hint="eastAsia" w:ascii="仿宋_GB2312" w:hAnsi="仿宋_GB2312" w:eastAsia="仿宋_GB2312" w:cs="仿宋_GB2312"/>
          <w:color w:val="000000"/>
          <w:sz w:val="32"/>
          <w:szCs w:val="32"/>
        </w:rPr>
        <w:t>实验室检测能力验证（</w:t>
      </w:r>
      <w:r>
        <w:rPr>
          <w:rFonts w:hint="eastAsia" w:ascii="仿宋_GB2312" w:hAnsi="仿宋_GB2312" w:eastAsia="仿宋_GB2312" w:cs="仿宋_GB2312"/>
          <w:bCs/>
          <w:sz w:val="32"/>
          <w:szCs w:val="32"/>
          <w:lang w:val="zh-CN"/>
        </w:rPr>
        <w:t>比对或考核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且每次</w:t>
      </w:r>
      <w:r>
        <w:rPr>
          <w:rFonts w:hint="eastAsia" w:ascii="仿宋_GB2312" w:hAnsi="仿宋_GB2312" w:eastAsia="仿宋_GB2312" w:cs="仿宋_GB2312"/>
          <w:bCs/>
          <w:sz w:val="32"/>
          <w:szCs w:val="32"/>
          <w:lang w:val="zh-CN"/>
        </w:rPr>
        <w:t>综合评估</w:t>
      </w:r>
      <w:r>
        <w:rPr>
          <w:rFonts w:hint="eastAsia" w:ascii="仿宋_GB2312" w:hAnsi="仿宋_GB2312" w:eastAsia="仿宋_GB2312" w:cs="仿宋_GB2312"/>
          <w:bCs/>
          <w:sz w:val="32"/>
          <w:szCs w:val="32"/>
        </w:rPr>
        <w:t>中国疾控中心结果</w:t>
      </w:r>
      <w:r>
        <w:rPr>
          <w:rFonts w:hint="eastAsia" w:ascii="仿宋_GB2312" w:hAnsi="仿宋_GB2312" w:eastAsia="仿宋_GB2312" w:cs="仿宋_GB2312"/>
          <w:bCs/>
          <w:sz w:val="32"/>
          <w:szCs w:val="32"/>
          <w:lang w:val="zh-CN"/>
        </w:rPr>
        <w:t>为</w:t>
      </w:r>
      <w:r>
        <w:rPr>
          <w:rFonts w:hint="eastAsia" w:ascii="仿宋_GB2312" w:hAnsi="仿宋_GB2312" w:eastAsia="仿宋_GB2312" w:cs="仿宋_GB2312"/>
          <w:bCs/>
          <w:sz w:val="32"/>
          <w:szCs w:val="32"/>
        </w:rPr>
        <w:t>“优秀”或“</w:t>
      </w:r>
      <w:r>
        <w:rPr>
          <w:rFonts w:hint="eastAsia" w:ascii="仿宋_GB2312" w:hAnsi="仿宋_GB2312" w:eastAsia="仿宋_GB2312" w:cs="仿宋_GB2312"/>
          <w:bCs/>
          <w:sz w:val="32"/>
          <w:szCs w:val="32"/>
          <w:lang w:val="zh-CN"/>
        </w:rPr>
        <w:t>合格</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可免于</w:t>
      </w:r>
      <w:r>
        <w:rPr>
          <w:rFonts w:hint="eastAsia" w:ascii="仿宋_GB2312" w:hAnsi="仿宋_GB2312" w:eastAsia="仿宋_GB2312" w:cs="仿宋_GB2312"/>
          <w:bCs/>
          <w:sz w:val="32"/>
          <w:szCs w:val="32"/>
        </w:rPr>
        <w:t>盲样检测及结果确认；其他情况，</w:t>
      </w:r>
      <w:r>
        <w:rPr>
          <w:rFonts w:hint="eastAsia" w:ascii="仿宋_GB2312" w:hAnsi="仿宋_GB2312" w:eastAsia="仿宋_GB2312" w:cs="仿宋_GB2312"/>
          <w:w w:val="102"/>
          <w:sz w:val="32"/>
          <w:szCs w:val="32"/>
        </w:rPr>
        <w:t>机构需进行盲样</w:t>
      </w:r>
      <w:r>
        <w:rPr>
          <w:rFonts w:hint="eastAsia" w:ascii="仿宋_GB2312" w:hAnsi="仿宋_GB2312" w:eastAsia="仿宋_GB2312" w:cs="仿宋_GB2312"/>
          <w:bCs/>
          <w:sz w:val="32"/>
          <w:szCs w:val="32"/>
        </w:rPr>
        <w:t>检测及结果确认</w:t>
      </w:r>
      <w:r>
        <w:rPr>
          <w:rFonts w:hint="eastAsia" w:ascii="仿宋_GB2312" w:hAnsi="仿宋_GB2312" w:eastAsia="仿宋_GB2312" w:cs="仿宋_GB2312"/>
          <w:w w:val="102"/>
          <w:sz w:val="32"/>
          <w:szCs w:val="32"/>
        </w:rPr>
        <w:t>。申请机构应独立完成盲样检测，并在</w:t>
      </w:r>
      <w:r>
        <w:rPr>
          <w:rFonts w:hint="default" w:ascii="Times New Roman" w:hAnsi="Times New Roman" w:eastAsia="仿宋_GB2312" w:cs="Times New Roman"/>
          <w:color w:val="000000"/>
          <w:w w:val="100"/>
          <w:sz w:val="32"/>
          <w:szCs w:val="32"/>
          <w:highlight w:val="none"/>
        </w:rPr>
        <w:t>48</w:t>
      </w:r>
      <w:r>
        <w:rPr>
          <w:rFonts w:hint="eastAsia" w:ascii="仿宋_GB2312" w:hAnsi="仿宋_GB2312" w:eastAsia="仿宋_GB2312" w:cs="仿宋_GB2312"/>
          <w:w w:val="103"/>
          <w:sz w:val="32"/>
          <w:szCs w:val="32"/>
        </w:rPr>
        <w:t>小时内向专家组提交检测报告（盲样样品可提前发放）。</w:t>
      </w:r>
      <w:r>
        <w:rPr>
          <w:rFonts w:hint="eastAsia" w:ascii="仿宋_GB2312" w:hAnsi="仿宋_GB2312" w:eastAsia="仿宋_GB2312" w:cs="仿宋_GB2312"/>
          <w:w w:val="101"/>
          <w:sz w:val="32"/>
          <w:szCs w:val="32"/>
        </w:rPr>
        <w:t>盲样检测过程和检测结果经专家确认符合要求。</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盲样种类：根据申请的业务范围，可考核α、β核素</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测量、γ核素分析、个人剂量等参数的样品。</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）负责检测方法建立情况确</w:t>
      </w:r>
      <w:r>
        <w:rPr>
          <w:rFonts w:hint="default" w:ascii="Times New Roman" w:hAnsi="Times New Roman" w:eastAsia="仿宋_GB2312" w:cs="Times New Roman"/>
          <w:sz w:val="32"/>
          <w:szCs w:val="32"/>
        </w:rPr>
        <w:t>认</w:t>
      </w:r>
      <w:r>
        <w:rPr>
          <w:rFonts w:hint="eastAsia" w:ascii="Times New Roman" w:hAnsi="Times New Roman" w:eastAsia="仿宋_GB2312" w:cs="Times New Roman"/>
          <w:sz w:val="32"/>
          <w:szCs w:val="32"/>
        </w:rPr>
        <w:t>的技术专家填写《广东省放射卫生技术服务检测方法建立情况专家确认表》(见附</w:t>
      </w:r>
      <w:r>
        <w:rPr>
          <w:rFonts w:hint="default" w:ascii="Times New Roman" w:hAnsi="Times New Roman" w:eastAsia="仿宋_GB2312" w:cs="Times New Roman"/>
          <w:sz w:val="32"/>
          <w:szCs w:val="32"/>
        </w:rPr>
        <w:t>表2</w:t>
      </w:r>
      <w:r>
        <w:rPr>
          <w:rFonts w:hint="eastAsia" w:ascii="Times New Roman" w:hAnsi="Times New Roman" w:eastAsia="仿宋_GB2312" w:cs="Times New Roman"/>
          <w:sz w:val="32"/>
          <w:szCs w:val="32"/>
        </w:rPr>
        <w:t>)，交由现场评审专家组组长汇总，作为当次技术服务机构检测技术评审结果判定的基础材料。</w:t>
      </w:r>
    </w:p>
    <w:p>
      <w:pPr>
        <w:spacing w:beforeLines="0" w:afterLines="0" w:line="560" w:lineRule="exact"/>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）确认结论分为“具备能力”和“不具备能力”。</w:t>
      </w:r>
    </w:p>
    <w:p>
      <w:pPr>
        <w:pStyle w:val="2"/>
        <w:spacing w:beforeLines="0" w:afterLines="0" w:line="560" w:lineRule="exact"/>
        <w:ind w:firstLine="640"/>
        <w:rPr>
          <w:rFonts w:ascii="黑体" w:hAnsi="黑体" w:eastAsia="黑体" w:cs="黑体"/>
          <w:szCs w:val="32"/>
        </w:rPr>
      </w:pPr>
      <w:r>
        <w:rPr>
          <w:rFonts w:hint="eastAsia" w:ascii="黑体" w:hAnsi="黑体" w:eastAsia="黑体" w:cs="黑体"/>
          <w:szCs w:val="32"/>
        </w:rPr>
        <w:t>四、其他事项</w:t>
      </w:r>
    </w:p>
    <w:p>
      <w:pPr>
        <w:pStyle w:val="2"/>
        <w:spacing w:beforeLines="0" w:afterLines="0" w:line="560" w:lineRule="exact"/>
        <w:ind w:firstLine="640"/>
        <w:rPr>
          <w:rFonts w:ascii="仿宋_GB2312" w:hAnsi="仿宋_GB2312" w:cs="仿宋_GB2312"/>
          <w:szCs w:val="32"/>
        </w:rPr>
      </w:pPr>
      <w:r>
        <w:rPr>
          <w:rFonts w:hint="eastAsia" w:ascii="仿宋_GB2312" w:hAnsi="仿宋_GB2312" w:cs="仿宋_GB2312"/>
          <w:szCs w:val="32"/>
        </w:rPr>
        <w:t>本确认工作指南试行期三年，自印发之日起实施。国家有新规定，从其规定。</w:t>
      </w:r>
    </w:p>
    <w:p>
      <w:pPr>
        <w:pStyle w:val="2"/>
        <w:spacing w:beforeLines="0" w:afterLines="0" w:line="560" w:lineRule="exact"/>
        <w:ind w:left="960" w:leftChars="0" w:hanging="960" w:hangingChars="300"/>
        <w:rPr>
          <w:rFonts w:ascii="Times New Roman" w:hAnsi="Times New Roman" w:cs="Times New Roman"/>
          <w:szCs w:val="32"/>
        </w:rPr>
      </w:pPr>
    </w:p>
    <w:p>
      <w:pPr>
        <w:pStyle w:val="2"/>
        <w:spacing w:beforeLines="0" w:afterLines="0" w:line="560" w:lineRule="exact"/>
        <w:ind w:left="1218" w:leftChars="275" w:hanging="640" w:hangingChars="200"/>
        <w:rPr>
          <w:rFonts w:hint="eastAsia" w:ascii="仿宋_GB2312" w:hAnsi="仿宋_GB2312" w:cs="仿宋_GB2312"/>
          <w:szCs w:val="32"/>
        </w:rPr>
      </w:pPr>
      <w:r>
        <w:rPr>
          <w:rFonts w:hint="eastAsia" w:ascii="Times New Roman" w:hAnsi="Times New Roman" w:cs="Times New Roman"/>
          <w:szCs w:val="32"/>
        </w:rPr>
        <w:t>附表：</w:t>
      </w:r>
      <w:r>
        <w:rPr>
          <w:rFonts w:hint="eastAsia" w:ascii="Times New Roman" w:hAnsi="Times New Roman" w:eastAsia="仿宋_GB2312" w:cs="Times New Roman"/>
          <w:kern w:val="2"/>
          <w:sz w:val="32"/>
          <w:szCs w:val="32"/>
          <w:lang w:val="en-US" w:eastAsia="zh-CN"/>
        </w:rPr>
        <w:t>1</w:t>
      </w:r>
      <w:r>
        <w:rPr>
          <w:rFonts w:hint="eastAsia" w:ascii="仿宋_GB2312" w:hAnsi="仿宋_GB2312" w:cs="仿宋_GB2312"/>
          <w:szCs w:val="32"/>
        </w:rPr>
        <w:t>.广东省放射卫生技术服务检测方法建立情况确认专</w:t>
      </w:r>
    </w:p>
    <w:p>
      <w:pPr>
        <w:pStyle w:val="2"/>
        <w:spacing w:beforeLines="0" w:afterLines="0" w:line="560" w:lineRule="exact"/>
        <w:ind w:left="976" w:leftChars="465" w:firstLine="800" w:firstLineChars="250"/>
        <w:rPr>
          <w:rFonts w:ascii="仿宋_GB2312" w:hAnsi="仿宋_GB2312" w:cs="仿宋_GB2312"/>
          <w:szCs w:val="32"/>
        </w:rPr>
      </w:pPr>
      <w:r>
        <w:rPr>
          <w:rFonts w:hint="eastAsia" w:ascii="仿宋_GB2312" w:hAnsi="仿宋_GB2312" w:cs="仿宋_GB2312"/>
          <w:szCs w:val="32"/>
        </w:rPr>
        <w:t>家名单（第一批）</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1440" w:firstLineChars="450"/>
        <w:textAlignment w:val="auto"/>
        <w:rPr>
          <w:rFonts w:hint="eastAsia" w:ascii="仿宋_GB2312" w:hAnsi="仿宋_GB2312" w:cs="仿宋_GB2312"/>
          <w:szCs w:val="32"/>
        </w:rPr>
      </w:pPr>
      <w:r>
        <w:rPr>
          <w:rFonts w:hint="eastAsia" w:ascii="Times New Roman" w:hAnsi="Times New Roman" w:eastAsia="仿宋_GB2312" w:cs="Times New Roman"/>
          <w:kern w:val="2"/>
          <w:sz w:val="32"/>
          <w:szCs w:val="32"/>
          <w:lang w:val="en-US" w:eastAsia="zh-CN"/>
        </w:rPr>
        <w:t>2</w:t>
      </w:r>
      <w:r>
        <w:rPr>
          <w:rFonts w:hint="eastAsia" w:ascii="仿宋_GB2312" w:hAnsi="仿宋_GB2312" w:cs="仿宋_GB2312"/>
          <w:szCs w:val="32"/>
        </w:rPr>
        <w:t>.广东省放射卫生技术服务检测方法建立情况专家确</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1760" w:firstLineChars="550"/>
        <w:textAlignment w:val="auto"/>
        <w:rPr>
          <w:rFonts w:hint="eastAsia" w:ascii="仿宋_GB2312" w:hAnsi="仿宋_GB2312" w:cs="仿宋_GB2312"/>
          <w:szCs w:val="32"/>
        </w:rPr>
      </w:pPr>
      <w:r>
        <w:rPr>
          <w:rFonts w:hint="eastAsia" w:ascii="仿宋_GB2312" w:hAnsi="仿宋_GB2312" w:cs="仿宋_GB2312"/>
          <w:szCs w:val="32"/>
        </w:rPr>
        <w:t>认表</w:t>
      </w:r>
    </w:p>
    <w:p>
      <w:pPr>
        <w:pStyle w:val="3"/>
        <w:rPr>
          <w:rFonts w:hint="eastAsia" w:ascii="仿宋_GB2312" w:hAnsi="仿宋_GB2312" w:cs="仿宋_GB2312"/>
          <w:szCs w:val="32"/>
        </w:rPr>
      </w:pPr>
    </w:p>
    <w:p>
      <w:pPr>
        <w:pStyle w:val="3"/>
        <w:rPr>
          <w:rFonts w:hint="eastAsia" w:ascii="仿宋_GB2312" w:hAnsi="仿宋_GB2312" w:cs="仿宋_GB2312"/>
          <w:szCs w:val="32"/>
        </w:rPr>
      </w:pPr>
    </w:p>
    <w:p>
      <w:pPr>
        <w:pStyle w:val="2"/>
        <w:spacing w:beforeLines="0" w:afterLines="0" w:line="560" w:lineRule="exact"/>
        <w:ind w:firstLine="640"/>
        <w:rPr>
          <w:rFonts w:ascii="仿宋_GB2312" w:hAnsi="仿宋_GB2312" w:cs="仿宋_GB2312"/>
          <w:szCs w:val="32"/>
        </w:rPr>
        <w:sectPr>
          <w:headerReference w:type="first" r:id="rId4"/>
          <w:footerReference w:type="first" r:id="rId6"/>
          <w:headerReference w:type="default" r:id="rId3"/>
          <w:footerReference w:type="default" r:id="rId5"/>
          <w:pgSz w:w="11906" w:h="16838"/>
          <w:pgMar w:top="2041" w:right="1531" w:bottom="2041" w:left="1531" w:header="851" w:footer="1264" w:gutter="0"/>
          <w:pgNumType w:fmt="numberInDash"/>
          <w:cols w:space="720" w:num="1"/>
          <w:rtlGutter w:val="0"/>
          <w:docGrid w:type="lines" w:linePitch="312" w:charSpace="0"/>
        </w:sectPr>
      </w:pPr>
    </w:p>
    <w:p>
      <w:pPr>
        <w:widowControl/>
        <w:spacing w:line="560" w:lineRule="exact"/>
        <w:textAlignment w:val="center"/>
        <w:rPr>
          <w:rFonts w:ascii="黑体" w:hAnsi="黑体" w:eastAsia="黑体" w:cs="黑体"/>
          <w:bCs/>
          <w:color w:val="000000"/>
          <w:spacing w:val="-6"/>
          <w:kern w:val="0"/>
          <w:sz w:val="32"/>
          <w:szCs w:val="32"/>
        </w:rPr>
      </w:pPr>
      <w:r>
        <w:rPr>
          <w:rFonts w:hint="eastAsia" w:ascii="黑体" w:hAnsi="黑体" w:eastAsia="黑体" w:cs="黑体"/>
          <w:bCs/>
          <w:color w:val="000000"/>
          <w:spacing w:val="-6"/>
          <w:kern w:val="0"/>
          <w:sz w:val="32"/>
          <w:szCs w:val="32"/>
        </w:rPr>
        <w:t>附表1</w:t>
      </w:r>
    </w:p>
    <w:p>
      <w:pPr>
        <w:widowControl/>
        <w:spacing w:line="560" w:lineRule="exact"/>
        <w:textAlignment w:val="center"/>
        <w:rPr>
          <w:rFonts w:ascii="方正小标宋简体" w:hAnsi="方正小标宋简体" w:eastAsia="方正小标宋简体" w:cs="方正小标宋简体"/>
          <w:bCs/>
          <w:color w:val="000000"/>
          <w:spacing w:val="-6"/>
          <w:kern w:val="0"/>
          <w:sz w:val="44"/>
          <w:szCs w:val="44"/>
        </w:rPr>
      </w:pPr>
    </w:p>
    <w:p>
      <w:pPr>
        <w:keepNext w:val="0"/>
        <w:keepLines w:val="0"/>
        <w:pageBreakBefore w:val="0"/>
        <w:widowControl/>
        <w:kinsoku/>
        <w:wordWrap/>
        <w:overflowPunct/>
        <w:topLinePunct w:val="0"/>
        <w:autoSpaceDE/>
        <w:autoSpaceDN/>
        <w:bidi w:val="0"/>
        <w:adjustRightInd/>
        <w:snapToGrid/>
        <w:spacing w:after="159" w:afterLines="50" w:line="700" w:lineRule="exact"/>
        <w:jc w:val="center"/>
        <w:textAlignment w:val="center"/>
        <w:rPr>
          <w:rFonts w:ascii="宋体" w:hAnsi="宋体" w:eastAsia="宋体" w:cs="宋体"/>
          <w:b/>
          <w:color w:val="000000"/>
          <w:kern w:val="0"/>
          <w:sz w:val="28"/>
          <w:szCs w:val="28"/>
        </w:rPr>
      </w:pPr>
      <w:r>
        <w:rPr>
          <w:rFonts w:hint="eastAsia" w:ascii="方正小标宋简体" w:hAnsi="方正小标宋简体" w:eastAsia="方正小标宋简体" w:cs="方正小标宋简体"/>
          <w:bCs/>
          <w:color w:val="000000"/>
          <w:spacing w:val="-6"/>
          <w:kern w:val="0"/>
          <w:sz w:val="44"/>
          <w:szCs w:val="44"/>
        </w:rPr>
        <w:t>广东省放射卫生技术服务检测</w:t>
      </w:r>
      <w:r>
        <w:rPr>
          <w:rFonts w:hint="eastAsia" w:ascii="方正小标宋简体" w:hAnsi="方正小标宋简体" w:eastAsia="方正小标宋简体" w:cs="方正小标宋简体"/>
          <w:spacing w:val="-6"/>
          <w:sz w:val="44"/>
          <w:szCs w:val="44"/>
        </w:rPr>
        <w:t>方法建立情况确认</w:t>
      </w:r>
      <w:r>
        <w:rPr>
          <w:rFonts w:hint="eastAsia" w:ascii="方正小标宋简体" w:hAnsi="方正小标宋简体" w:eastAsia="方正小标宋简体" w:cs="方正小标宋简体"/>
          <w:bCs/>
          <w:color w:val="000000"/>
          <w:spacing w:val="-6"/>
          <w:kern w:val="0"/>
          <w:sz w:val="44"/>
          <w:szCs w:val="44"/>
        </w:rPr>
        <w:t>专家名单</w:t>
      </w:r>
      <w:r>
        <w:rPr>
          <w:rFonts w:hint="eastAsia" w:ascii="方正小标宋简体" w:hAnsi="方正小标宋简体" w:eastAsia="方正小标宋简体" w:cs="方正小标宋简体"/>
          <w:spacing w:val="-6"/>
          <w:sz w:val="44"/>
          <w:szCs w:val="44"/>
        </w:rPr>
        <w:t>（第一批）</w:t>
      </w:r>
    </w:p>
    <w:tbl>
      <w:tblPr>
        <w:tblStyle w:val="6"/>
        <w:tblW w:w="0" w:type="auto"/>
        <w:jc w:val="center"/>
        <w:tblLayout w:type="fixed"/>
        <w:tblCellMar>
          <w:top w:w="15" w:type="dxa"/>
          <w:left w:w="15" w:type="dxa"/>
          <w:bottom w:w="15" w:type="dxa"/>
          <w:right w:w="15" w:type="dxa"/>
        </w:tblCellMar>
      </w:tblPr>
      <w:tblGrid>
        <w:gridCol w:w="839"/>
        <w:gridCol w:w="819"/>
        <w:gridCol w:w="786"/>
        <w:gridCol w:w="2292"/>
        <w:gridCol w:w="840"/>
        <w:gridCol w:w="4977"/>
        <w:gridCol w:w="3673"/>
      </w:tblGrid>
      <w:tr>
        <w:tblPrEx>
          <w:tblCellMar>
            <w:top w:w="15" w:type="dxa"/>
            <w:left w:w="15" w:type="dxa"/>
            <w:bottom w:w="15" w:type="dxa"/>
            <w:right w:w="15" w:type="dxa"/>
          </w:tblCellMar>
        </w:tblPrEx>
        <w:trPr>
          <w:cantSplit/>
          <w:trHeight w:val="567" w:hRule="exact"/>
          <w:tblHeader/>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序号</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姓名</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性别</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职称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学历</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专业领域</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工作单位</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邹剑明</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黄伟旭</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高级工程师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贾育新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杨宇华</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耿继武</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pPr>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麦维基</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大专</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谭光享</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杨浩贤</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广东省职业病防治院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王  致</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主任医师/高级工程师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博士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诊断</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广州市职业病防治院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莫素芳</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广州市疾病预防控制中心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黎金荣</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广州市疾病预防控制中心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林涌钦</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罗晋甘</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王海军</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王俊生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蔡金敏</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深圳市职业病防治院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董雪梅</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佛山市职业病防治所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Style w:val="9"/>
                <w:rFonts w:hint="default"/>
              </w:rPr>
              <w:t>江石丰</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惠州市职业病防治院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19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郑海英</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中山市疾病预防控制中心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abs>
                <w:tab w:val="left" w:pos="666"/>
              </w:tabs>
              <w:jc w:val="center"/>
              <w:textAlignment w:val="center"/>
              <w:rPr>
                <w:rFonts w:ascii="宋体" w:hAnsi="宋体" w:eastAsia="宋体" w:cs="宋体"/>
                <w:color w:val="000000"/>
                <w:sz w:val="24"/>
              </w:rPr>
            </w:pPr>
            <w:r>
              <w:rPr>
                <w:rFonts w:hint="eastAsia" w:ascii="宋体" w:hAnsi="宋体" w:eastAsia="宋体" w:cs="宋体"/>
                <w:color w:val="000000"/>
                <w:sz w:val="24"/>
              </w:rPr>
              <w:t>20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郭少嘉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东莞市职业病防治中心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杨贵彬</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揭阳市疾病预防控制中心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陈素强</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黄少珊</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张晓儿</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邓玮淳</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副主任技师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汕头市职业病防治所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刘福光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肇庆市疾病预防控制中心</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谭剑明</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江门市职业病防治所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郭  锐</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诊断、个人剂量</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韶关市职业卫生与健康教育所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29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阳慧萍</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韶关市职业卫生与健康教育所</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陈水江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副主任医师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本科</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茂名市职业病防治院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周美娟</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女</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教授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博士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诊断</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南方医科大学</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李国庆</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副教授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南方医科大学生物医学工程学院</w:t>
            </w:r>
          </w:p>
        </w:tc>
      </w:tr>
      <w:tr>
        <w:tblPrEx>
          <w:tblCellMar>
            <w:top w:w="15" w:type="dxa"/>
            <w:left w:w="15" w:type="dxa"/>
            <w:bottom w:w="15" w:type="dxa"/>
            <w:right w:w="15" w:type="dxa"/>
          </w:tblCellMar>
        </w:tblPrEx>
        <w:trPr>
          <w:cantSplit/>
          <w:trHeight w:val="567" w:hRule="exac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ascii="宋体" w:hAnsi="宋体" w:eastAsia="宋体" w:cs="宋体"/>
                <w:color w:val="000000"/>
                <w:sz w:val="24"/>
              </w:rPr>
            </w:pPr>
            <w:r>
              <w:rPr>
                <w:rFonts w:hint="eastAsia" w:ascii="宋体" w:hAnsi="宋体" w:eastAsia="宋体" w:cs="宋体"/>
                <w:color w:val="000000"/>
                <w:sz w:val="24"/>
              </w:rPr>
              <w:t>33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冯晓刚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副研究员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rPr>
            </w:pPr>
            <w:r>
              <w:rPr>
                <w:rFonts w:hint="eastAsia" w:ascii="宋体" w:hAnsi="宋体" w:eastAsia="宋体" w:cs="宋体"/>
                <w:color w:val="000000"/>
                <w:kern w:val="0"/>
                <w:sz w:val="24"/>
              </w:rPr>
              <w:t>硕士</w:t>
            </w:r>
          </w:p>
        </w:tc>
        <w:tc>
          <w:tcPr>
            <w:tcW w:w="497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eastAsia="宋体" w:cs="宋体"/>
                <w:color w:val="000000"/>
                <w:kern w:val="0"/>
                <w:sz w:val="24"/>
              </w:rPr>
              <w:t>诊断、介入、核医学、放射治疗</w:t>
            </w:r>
          </w:p>
        </w:tc>
        <w:tc>
          <w:tcPr>
            <w:tcW w:w="3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南方医科大学生物医学工程学院</w:t>
            </w:r>
          </w:p>
        </w:tc>
      </w:tr>
    </w:tbl>
    <w:p>
      <w:pPr>
        <w:pStyle w:val="2"/>
        <w:ind w:firstLine="640"/>
        <w:rPr>
          <w:rFonts w:ascii="仿宋_GB2312" w:hAnsi="仿宋_GB2312" w:cs="仿宋_GB2312"/>
          <w:szCs w:val="32"/>
        </w:rPr>
        <w:sectPr>
          <w:pgSz w:w="16838" w:h="11905" w:orient="landscape"/>
          <w:pgMar w:top="1531" w:right="1531" w:bottom="1531" w:left="1531" w:header="851" w:footer="1332" w:gutter="0"/>
          <w:pgNumType w:fmt="numberInDash"/>
          <w:cols w:space="720" w:num="1"/>
          <w:rtlGutter w:val="0"/>
          <w:docGrid w:type="lines" w:linePitch="315" w:charSpace="0"/>
        </w:sectPr>
      </w:pPr>
    </w:p>
    <w:p>
      <w:pPr>
        <w:rPr>
          <w:rFonts w:hint="default" w:ascii="Times New Roman" w:hAnsi="Times New Roman" w:cs="Times New Roman"/>
          <w:sz w:val="32"/>
          <w:szCs w:val="32"/>
        </w:rPr>
      </w:pPr>
      <w:bookmarkStart w:name="_GoBack" w:id="0"/>
      <w:bookmarkEnd w:id="0"/>
      <w:r>
        <w:rPr>
          <w:rFonts w:hint="default" w:ascii="Times New Roman" w:hAnsi="Times New Roman" w:eastAsia="黑体" w:cs="Times New Roman"/>
          <w:sz w:val="32"/>
          <w:szCs w:val="32"/>
        </w:rPr>
        <w:t>附表2</w:t>
      </w:r>
    </w:p>
    <w:p>
      <w:pPr>
        <w:keepNext w:val="0"/>
        <w:keepLines w:val="0"/>
        <w:pageBreakBefore w:val="0"/>
        <w:widowControl w:val="0"/>
        <w:kinsoku/>
        <w:wordWrap/>
        <w:overflowPunct/>
        <w:topLinePunct w:val="0"/>
        <w:autoSpaceDE/>
        <w:autoSpaceDN/>
        <w:bidi w:val="0"/>
        <w:adjustRightInd/>
        <w:snapToGrid/>
        <w:spacing w:before="159" w:beforeLines="50" w:after="159" w:afterLines="50"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广东省放射卫生技术服务检测方法建立情况专家确认表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49"/>
        <w:gridCol w:w="1710"/>
        <w:gridCol w:w="2150"/>
        <w:gridCol w:w="1910"/>
        <w:gridCol w:w="1460"/>
        <w:gridCol w:w="1710"/>
        <w:gridCol w:w="153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86"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序号</w:t>
            </w:r>
          </w:p>
        </w:tc>
        <w:tc>
          <w:tcPr>
            <w:tcW w:w="1449"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类别</w:t>
            </w:r>
          </w:p>
        </w:tc>
        <w:tc>
          <w:tcPr>
            <w:tcW w:w="171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参数名称</w:t>
            </w:r>
          </w:p>
        </w:tc>
        <w:tc>
          <w:tcPr>
            <w:tcW w:w="215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依据标准名称</w:t>
            </w:r>
          </w:p>
        </w:tc>
        <w:tc>
          <w:tcPr>
            <w:tcW w:w="191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sz w:val="24"/>
                <w:szCs w:val="24"/>
              </w:rPr>
              <w:t>依据标准编号</w:t>
            </w:r>
          </w:p>
        </w:tc>
        <w:tc>
          <w:tcPr>
            <w:tcW w:w="1460" w:type="dxa"/>
            <w:noWrap w:val="0"/>
            <w:vAlign w:val="center"/>
          </w:tcPr>
          <w:p>
            <w:pPr>
              <w:spacing w:line="400" w:lineRule="exact"/>
              <w:jc w:val="center"/>
              <w:rPr>
                <w:rFonts w:hint="eastAsia" w:ascii="黑体" w:hAnsi="黑体" w:eastAsia="黑体" w:cs="黑体"/>
                <w:sz w:val="24"/>
              </w:rPr>
            </w:pPr>
            <w:r>
              <w:rPr>
                <w:rFonts w:hint="eastAsia" w:ascii="黑体" w:hAnsi="黑体" w:eastAsia="黑体" w:cs="黑体"/>
                <w:color w:val="000000"/>
                <w:kern w:val="0"/>
                <w:sz w:val="24"/>
              </w:rPr>
              <w:t>是否通过CMA或CNAS</w:t>
            </w:r>
          </w:p>
        </w:tc>
        <w:tc>
          <w:tcPr>
            <w:tcW w:w="1710" w:type="dxa"/>
            <w:noWrap w:val="0"/>
            <w:vAlign w:val="center"/>
          </w:tcPr>
          <w:p>
            <w:pPr>
              <w:widowControl/>
              <w:spacing w:line="400" w:lineRule="exact"/>
              <w:jc w:val="center"/>
              <w:textAlignment w:val="center"/>
              <w:rPr>
                <w:rFonts w:hint="eastAsia" w:ascii="黑体" w:hAnsi="黑体" w:eastAsia="黑体" w:cs="黑体"/>
                <w:color w:val="000000"/>
                <w:kern w:val="0"/>
                <w:sz w:val="24"/>
              </w:rPr>
            </w:pPr>
            <w:r>
              <w:rPr>
                <w:rFonts w:hint="eastAsia" w:ascii="黑体" w:hAnsi="黑体" w:eastAsia="黑体" w:cs="黑体"/>
                <w:color w:val="000000"/>
                <w:kern w:val="0"/>
                <w:sz w:val="24"/>
              </w:rPr>
              <w:t>开展检测方法确认、验证或论证</w:t>
            </w:r>
          </w:p>
        </w:tc>
        <w:tc>
          <w:tcPr>
            <w:tcW w:w="1530" w:type="dxa"/>
            <w:noWrap w:val="0"/>
            <w:vAlign w:val="center"/>
          </w:tcPr>
          <w:p>
            <w:pPr>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是否出具检测应用报告</w:t>
            </w:r>
          </w:p>
        </w:tc>
        <w:tc>
          <w:tcPr>
            <w:tcW w:w="1780" w:type="dxa"/>
            <w:noWrap w:val="0"/>
            <w:vAlign w:val="center"/>
          </w:tcPr>
          <w:p>
            <w:pPr>
              <w:spacing w:line="400" w:lineRule="exact"/>
              <w:jc w:val="center"/>
              <w:rPr>
                <w:rFonts w:hint="eastAsia" w:ascii="黑体" w:hAnsi="黑体" w:eastAsia="黑体" w:cs="黑体"/>
                <w:color w:val="000000"/>
                <w:kern w:val="0"/>
                <w:sz w:val="24"/>
              </w:rPr>
            </w:pPr>
            <w:r>
              <w:rPr>
                <w:rFonts w:hint="eastAsia" w:ascii="黑体" w:hAnsi="黑体" w:eastAsia="黑体" w:cs="黑体"/>
                <w:color w:val="000000"/>
                <w:w w:val="100"/>
                <w:kern w:val="0"/>
                <w:sz w:val="24"/>
                <w:szCs w:val="24"/>
              </w:rPr>
              <w:t>检测方法建立情况确认</w:t>
            </w:r>
            <w:r>
              <w:rPr>
                <w:rFonts w:hint="eastAsia" w:ascii="黑体" w:hAnsi="黑体" w:eastAsia="黑体" w:cs="黑体"/>
                <w:color w:val="000000"/>
                <w:kern w:val="0"/>
                <w:sz w:val="24"/>
              </w:rPr>
              <w:t>是否具备检测能力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个人剂量</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X、γ射线外照射个人剂量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职业性外照射个人监测规范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128-2019</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个人剂量</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α、β表面污染</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职业性皮肤放射性污染个人监测规范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sz w:val="24"/>
                <w:szCs w:val="24"/>
              </w:rPr>
              <w:t>GBZ 166-2005</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放射源及射线装置放射卫生防护</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放射诊断放射防护要求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130-2020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放射源及射线装置放射卫生防护</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周围剂量当量率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放射源及射线装置放射卫生防护</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α、β表面污染</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剂量偏差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剂量监测系统</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辐射野的均匀性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辐射野的指示</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深度吸收剂量特性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等中心</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治疗床的运动</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杂散辐射</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限束装置的泄露辐射</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15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感生放射性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辐射束轴的指示</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旋转标尺零刻度位置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前后辐射野的重合性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医用加速器性能及场所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沿辐射束轴的距离指示</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医用电子直线加速器质量控制检测规范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674-2020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医用γ射线远距治疗装置性能及场所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贮源器表面泄露辐射所致周围剂量当量率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贮源器表面泄露辐射所致周围剂量当量率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β污染水平</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源活度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源活度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源传输到位精确度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29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照射时间计时误差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放射源累计定位误差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多源系统重复性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源驻留时间误差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后装γ源近距离治疗质量控制检测规范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262-2017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深部X射线治疗装置性能及场所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焦点剂量率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焦点计划剂量与实测剂量的相对偏差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定位参考点与照射野中心的距离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照射野尺寸偏差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39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γ射线立体定向治疗装置性能及场所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照射野半影宽度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等中心偏差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治疗定位偏差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照射野尺寸与标称值最大偏差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等中心处计划剂量与实测剂量的相对偏差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治疗室的防护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放射治疗放射防护要求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121-2020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X射线立体定向治疗装置性能及场所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焦平面上照射野半影宽度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X、γ射线立体定向放射治疗系统质量控制检测规范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582-2017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透视受检者入射体表空气比释动能率典型值</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透视受检者入射体表空气比释动能率最大值</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直接荧光屏透视的灵敏度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49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入射屏前空气比释动能率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自动亮度控制</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最大照射野与普通荧光屏尺寸相同时的台屏距</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管电压指示的偏离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辐射输出量重复性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输出量线性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有用线束半值层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曝光时间指示的偏离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59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AEC响应</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有用线束垂直度偏离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光野与照射野四边的偏离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聚焦滤线栅与有用线束中心对准</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透视防护区检测平面上周围剂量当良率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X射线设备机房防护设施和机房周围辐射剂量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放射诊断放射防护要求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130-2020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AEC电离室之间一致性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医用常规X射线诊断设备影像质量控制检测规范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CT值（水）</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噪声</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69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层厚偏差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定位光精度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诊断床定位精度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CTDIw</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扫描架倾角精度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CT值线性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X射线计算机体层摄影装置质量控制检测规范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519-2019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X射线计算机断层摄影装置性能及场所</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CT机房的防护</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放射诊断放射防护要求</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130-2020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79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标准照片密度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胸壁侧射野与影像接收器一致性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光野与照射野的一致性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AEC响应</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管电压指示的偏离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输出量重复性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乳腺平均剂量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特定辐射输出量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乳腺摄影X射线设备性能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半值层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89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IP暗噪声</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探测器剂量指示（DDI）</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测距误差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计算机X射线摄影系统（CR）性能专用检测项目</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IP擦除完全性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数字减影血管造影X射线诊断设备性能减影部分（DSA）</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DSA动态范围</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99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数字减影血管造影X射线诊断设备性能减影部分（DSA）</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DSA对比灵敏度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数字减影血管造影X射线诊断设备性能减影部分（DSA）</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系统平面灵敏度</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系统空间分辨力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固有空间线性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固有最大计数率</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断层空间分辨力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单光子发射计算机断层装置性能(SPECT)</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全身成像系统空间分辨力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伽玛照相机、单光子发射断层成像设备（SPECT）质量控制检测规范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523-2019</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109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静态输出剂量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旋转输出剂量</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射线质(百分深度剂量，PDD)</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射野横向截面剂量分布</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射野纵向截面剂量分布</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多叶准直器（MLC）横向偏移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绿激光灯指示虚拟等中心的准确性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红激光灯指示准确性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治疗床的移动准确性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螺旋断层治疗系统（TOMO）性能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床移动和机架旋转同步性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螺旋断层治疗装置质量控制检测规范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531-2017</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119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探测器剂量指示（DDI）</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信号传递特效（STP）</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响应均匀性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测距误差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残影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医用数字X射线摄影（DR）系统性能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影像接收器响应</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129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影像接收器均匀性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乳腺数字X射线摄影系统（乳腺DR）性能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低对比度细节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AEC重复性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IP暗噪声</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IP响应线性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IP响应均匀性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伪影</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IP响应一致性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139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IP擦除完全性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140</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141</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乳腺计算机X射线摄影系统性能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低对比度细节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142</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管电压指示的偏离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143</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辐射输出量重复性</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144</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曝光时间指示的偏离</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145</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有用线束半值层</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146</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高对比度分辨力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147</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牙科X射线设备性能</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低对比度分辨力</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医用X射线诊断设备质量控制检测规范</w:t>
            </w:r>
          </w:p>
        </w:tc>
        <w:tc>
          <w:tcPr>
            <w:tcW w:w="1910" w:type="dxa"/>
            <w:noWrap w:val="0"/>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WS 76-2020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148</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粒籽源</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源标称活度与实际测量源活度相对偏差</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149</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sz w:val="24"/>
                <w:szCs w:val="24"/>
              </w:rPr>
              <w:t>通风橱</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sz w:val="24"/>
                <w:szCs w:val="24"/>
              </w:rPr>
              <w:t>风速</w:t>
            </w:r>
          </w:p>
        </w:tc>
        <w:tc>
          <w:tcPr>
            <w:tcW w:w="21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核医学放射防护要求</w:t>
            </w:r>
          </w:p>
        </w:tc>
        <w:tc>
          <w:tcPr>
            <w:tcW w:w="19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r>
              <w:rPr>
                <w:rFonts w:hint="eastAsia"/>
                <w:sz w:val="24"/>
                <w:szCs w:val="24"/>
              </w:rPr>
              <w:t>GBZ 120-2020</w:t>
            </w:r>
          </w:p>
        </w:tc>
        <w:tc>
          <w:tcPr>
            <w:tcW w:w="14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sz w:val="24"/>
              </w:rPr>
            </w:pPr>
            <w:r>
              <w:rPr>
                <w:rFonts w:hint="eastAsia" w:ascii="宋体" w:hAnsi="宋体" w:cs="宋体"/>
                <w:color w:val="000000"/>
                <w:kern w:val="0"/>
                <w:sz w:val="24"/>
              </w:rPr>
              <w:t>□是□否</w:t>
            </w:r>
          </w:p>
        </w:tc>
        <w:tc>
          <w:tcPr>
            <w:tcW w:w="17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□验证□确认□论证□否</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kern w:val="0"/>
                <w:szCs w:val="21"/>
              </w:rPr>
            </w:pPr>
            <w:r>
              <w:rPr>
                <w:rFonts w:hint="eastAsia" w:ascii="宋体" w:hAnsi="宋体" w:cs="宋体"/>
                <w:color w:val="000000"/>
                <w:kern w:val="0"/>
                <w:sz w:val="24"/>
              </w:rPr>
              <w:t>□是□否</w:t>
            </w:r>
          </w:p>
        </w:tc>
      </w:tr>
    </w:tbl>
    <w:p>
      <w:pPr>
        <w:adjustRightInd w:val="0"/>
        <w:snapToGrid w:val="0"/>
        <w:rPr>
          <w:rFonts w:ascii="宋体" w:hAnsi="宋体" w:eastAsia="仿宋_GB2312"/>
          <w:bCs/>
          <w:color w:val="000000"/>
          <w:sz w:val="28"/>
          <w:szCs w:val="28"/>
        </w:rPr>
      </w:pPr>
    </w:p>
    <w:p>
      <w:pPr>
        <w:adjustRightInd w:val="0"/>
        <w:snapToGrid w:val="0"/>
        <w:rPr>
          <w:rFonts w:hint="eastAsia" w:ascii="宋体" w:hAnsi="宋体" w:eastAsia="仿宋_GB2312"/>
          <w:bCs/>
          <w:color w:val="000000"/>
          <w:sz w:val="28"/>
          <w:szCs w:val="28"/>
        </w:rPr>
      </w:pPr>
      <w:r>
        <w:rPr>
          <w:rFonts w:hint="eastAsia" w:ascii="宋体" w:hAnsi="宋体" w:eastAsia="仿宋_GB2312"/>
          <w:bCs/>
          <w:color w:val="000000"/>
          <w:sz w:val="28"/>
          <w:szCs w:val="28"/>
        </w:rPr>
        <w:t>确认结论：</w:t>
      </w:r>
    </w:p>
    <w:p>
      <w:pPr>
        <w:adjustRightInd w:val="0"/>
        <w:snapToGrid w:val="0"/>
        <w:rPr>
          <w:rFonts w:hint="eastAsia" w:ascii="宋体" w:hAnsi="宋体" w:eastAsia="仿宋_GB2312"/>
          <w:bCs/>
          <w:color w:val="000000"/>
          <w:sz w:val="28"/>
          <w:szCs w:val="28"/>
        </w:rPr>
      </w:pPr>
    </w:p>
    <w:p>
      <w:pPr>
        <w:adjustRightInd w:val="0"/>
        <w:snapToGrid w:val="0"/>
        <w:rPr>
          <w:rFonts w:hint="eastAsia" w:ascii="宋体" w:hAnsi="宋体" w:eastAsia="仿宋_GB2312"/>
          <w:bCs/>
          <w:color w:val="000000"/>
          <w:sz w:val="28"/>
          <w:szCs w:val="28"/>
        </w:rPr>
      </w:pPr>
    </w:p>
    <w:p>
      <w:pPr>
        <w:adjustRightInd w:val="0"/>
        <w:snapToGrid w:val="0"/>
        <w:rPr>
          <w:rFonts w:hint="eastAsia" w:ascii="宋体" w:hAnsi="宋体" w:eastAsia="仿宋_GB2312"/>
          <w:bCs/>
          <w:color w:val="000000"/>
          <w:sz w:val="28"/>
          <w:szCs w:val="28"/>
        </w:rPr>
      </w:pPr>
      <w:r>
        <w:rPr>
          <w:rFonts w:hint="eastAsia" w:ascii="宋体" w:hAnsi="宋体" w:eastAsia="仿宋_GB2312"/>
          <w:bCs/>
          <w:color w:val="000000"/>
          <w:sz w:val="28"/>
          <w:szCs w:val="28"/>
        </w:rPr>
        <w:t>检测方法建立情况确认专家（签名）：</w:t>
      </w:r>
    </w:p>
    <w:p>
      <w:pPr>
        <w:adjustRightInd w:val="0"/>
        <w:snapToGrid w:val="0"/>
        <w:ind w:firstLine="840" w:firstLineChars="300"/>
        <w:rPr>
          <w:rFonts w:hint="eastAsia" w:ascii="宋体" w:hAnsi="宋体" w:eastAsia="仿宋_GB2312"/>
          <w:bCs/>
          <w:color w:val="000000"/>
          <w:sz w:val="28"/>
          <w:szCs w:val="28"/>
        </w:rPr>
      </w:pPr>
    </w:p>
    <w:p>
      <w:pPr>
        <w:adjustRightInd w:val="0"/>
        <w:snapToGrid w:val="0"/>
        <w:ind w:firstLine="2240" w:firstLineChars="800"/>
        <w:jc w:val="center"/>
      </w:pPr>
      <w:r>
        <w:rPr>
          <w:rFonts w:hint="eastAsia" w:ascii="宋体" w:hAnsi="宋体" w:eastAsia="仿宋_GB2312"/>
          <w:bCs/>
          <w:color w:val="000000"/>
          <w:sz w:val="28"/>
          <w:szCs w:val="28"/>
          <w:lang w:val="en-US" w:eastAsia="zh-CN"/>
        </w:rPr>
        <w:t xml:space="preserve">                                                       </w:t>
      </w:r>
      <w:r>
        <w:rPr>
          <w:rFonts w:hint="eastAsia" w:ascii="宋体" w:hAnsi="宋体" w:eastAsia="仿宋_GB2312"/>
          <w:bCs/>
          <w:color w:val="000000"/>
          <w:sz w:val="28"/>
          <w:szCs w:val="28"/>
        </w:rPr>
        <w:t>年</w:t>
      </w:r>
      <w:r>
        <w:rPr>
          <w:rFonts w:hint="eastAsia" w:ascii="宋体" w:hAnsi="宋体" w:eastAsia="仿宋_GB2312"/>
          <w:bCs/>
          <w:color w:val="000000"/>
          <w:sz w:val="28"/>
          <w:szCs w:val="28"/>
          <w:lang w:val="en-US" w:eastAsia="zh-CN"/>
        </w:rPr>
        <w:t xml:space="preserve">  </w:t>
      </w:r>
      <w:r>
        <w:rPr>
          <w:rFonts w:hint="eastAsia" w:ascii="宋体" w:hAnsi="宋体" w:eastAsia="仿宋_GB2312"/>
          <w:bCs/>
          <w:color w:val="000000"/>
          <w:sz w:val="28"/>
          <w:szCs w:val="28"/>
        </w:rPr>
        <w:t>月</w:t>
      </w:r>
    </w:p>
    <w:sectPr>
      <w:pgSz w:w="16838" w:h="11906" w:orient="landscape"/>
      <w:pgMar w:top="1531" w:right="204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86FB5"/>
    <w:rsid w:val="4358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rPr>
  </w:style>
  <w:style w:type="paragraph" w:styleId="3">
    <w:name w:val="envelope return"/>
    <w:basedOn w:val="1"/>
    <w:qFormat/>
    <w:uiPriority w:val="0"/>
    <w:pPr>
      <w:snapToGrid w:val="0"/>
    </w:pPr>
    <w:rPr>
      <w:rFonts w:ascii="Arial" w:hAnsi="Arial" w:eastAsia="宋体" w:cs="Times New Roman"/>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style01"/>
    <w:basedOn w:val="8"/>
    <w:qFormat/>
    <w:uiPriority w:val="0"/>
    <w:rPr>
      <w:rFonts w:hint="eastAsia" w:ascii="宋体" w:hAnsi="宋体" w:eastAsia="宋体" w:cs="Times New Roman"/>
      <w:color w:val="000000"/>
      <w:sz w:val="24"/>
      <w:szCs w:val="24"/>
    </w:rPr>
  </w:style>
  <w:style w:type="paragraph" w:customStyle="1" w:styleId="10">
    <w:name w:val="title"/>
    <w:basedOn w:val="1"/>
    <w:qFormat/>
    <w:uiPriority w:val="0"/>
    <w:pPr>
      <w:pBdr>
        <w:top w:val="none" w:color="auto" w:sz="0" w:space="11"/>
        <w:left w:val="none" w:color="auto" w:sz="0" w:space="0"/>
        <w:bottom w:val="none" w:color="auto" w:sz="0" w:space="11"/>
        <w:right w:val="none" w:color="auto" w:sz="0" w:space="0"/>
      </w:pBdr>
      <w:jc w:val="center"/>
    </w:pPr>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2021-12-22T07:25:00Z</dcterms:created>
  <dc:creator>admin</dc:creator>
  <cp:lastModifiedBy>admin</cp:lastModifiedBy>
  <dcterms:modified xsi:type="dcterms:W3CDTF">2021-12-22T07:27:36Z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