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30B33">
      <w:pPr>
        <w:spacing w:line="560" w:lineRule="exact"/>
        <w:rPr>
          <w:rFonts w:hint="eastAsia"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附件</w:t>
      </w:r>
    </w:p>
    <w:p w:rsidR="00000000" w:rsidRDefault="00530B33">
      <w:pPr>
        <w:spacing w:line="560" w:lineRule="exact"/>
        <w:rPr>
          <w:rFonts w:hint="eastAsia" w:ascii="黑体" w:hAnsi="华文仿宋" w:eastAsia="黑体"/>
          <w:sz w:val="32"/>
          <w:szCs w:val="32"/>
        </w:rPr>
      </w:pPr>
    </w:p>
    <w:p w:rsidR="00000000" w:rsidRDefault="00530B33">
      <w:pPr>
        <w:spacing w:line="560" w:lineRule="exact"/>
        <w:ind w:firstLine="880" w:firstLineChars="200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己酮可可碱注射剂说明书修订</w:t>
      </w:r>
      <w:r>
        <w:rPr>
          <w:rFonts w:hint="eastAsia" w:ascii="方正小标宋简体" w:hAnsi="仿宋" w:eastAsia="方正小标宋简体"/>
          <w:sz w:val="44"/>
          <w:szCs w:val="44"/>
        </w:rPr>
        <w:t>要求</w:t>
      </w:r>
    </w:p>
    <w:p w:rsidR="00000000" w:rsidRDefault="00530B33">
      <w:pPr>
        <w:spacing w:line="560" w:lineRule="exact"/>
        <w:ind w:firstLine="880" w:firstLineChars="200"/>
        <w:rPr>
          <w:rFonts w:hint="eastAsia" w:ascii="方正小标宋简体" w:hAnsi="仿宋" w:eastAsia="方正小标宋简体"/>
          <w:sz w:val="44"/>
          <w:szCs w:val="44"/>
        </w:rPr>
      </w:pPr>
    </w:p>
    <w:p w:rsidR="00000000" w:rsidRDefault="00530B33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一、【不良反应】</w:t>
      </w:r>
      <w:r>
        <w:rPr>
          <w:rFonts w:hint="eastAsia" w:ascii="黑体" w:hAnsi="黑体" w:eastAsia="黑体"/>
          <w:sz w:val="32"/>
          <w:szCs w:val="32"/>
        </w:rPr>
        <w:t>项下应包含以下内容</w:t>
      </w:r>
    </w:p>
    <w:p w:rsidR="00000000" w:rsidRDefault="00530B33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本品上市后监测到以下不良反应</w:t>
      </w:r>
      <w:r>
        <w:rPr>
          <w:rFonts w:eastAsia="仿宋_GB2312"/>
          <w:sz w:val="32"/>
          <w:szCs w:val="32"/>
        </w:rPr>
        <w:t>/</w:t>
      </w:r>
      <w:r>
        <w:rPr>
          <w:rFonts w:hint="eastAsia" w:eastAsia="仿宋_GB2312"/>
          <w:sz w:val="32"/>
          <w:szCs w:val="32"/>
        </w:rPr>
        <w:t>事</w:t>
      </w:r>
      <w:r>
        <w:rPr>
          <w:rFonts w:hint="eastAsia" w:eastAsia="仿宋_GB2312"/>
          <w:sz w:val="32"/>
          <w:szCs w:val="32"/>
        </w:rPr>
        <w:t>件：</w:t>
      </w:r>
    </w:p>
    <w:p w:rsidR="00000000" w:rsidRDefault="00530B33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免疫系统损害：过敏反应如超敏反应、类速发严重过敏反应，罕见过敏性休克、血管神经性水肿、支气管痉挛。</w:t>
      </w:r>
    </w:p>
    <w:p w:rsidR="00000000" w:rsidRDefault="00530B33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胃肠系统损害：恶心、呕吐、腹部不适、腹胀、腹痛、腹泻、口干、嗳气、消化不良、胃食管返流、味觉减退、唾液增多、胃肠道出血。</w:t>
      </w:r>
    </w:p>
    <w:p w:rsidR="00000000" w:rsidRDefault="00530B33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各</w:t>
      </w:r>
      <w:r>
        <w:rPr>
          <w:rFonts w:hint="eastAsia" w:eastAsia="仿宋_GB2312"/>
          <w:spacing w:val="-6"/>
          <w:sz w:val="32"/>
          <w:szCs w:val="32"/>
        </w:rPr>
        <w:t>类神经系统损害：头晕、头痛、头部不适、感觉减退、震颤。</w:t>
      </w:r>
    </w:p>
    <w:p w:rsidR="00000000" w:rsidRDefault="00530B33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眼器官损害：视物模糊、视觉损害、结膜出血、视网膜出血。</w:t>
      </w:r>
    </w:p>
    <w:p w:rsidR="00000000" w:rsidRDefault="00530B33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皮肤及皮下组织损害：瘙痒、荨麻疹、斑丘疹、红斑、皮肤黏膜出血、多汗。</w:t>
      </w:r>
    </w:p>
    <w:p w:rsidR="00000000" w:rsidRDefault="00530B33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心</w:t>
      </w:r>
      <w:r>
        <w:rPr>
          <w:rFonts w:hint="eastAsia" w:eastAsia="仿宋_GB2312"/>
          <w:spacing w:val="-6"/>
          <w:sz w:val="32"/>
          <w:szCs w:val="32"/>
        </w:rPr>
        <w:t>血管系统损害：心慌、心悸、心律失常、心动过速、心绞痛。</w:t>
      </w:r>
    </w:p>
    <w:p w:rsidR="00000000" w:rsidRDefault="00530B33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精神系统损害：烦躁不安、抽动、焦虑、睡眠障</w:t>
      </w:r>
      <w:r>
        <w:rPr>
          <w:rFonts w:hint="eastAsia" w:eastAsia="仿宋_GB2312"/>
          <w:sz w:val="32"/>
          <w:szCs w:val="32"/>
        </w:rPr>
        <w:t>碍。</w:t>
      </w:r>
    </w:p>
    <w:p w:rsidR="00000000" w:rsidRDefault="00530B33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呼吸系统损害：呼吸困难、呼吸急促、窒息感、支气管痉挛。</w:t>
      </w:r>
    </w:p>
    <w:p w:rsidR="00000000" w:rsidRDefault="00530B33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全身性损害：胸部不适、胸痛、乏力、寒战、发热、水肿。</w:t>
      </w:r>
    </w:p>
    <w:p w:rsidR="00000000" w:rsidRDefault="00530B33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血</w:t>
      </w:r>
      <w:r>
        <w:rPr>
          <w:rFonts w:hint="eastAsia" w:eastAsia="仿宋_GB2312"/>
          <w:spacing w:val="-6"/>
          <w:sz w:val="32"/>
          <w:szCs w:val="32"/>
        </w:rPr>
        <w:t>管及淋巴管类损害：潮红、静脉炎、注射部位疼痛、低血压。</w:t>
      </w:r>
    </w:p>
    <w:p w:rsidR="00000000" w:rsidRDefault="00530B33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肝胆系统损害：肝功能异常、肝转氨酶或碱性磷酸酶升高。</w:t>
      </w:r>
    </w:p>
    <w:p w:rsidR="00000000" w:rsidRDefault="00530B33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血液及淋巴系统损害：罕见血小板减少，白细胞减少。</w:t>
      </w:r>
    </w:p>
    <w:p w:rsidR="00000000" w:rsidRDefault="00530B33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其他如血压升高、血压降低、低血糖、泌尿生殖道出血、鼻</w:t>
      </w:r>
      <w:r>
        <w:rPr>
          <w:rFonts w:hint="eastAsia" w:eastAsia="仿宋_GB2312"/>
          <w:sz w:val="32"/>
          <w:szCs w:val="32"/>
        </w:rPr>
        <w:lastRenderedPageBreak/>
        <w:t>出血等。</w:t>
      </w:r>
    </w:p>
    <w:p w:rsidR="00000000" w:rsidRDefault="00530B33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二、【注意事项】</w:t>
      </w:r>
      <w:r>
        <w:rPr>
          <w:rFonts w:hint="eastAsia" w:ascii="黑体" w:hAnsi="黑体" w:eastAsia="黑体"/>
          <w:sz w:val="32"/>
          <w:szCs w:val="32"/>
        </w:rPr>
        <w:t>项下应包含以下内容</w:t>
      </w:r>
    </w:p>
    <w:p w:rsidR="00000000" w:rsidRDefault="00530B33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本品可引起过敏性休克。用药前应询问患者药物过敏史，用药过程中要密切监测，如果出现皮疹、瘙痒、呼吸困难、血压下降等症状和体征，应立即停</w:t>
      </w:r>
      <w:r>
        <w:rPr>
          <w:rFonts w:hint="eastAsia" w:eastAsia="仿宋_GB2312"/>
          <w:sz w:val="32"/>
          <w:szCs w:val="32"/>
        </w:rPr>
        <w:t>药并及时治疗。</w:t>
      </w:r>
    </w:p>
    <w:p w:rsidR="00000000" w:rsidRDefault="00530B33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pacing w:val="-6"/>
          <w:sz w:val="32"/>
          <w:szCs w:val="32"/>
        </w:rPr>
        <w:t>如果在己酮可可碱治疗期间出现视网膜出血，应立即停药。</w:t>
      </w:r>
    </w:p>
    <w:p w:rsidR="00000000" w:rsidRDefault="00530B33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己酮可可碱可以增加抗凝剂的效果，如果患者在有出血倾向时，同时服用抗凝剂，很可能引发出血。在使用己酮可可碱时，可以口服抗凝剂（维生素</w:t>
      </w:r>
      <w:r>
        <w:rPr>
          <w:rFonts w:eastAsia="仿宋_GB2312"/>
          <w:sz w:val="32"/>
          <w:szCs w:val="32"/>
        </w:rPr>
        <w:t>K</w:t>
      </w:r>
      <w:r>
        <w:rPr>
          <w:rFonts w:hint="eastAsia" w:eastAsia="仿宋_GB2312"/>
          <w:sz w:val="32"/>
          <w:szCs w:val="32"/>
        </w:rPr>
        <w:t>拮抗剂），但应严格监测出血风险，建议进行凝血测试（</w:t>
      </w:r>
      <w:r>
        <w:rPr>
          <w:rFonts w:eastAsia="仿宋_GB2312"/>
          <w:sz w:val="32"/>
          <w:szCs w:val="32"/>
        </w:rPr>
        <w:t>INR</w:t>
      </w:r>
      <w:r>
        <w:rPr>
          <w:rFonts w:hint="eastAsia" w:eastAsia="仿宋_GB2312"/>
          <w:sz w:val="32"/>
          <w:szCs w:val="32"/>
        </w:rPr>
        <w:t>）。</w:t>
      </w:r>
    </w:p>
    <w:p w:rsidR="00000000" w:rsidRDefault="00530B33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>有出血倾向或新近有出血史的患者不宜应用此药。</w:t>
      </w:r>
    </w:p>
    <w:p w:rsidR="00000000" w:rsidRDefault="00530B33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eastAsia="仿宋_GB2312"/>
          <w:sz w:val="32"/>
          <w:szCs w:val="32"/>
        </w:rPr>
        <w:t>低血压和循环状态不稳定者应慎用本品，因为本品可引起一过性低血压，并伴有虚脱的倾向。</w:t>
      </w:r>
    </w:p>
    <w:p w:rsidR="00000000" w:rsidRDefault="00530B33">
      <w:pPr>
        <w:tabs>
          <w:tab w:val="left" w:pos="1470"/>
          <w:tab w:val="left" w:pos="1680"/>
        </w:tabs>
        <w:spacing w:line="56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hint="eastAsia" w:eastAsia="仿宋_GB2312"/>
          <w:sz w:val="32"/>
          <w:szCs w:val="32"/>
        </w:rPr>
        <w:t>对肾功能不全患者</w:t>
      </w: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肌酐清除率低于</w:t>
      </w:r>
      <w:r>
        <w:rPr>
          <w:rFonts w:eastAsia="仿宋_GB2312"/>
          <w:sz w:val="32"/>
          <w:szCs w:val="32"/>
        </w:rPr>
        <w:t>30ml/min</w:t>
      </w:r>
      <w:r>
        <w:rPr>
          <w:rFonts w:hint="eastAsia"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或严重肝功能障碍患者，应降低己酮可可碱使用量，并</w:t>
      </w:r>
      <w:r>
        <w:rPr>
          <w:rFonts w:hint="eastAsia" w:eastAsia="仿宋_GB2312"/>
          <w:sz w:val="32"/>
          <w:szCs w:val="32"/>
        </w:rPr>
        <w:t>监测肝肾功能。</w:t>
      </w:r>
    </w:p>
    <w:p w:rsidR="00000000" w:rsidRDefault="00530B33">
      <w:pPr>
        <w:spacing w:line="560" w:lineRule="exact"/>
        <w:ind w:firstLine="420" w:firstLineChars="200"/>
        <w:rPr>
          <w:rFonts w:hint="eastAsia" w:ascii="仿宋_GB2312" w:hAnsi="华文仿宋" w:eastAsia="仿宋_GB2312"/>
          <w:szCs w:val="21"/>
        </w:rPr>
      </w:pPr>
    </w:p>
    <w:p w:rsidR="00530B33" w:rsidRDefault="00530B33">
      <w:pPr>
        <w:spacing w:line="56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注：如原批准说明书的安全性内容较本修订要求内容更全面或更严格的，应保留原批准内容。说明书其他内容如与上述修订要求不一致的，应当一并进行修订。</w:t>
      </w:r>
      <w:r>
        <w:rPr>
          <w:rFonts w:hint="eastAsia" w:ascii="仿宋_GB2312" w:hAnsi="华文仿宋" w:eastAsia="仿宋_GB2312"/>
          <w:sz w:val="32"/>
          <w:szCs w:val="32"/>
        </w:rPr>
        <w:t>）</w:t>
      </w:r>
      <w:bookmarkStart w:name="_GoBack" w:id="0"/>
      <w:bookmarkEnd w:id="0"/>
    </w:p>
    <w:sectPr w:rsidR="00530B33">
      <w:footerReference w:type="even" r:id="rId6"/>
      <w:footerReference w:type="default" r:id="rId7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B33" w:rsidRDefault="00530B33">
      <w:r>
        <w:separator/>
      </w:r>
    </w:p>
  </w:endnote>
  <w:endnote w:type="continuationSeparator" w:id="0">
    <w:p w:rsidR="00530B33" w:rsidRDefault="0053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30B33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color w:val="FFFFFF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</w:p>
  <w:p w:rsidR="00000000" w:rsidRDefault="00530B3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6AE4">
    <w:pPr>
      <w:pStyle w:val="a3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1905" t="0" r="635" b="0"/>
              <wp:wrapNone/>
              <wp:docPr id="1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30B33">
                          <w:pPr>
                            <w:pStyle w:val="a3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36AE4" w:rsidRPr="00936AE4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25.85pt;margin-top:0;width:77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" filled="f" stroked="f">
              <v:textbox style="mso-fit-shape-to-text:t" inset="0,0,0,0">
                <w:txbxContent>
                  <w:p w:rsidR="00000000" w:rsidRDefault="00530B33">
                    <w:pPr>
                      <w:pStyle w:val="a3"/>
                      <w:wordWrap w:val="0"/>
                      <w:jc w:val="right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936AE4" w:rsidRPr="00936AE4">
                      <w:rPr>
                        <w:noProof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B33" w:rsidRDefault="00530B33">
      <w:r>
        <w:separator/>
      </w:r>
    </w:p>
  </w:footnote>
  <w:footnote w:type="continuationSeparator" w:id="0">
    <w:p w:rsidR="00530B33" w:rsidRDefault="00530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7D0E00"/>
    <w:rsid w:val="00530B33"/>
    <w:rsid w:val="00936AE4"/>
    <w:rsid w:val="00AD4650"/>
    <w:rsid w:val="00CD78C0"/>
    <w:rsid w:val="7EDF1618"/>
    <w:rsid w:val="7F7D0E00"/>
    <w:rsid w:val="E55E8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EAB019-E76A-45C8-AEAD-84C64CFA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majh</dc:creator>
  <cp:keywords/>
  <cp:lastModifiedBy>pc</cp:lastModifiedBy>
  <cp:revision>2</cp:revision>
  <cp:lastPrinted>2022-10-17T07:16:00Z</cp:lastPrinted>
  <dcterms:created xsi:type="dcterms:W3CDTF">2022-10-18T01:28:00Z</dcterms:created>
  <dcterms:modified xsi:type="dcterms:W3CDTF">2022-10-18T01:28:00Z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