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炒甘草</w:t>
      </w: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（甘草）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</w:rPr>
        <w:t>Chaogancao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G</w:t>
      </w:r>
      <w:r>
        <w:rPr>
          <w:rFonts w:hint="eastAsia" w:ascii="Times New Roman" w:hAnsi="Times New Roman" w:cs="Times New Roman"/>
          <w:b/>
          <w:bCs/>
          <w:sz w:val="24"/>
        </w:rPr>
        <w:t>ancao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Times New Roman" w:hAnsi="Times New Roman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</w:rPr>
        <w:t>GLYCYRRHIZAE RADIX ET RHIZOMA TOSTUM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本品为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豆科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植物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甘草</w:t>
      </w:r>
      <w:r>
        <w:rPr>
          <w:rFonts w:hint="eastAsia" w:ascii="Times New Roman" w:hAnsi="Times New Roman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Glycyrrhiza uralensis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Fisch.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的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干燥根和根茎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的炮制加工品。</w:t>
      </w:r>
    </w:p>
    <w:p>
      <w:pPr>
        <w:spacing w:line="360" w:lineRule="auto"/>
        <w:ind w:firstLine="420"/>
        <w:rPr>
          <w:rFonts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【炮制】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取原药材，除去杂质，大小分档，洗净，润透，切厚片，文火加热</w:t>
      </w:r>
      <w:bookmarkStart w:id="0" w:name="_GoBack"/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，炒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至切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浅黄色至浅棕黄色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，取出，晾凉。或</w:t>
      </w:r>
      <w:r>
        <w:rPr>
          <w:rFonts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净甘草片</w:t>
      </w:r>
      <w:r>
        <w:rPr>
          <w:rFonts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加适量水闷透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置已预热的炒制容器内</w:t>
      </w:r>
      <w:r>
        <w:rPr>
          <w:rFonts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文火加热</w:t>
      </w:r>
      <w:r>
        <w:rPr>
          <w:rFonts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炒至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切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浅黄色至浅棕黄色</w:t>
      </w:r>
      <w:r>
        <w:rPr>
          <w:rFonts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，取出，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晾凉</w:t>
      </w:r>
      <w:r>
        <w:rPr>
          <w:rFonts w:ascii="Times New Roman" w:hAnsi="Times New Roman" w:cs="Times New Roman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【性状】</w:t>
      </w:r>
      <w:r>
        <w:rPr>
          <w:rFonts w:ascii="Times New Roman" w:hAnsi="Times New Roman" w:cs="Times New Roman"/>
          <w:szCs w:val="21"/>
          <w:highlight w:val="none"/>
        </w:rPr>
        <w:t xml:space="preserve">  本品呈</w:t>
      </w:r>
      <w:r>
        <w:rPr>
          <w:rFonts w:hint="eastAsia" w:ascii="Times New Roman" w:hAnsi="Times New Roman" w:cs="Times New Roman"/>
          <w:szCs w:val="21"/>
          <w:highlight w:val="none"/>
        </w:rPr>
        <w:t>类</w:t>
      </w:r>
      <w:r>
        <w:rPr>
          <w:rFonts w:ascii="Times New Roman" w:hAnsi="Times New Roman" w:cs="Times New Roman"/>
          <w:szCs w:val="21"/>
          <w:highlight w:val="none"/>
        </w:rPr>
        <w:t>圆形或</w:t>
      </w:r>
      <w:r>
        <w:rPr>
          <w:rFonts w:hint="eastAsia" w:ascii="Times New Roman" w:hAnsi="Times New Roman" w:cs="Times New Roman"/>
          <w:szCs w:val="21"/>
          <w:highlight w:val="none"/>
        </w:rPr>
        <w:t>椭圆形</w:t>
      </w:r>
      <w:r>
        <w:rPr>
          <w:rFonts w:ascii="Times New Roman" w:hAnsi="Times New Roman" w:cs="Times New Roman"/>
          <w:szCs w:val="21"/>
          <w:highlight w:val="none"/>
        </w:rPr>
        <w:t>厚片。</w:t>
      </w:r>
      <w:r>
        <w:rPr>
          <w:rFonts w:hint="eastAsia" w:ascii="Times New Roman" w:hAnsi="Times New Roman" w:cs="Times New Roman"/>
          <w:szCs w:val="21"/>
          <w:highlight w:val="none"/>
        </w:rPr>
        <w:t>外表皮红棕色或灰棕色，具纵皱纹。切面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浅黄色至浅棕黄色</w:t>
      </w:r>
      <w:r>
        <w:rPr>
          <w:rFonts w:hint="eastAsia" w:ascii="Times New Roman" w:hAnsi="Times New Roman" w:cs="Times New Roman"/>
          <w:szCs w:val="21"/>
          <w:highlight w:val="none"/>
        </w:rPr>
        <w:t>，</w:t>
      </w:r>
      <w:r>
        <w:rPr>
          <w:rFonts w:hint="eastAsia" w:ascii="Times New Roman" w:hAnsi="Times New Roman" w:cs="Times New Roman"/>
          <w:szCs w:val="21"/>
          <w:highlight w:val="none"/>
        </w:rPr>
        <w:t>形成层环</w:t>
      </w:r>
      <w:r>
        <w:rPr>
          <w:rFonts w:hint="eastAsia" w:ascii="Times New Roman" w:hAnsi="Times New Roman" w:cs="Times New Roman"/>
          <w:szCs w:val="21"/>
          <w:highlight w:val="none"/>
          <w:lang w:val="en-US" w:eastAsia="zh-CN"/>
        </w:rPr>
        <w:t>明显，射线放射状</w:t>
      </w:r>
      <w:r>
        <w:rPr>
          <w:rFonts w:hint="eastAsia" w:ascii="Times New Roman" w:hAnsi="Times New Roman" w:cs="Times New Roman"/>
          <w:szCs w:val="21"/>
          <w:highlight w:val="none"/>
        </w:rPr>
        <w:t>。略</w:t>
      </w:r>
      <w:r>
        <w:rPr>
          <w:rFonts w:hint="eastAsia" w:ascii="Times New Roman" w:hAnsi="Times New Roman" w:cs="Times New Roman"/>
          <w:szCs w:val="21"/>
          <w:highlight w:val="none"/>
        </w:rPr>
        <w:t>具焦香气，味甜而特殊。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【鉴别】</w:t>
      </w:r>
      <w:r>
        <w:rPr>
          <w:rFonts w:ascii="Times New Roman" w:hAnsi="Times New Roman" w:cs="Times New Roman"/>
          <w:szCs w:val="21"/>
          <w:highlight w:val="none"/>
        </w:rPr>
        <w:t xml:space="preserve">  （1）</w:t>
      </w:r>
      <w:r>
        <w:rPr>
          <w:rFonts w:hint="eastAsia" w:ascii="Times New Roman" w:hAnsi="Times New Roman" w:cs="Times New Roman"/>
          <w:szCs w:val="21"/>
          <w:highlight w:val="none"/>
        </w:rPr>
        <w:t>本品粉末棕黄色</w:t>
      </w:r>
      <w:r>
        <w:rPr>
          <w:rFonts w:ascii="Times New Roman" w:hAnsi="Times New Roman" w:cs="Times New Roman"/>
          <w:szCs w:val="21"/>
          <w:highlight w:val="none"/>
        </w:rPr>
        <w:t>。</w:t>
      </w:r>
      <w:bookmarkEnd w:id="0"/>
      <w:r>
        <w:rPr>
          <w:rFonts w:hint="eastAsia" w:ascii="Times New Roman" w:hAnsi="Times New Roman" w:cs="Times New Roman"/>
          <w:szCs w:val="21"/>
        </w:rPr>
        <w:t>纤维成束，直径8~14</w:t>
      </w:r>
      <w:r>
        <w:rPr>
          <w:rFonts w:ascii="Times New Roman" w:hAnsi="Times New Roman" w:cs="Times New Roman"/>
          <w:szCs w:val="21"/>
        </w:rPr>
        <w:t>μ</w:t>
      </w:r>
      <w:r>
        <w:rPr>
          <w:rFonts w:hint="eastAsia" w:ascii="Times New Roman" w:hAnsi="Times New Roman" w:cs="Times New Roman"/>
          <w:szCs w:val="21"/>
        </w:rPr>
        <w:t>m，壁厚，微木化，周围薄壁细胞含草酸钙方晶，形成晶纤维。草酸钙方晶多见。具缘纹孔导管较大，稀有网纹导管。木栓细胞红棕色，多角形，微木化。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（2）取本品粉末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g，加</w:t>
      </w:r>
      <w:r>
        <w:rPr>
          <w:rFonts w:hint="eastAsia" w:ascii="Times New Roman" w:hAnsi="Times New Roman" w:cs="Times New Roman"/>
          <w:szCs w:val="21"/>
        </w:rPr>
        <w:t>乙醚4</w:t>
      </w:r>
      <w:r>
        <w:rPr>
          <w:rFonts w:ascii="Times New Roman" w:hAnsi="Times New Roman" w:cs="Times New Roman"/>
          <w:szCs w:val="21"/>
        </w:rPr>
        <w:t>0ml，</w:t>
      </w:r>
      <w:r>
        <w:rPr>
          <w:rFonts w:hint="eastAsia" w:ascii="Times New Roman" w:hAnsi="Times New Roman" w:cs="Times New Roman"/>
          <w:szCs w:val="21"/>
        </w:rPr>
        <w:t>加热回流1小时</w:t>
      </w:r>
      <w:r>
        <w:rPr>
          <w:rFonts w:ascii="Times New Roman" w:hAnsi="Times New Roman" w:cs="Times New Roman"/>
          <w:szCs w:val="21"/>
        </w:rPr>
        <w:t>，滤过，</w:t>
      </w:r>
      <w:r>
        <w:rPr>
          <w:rFonts w:hint="eastAsia" w:ascii="Times New Roman" w:hAnsi="Times New Roman" w:cs="Times New Roman"/>
          <w:szCs w:val="21"/>
        </w:rPr>
        <w:t>弃去乙醚液，药渣加甲醇30ml，加热回流1小时，滤过，滤液蒸干，残渣加水40ml使溶解，用正丁醇提取3次，每次20ml，合并正丁醇液，用水洗涤3次，弃去水液，正丁醇液蒸干，残渣加甲醇5ml使溶解，作为供试品溶液。另取甘草对照药材1g，同法制成对照药材溶液。再取</w:t>
      </w:r>
      <w:r>
        <w:rPr>
          <w:rFonts w:hint="eastAsia" w:ascii="Times New Roman" w:hAnsi="Times New Roman" w:cs="Times New Roman"/>
          <w:szCs w:val="21"/>
          <w:lang w:eastAsia="zh-CN"/>
        </w:rPr>
        <w:t>甘草苷</w:t>
      </w:r>
      <w:r>
        <w:rPr>
          <w:rFonts w:hint="eastAsia" w:ascii="Times New Roman" w:hAnsi="Times New Roman" w:cs="Times New Roman"/>
          <w:szCs w:val="21"/>
        </w:rPr>
        <w:t>对照品，加甲醇制成每1ml含2mg的溶液，作为对照品溶液。照薄层色谱法（中国药典2020年版通则0502）试验，吸取上述三种溶液1~2</w:t>
      </w:r>
      <w:r>
        <w:rPr>
          <w:rFonts w:ascii="Times New Roman" w:hAnsi="Times New Roman" w:cs="Times New Roman"/>
          <w:szCs w:val="21"/>
        </w:rPr>
        <w:t>μ</w:t>
      </w:r>
      <w:r>
        <w:rPr>
          <w:rFonts w:hint="eastAsia" w:ascii="Times New Roman" w:hAnsi="Times New Roman" w:cs="Times New Roman"/>
          <w:szCs w:val="21"/>
        </w:rPr>
        <w:t>l，分别点于同一硅胶G薄层板上，以乙酸乙酯-甲酸-冰醋酸-水（15:1:1:2）为展开剂，展开，取出，晾干，喷以10%硫酸乙醇溶液，在105℃加热至斑点显色清晰，置紫外光（365nm）下检视。供试品色谱中，在与对照药材色谱</w:t>
      </w:r>
      <w:r>
        <w:rPr>
          <w:rFonts w:hint="eastAsia" w:ascii="Times New Roman" w:hAnsi="Times New Roman" w:cs="Times New Roman"/>
          <w:szCs w:val="21"/>
          <w:lang w:eastAsia="zh-CN"/>
        </w:rPr>
        <w:t>和对照品色谱</w:t>
      </w:r>
      <w:r>
        <w:rPr>
          <w:rFonts w:hint="eastAsia" w:ascii="Times New Roman" w:hAnsi="Times New Roman" w:cs="Times New Roman"/>
          <w:szCs w:val="21"/>
        </w:rPr>
        <w:t>相应的位置上，显相同颜色的荧光斑点。</w:t>
      </w:r>
    </w:p>
    <w:p>
      <w:pPr>
        <w:spacing w:line="360" w:lineRule="auto"/>
        <w:ind w:firstLine="420" w:firstLineChars="200"/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【检查】  杂质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 xml:space="preserve">  照杂质检查法（中国药典2020年版通则2301）检查，不得过3%。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水分</w:t>
      </w:r>
      <w:r>
        <w:rPr>
          <w:rFonts w:ascii="Times New Roman" w:hAnsi="Times New Roman" w:cs="Times New Roman"/>
          <w:szCs w:val="21"/>
        </w:rPr>
        <w:t xml:space="preserve">  不得过10.0%（中国药典2020年版通则0832  第二法）。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总灰分</w:t>
      </w:r>
      <w:r>
        <w:rPr>
          <w:rFonts w:ascii="Times New Roman" w:hAnsi="Times New Roman" w:cs="Times New Roman"/>
          <w:szCs w:val="21"/>
        </w:rPr>
        <w:t xml:space="preserve">  不得过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.0%（中国药典2020年版通则2302）。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酸不溶性灰分</w:t>
      </w:r>
      <w:r>
        <w:rPr>
          <w:rFonts w:hint="eastAsia" w:ascii="Times New Roman" w:hAnsi="Times New Roman" w:cs="Times New Roman"/>
          <w:b/>
          <w:bCs/>
          <w:szCs w:val="21"/>
          <w:highlight w:val="none"/>
        </w:rPr>
        <w:t xml:space="preserve"> </w:t>
      </w:r>
      <w:r>
        <w:rPr>
          <w:rFonts w:hint="eastAsia" w:ascii="Times New Roman" w:hAnsi="Times New Roman" w:cs="Times New Roman"/>
          <w:b/>
          <w:bCs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  <w:highlight w:val="none"/>
        </w:rPr>
        <w:t>不得过2.0%</w:t>
      </w:r>
      <w:r>
        <w:rPr>
          <w:rFonts w:ascii="Times New Roman" w:hAnsi="Times New Roman" w:cs="Times New Roman"/>
          <w:szCs w:val="21"/>
          <w:highlight w:val="none"/>
        </w:rPr>
        <w:t>（中国药典2020年版通则2302）。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【浸出物】</w:t>
      </w:r>
      <w:r>
        <w:rPr>
          <w:rFonts w:ascii="Times New Roman" w:hAnsi="Times New Roman" w:cs="Times New Roman"/>
          <w:szCs w:val="21"/>
        </w:rPr>
        <w:t xml:space="preserve">  照醇溶性浸出物测定法（中国药典2020年版通则2201）项下的热浸法测定，</w:t>
      </w:r>
      <w:r>
        <w:rPr>
          <w:rFonts w:ascii="Times New Roman" w:hAnsi="Times New Roman" w:cs="Times New Roman"/>
          <w:szCs w:val="21"/>
          <w:highlight w:val="none"/>
        </w:rPr>
        <w:t>用</w:t>
      </w:r>
      <w:r>
        <w:rPr>
          <w:rFonts w:hint="eastAsia" w:ascii="Times New Roman" w:hAnsi="Times New Roman" w:cs="Times New Roman"/>
          <w:szCs w:val="21"/>
          <w:highlight w:val="none"/>
        </w:rPr>
        <w:t>40</w:t>
      </w:r>
      <w:r>
        <w:rPr>
          <w:rFonts w:ascii="Times New Roman" w:hAnsi="Times New Roman" w:cs="Times New Roman"/>
          <w:szCs w:val="21"/>
          <w:highlight w:val="none"/>
        </w:rPr>
        <w:t>%乙醇作溶剂，不得少于30.0%。</w:t>
      </w:r>
    </w:p>
    <w:p>
      <w:pPr>
        <w:spacing w:line="360" w:lineRule="auto"/>
        <w:ind w:firstLine="367" w:firstLineChars="175"/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【含量测定】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照高效液相色谱法（中国药典2020年版通则0512）测定。</w:t>
      </w:r>
    </w:p>
    <w:p>
      <w:pPr>
        <w:spacing w:line="360" w:lineRule="auto"/>
        <w:ind w:firstLine="367" w:firstLineChars="175"/>
        <w:rPr>
          <w:rFonts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色谱条件与系统适用性试验</w:t>
      </w:r>
      <w:r>
        <w:rPr>
          <w:rStyle w:val="10"/>
          <w:rFonts w:hint="eastAsia" w:asci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10"/>
          <w:sz w:val="21"/>
          <w:szCs w:val="21"/>
        </w:rPr>
        <w:t xml:space="preserve"> </w:t>
      </w:r>
      <w:r>
        <w:rPr>
          <w:rStyle w:val="11"/>
          <w:sz w:val="21"/>
          <w:szCs w:val="21"/>
        </w:rPr>
        <w:t>以十八烷基硅烷键合硅胶为填充剂；以乙腈为流动相</w:t>
      </w:r>
      <w:r>
        <w:rPr>
          <w:rStyle w:val="12"/>
          <w:sz w:val="21"/>
          <w:szCs w:val="21"/>
        </w:rPr>
        <w:t>A</w:t>
      </w:r>
      <w:r>
        <w:rPr>
          <w:rStyle w:val="11"/>
          <w:sz w:val="21"/>
          <w:szCs w:val="21"/>
        </w:rPr>
        <w:t>，以</w:t>
      </w:r>
      <w:r>
        <w:rPr>
          <w:rStyle w:val="12"/>
          <w:sz w:val="21"/>
          <w:szCs w:val="21"/>
        </w:rPr>
        <w:t>0.05%</w:t>
      </w:r>
      <w:r>
        <w:rPr>
          <w:rStyle w:val="11"/>
          <w:sz w:val="21"/>
          <w:szCs w:val="21"/>
        </w:rPr>
        <w:t>磷酸溶液为流动相</w:t>
      </w:r>
      <w:r>
        <w:rPr>
          <w:rStyle w:val="12"/>
          <w:sz w:val="21"/>
          <w:szCs w:val="21"/>
        </w:rPr>
        <w:t>B</w:t>
      </w:r>
      <w:r>
        <w:rPr>
          <w:rStyle w:val="11"/>
          <w:sz w:val="21"/>
          <w:szCs w:val="21"/>
        </w:rPr>
        <w:t>，按下表中的规定进行梯度洗脱；检测波长为</w:t>
      </w:r>
      <w:r>
        <w:rPr>
          <w:rStyle w:val="12"/>
          <w:sz w:val="21"/>
          <w:szCs w:val="21"/>
        </w:rPr>
        <w:t>237nm</w:t>
      </w:r>
      <w:r>
        <w:rPr>
          <w:rStyle w:val="11"/>
          <w:sz w:val="21"/>
          <w:szCs w:val="21"/>
        </w:rPr>
        <w:t>。理论板数按甘草酸铵峰计算应不低于</w:t>
      </w:r>
      <w:r>
        <w:rPr>
          <w:rStyle w:val="12"/>
          <w:sz w:val="21"/>
          <w:szCs w:val="21"/>
        </w:rPr>
        <w:t>5000</w:t>
      </w:r>
      <w:r>
        <w:rPr>
          <w:rStyle w:val="11"/>
          <w:sz w:val="21"/>
          <w:szCs w:val="21"/>
        </w:rPr>
        <w:t>。</w:t>
      </w:r>
      <w:r>
        <w:rPr>
          <w:rFonts w:ascii="宋体" w:hAnsi="宋体" w:eastAsia="宋体" w:cs="宋体"/>
          <w:szCs w:val="21"/>
        </w:rPr>
        <w:t xml:space="preserve"> </w:t>
      </w:r>
    </w:p>
    <w:p>
      <w:pPr>
        <w:bidi w:val="0"/>
      </w:pPr>
    </w:p>
    <w:tbl>
      <w:tblPr>
        <w:tblStyle w:val="5"/>
        <w:tblW w:w="4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340"/>
        <w:gridCol w:w="22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时间（分钟）</w:t>
            </w:r>
          </w:p>
        </w:tc>
        <w:tc>
          <w:tcPr>
            <w:tcW w:w="32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流动相A（%）</w:t>
            </w:r>
          </w:p>
        </w:tc>
        <w:tc>
          <w:tcPr>
            <w:tcW w:w="3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流动相B（%）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0～8</w:t>
            </w:r>
          </w:p>
        </w:tc>
        <w:tc>
          <w:tcPr>
            <w:tcW w:w="32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1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8～35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19→50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81→50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35～36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50→100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50→0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36～40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100→19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0→81</w:t>
            </w:r>
          </w:p>
        </w:tc>
      </w:tr>
    </w:tbl>
    <w:p>
      <w:pPr>
        <w:ind w:firstLine="420" w:firstLineChars="200"/>
      </w:pP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对照品溶液的制备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取</w:t>
      </w:r>
      <w:r>
        <w:rPr>
          <w:rFonts w:hint="eastAsia" w:ascii="Times New Roman" w:hAnsi="Times New Roman" w:cs="Times New Roman"/>
          <w:lang w:eastAsia="zh-CN"/>
        </w:rPr>
        <w:t>甘草苷对照品、</w:t>
      </w:r>
      <w:r>
        <w:rPr>
          <w:rFonts w:ascii="Times New Roman" w:hAnsi="Times New Roman" w:cs="Times New Roman"/>
        </w:rPr>
        <w:t>甘草酸铵对照品适量，精密称定，加70%乙醇</w:t>
      </w:r>
      <w:r>
        <w:rPr>
          <w:rFonts w:hint="eastAsia" w:ascii="Times New Roman" w:hAnsi="Times New Roman" w:cs="Times New Roman"/>
          <w:lang w:eastAsia="zh-CN"/>
        </w:rPr>
        <w:t>分别</w:t>
      </w:r>
      <w:r>
        <w:rPr>
          <w:rFonts w:ascii="Times New Roman" w:hAnsi="Times New Roman" w:cs="Times New Roman"/>
        </w:rPr>
        <w:t>制成每1ml含</w:t>
      </w:r>
      <w:r>
        <w:rPr>
          <w:rFonts w:hint="eastAsia" w:ascii="Times New Roman" w:hAnsi="Times New Roman" w:cs="Times New Roman"/>
          <w:lang w:eastAsia="zh-CN"/>
        </w:rPr>
        <w:t>甘草苷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hAnsi="Times New Roman" w:cs="Times New Roman"/>
        </w:rPr>
        <w:t>μg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ascii="Times New Roman" w:hAnsi="Times New Roman" w:cs="Times New Roman"/>
        </w:rPr>
        <w:t>甘草酸铵</w:t>
      </w:r>
      <w:r>
        <w:rPr>
          <w:rFonts w:hint="eastAsia" w:ascii="Times New Roman" w:hAnsi="Times New Roman" w:cs="Times New Roman"/>
          <w:lang w:val="en-US" w:eastAsia="zh-CN"/>
        </w:rPr>
        <w:t>0.2m</w:t>
      </w:r>
      <w:r>
        <w:rPr>
          <w:rFonts w:ascii="Times New Roman" w:hAnsi="Times New Roman" w:cs="Times New Roman"/>
        </w:rPr>
        <w:t>g</w:t>
      </w:r>
      <w:r>
        <w:rPr>
          <w:rFonts w:hint="eastAsia" w:ascii="Times New Roman" w:hAnsi="Times New Roman" w:cs="Times New Roman"/>
        </w:rPr>
        <w:t>的溶液，即得（甘草酸重量=甘草酸铵重量/1.0207）。</w:t>
      </w:r>
    </w:p>
    <w:p>
      <w:pPr>
        <w:spacing w:line="360" w:lineRule="auto"/>
        <w:ind w:firstLine="367" w:firstLineChars="175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供试品溶液的制备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取本品粉末（过三号筛）约0.2g，精密称定，置具塞锥形瓶中，精密加70%乙醇100ml，密塞，称定重量，超声处理（功率250W，频率40kHz）30分钟，放冷，再称定重量，用70%乙醇补足减失的重量，摇匀，滤过，取续滤液，即得。</w:t>
      </w:r>
    </w:p>
    <w:p>
      <w:pPr>
        <w:spacing w:line="360" w:lineRule="auto"/>
        <w:ind w:firstLine="420" w:firstLineChars="200"/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测定法</w:t>
      </w:r>
      <w:r>
        <w:rPr>
          <w:rFonts w:hint="eastAsia"/>
        </w:rPr>
        <w:t xml:space="preserve">  分别精密吸取对照品溶液与供试品溶液各</w:t>
      </w:r>
      <w:r>
        <w:rPr>
          <w:rFonts w:ascii="Times New Roman" w:hAnsi="Times New Roman" w:cs="Times New Roman"/>
        </w:rPr>
        <w:t>10μl</w:t>
      </w:r>
      <w:r>
        <w:rPr>
          <w:rFonts w:hint="eastAsia"/>
        </w:rPr>
        <w:t>，注入液相色谱仪，测定，即得。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本品按干燥品计算，含甘草苷（</w:t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vertAlign w:val="subscript"/>
        </w:rPr>
        <w:t>21</w:t>
      </w:r>
      <w:r>
        <w:rPr>
          <w:rFonts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9</w:t>
      </w:r>
      <w:r>
        <w:rPr>
          <w:rFonts w:hint="eastAsia"/>
        </w:rPr>
        <w:t>）不得少于</w:t>
      </w:r>
      <w:r>
        <w:rPr>
          <w:rFonts w:ascii="Times New Roman" w:hAnsi="Times New Roman" w:cs="Times New Roman"/>
        </w:rPr>
        <w:t>0.45%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/>
        </w:rPr>
        <w:t>甘草酸（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42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62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16</w:t>
      </w:r>
      <w:r>
        <w:rPr>
          <w:rFonts w:hint="eastAsia"/>
        </w:rPr>
        <w:t>）不得少于</w:t>
      </w:r>
      <w:r>
        <w:rPr>
          <w:rFonts w:ascii="Times New Roman" w:hAnsi="Times New Roman" w:cs="Times New Roman"/>
        </w:rPr>
        <w:t>1.8%</w:t>
      </w:r>
      <w:r>
        <w:rPr>
          <w:rFonts w:hint="eastAsia"/>
        </w:rPr>
        <w:t>。</w:t>
      </w:r>
    </w:p>
    <w:p>
      <w:pPr>
        <w:spacing w:line="360" w:lineRule="auto"/>
        <w:ind w:firstLine="367" w:firstLineChars="175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【性味与归经】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甘、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平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。归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心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肺、脾、胃经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780"/>
        </w:tabs>
        <w:spacing w:line="360" w:lineRule="auto"/>
        <w:ind w:firstLine="367" w:firstLineChars="175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【功能与主治】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补脾益气，清热解毒，祛痰止咳，缓急止痛，调和诸药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用于脾胃虚弱，倦怠乏力，心悸气短，咳嗽痰多，脘腹、四肢挛急疼痛，痈肿疮毒，缓解药物毒性、烈性。</w:t>
      </w:r>
    </w:p>
    <w:p>
      <w:pPr>
        <w:spacing w:line="360" w:lineRule="auto"/>
        <w:ind w:firstLine="367" w:firstLineChars="175"/>
        <w:rPr>
          <w:rFonts w:hint="default" w:ascii="Times New Roman" w:hAnsi="Times New Roman" w:eastAsia="宋体" w:cs="Times New Roman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【炮制作用】</w:t>
      </w:r>
      <w:r>
        <w:rPr>
          <w:rFonts w:ascii="Times New Roman" w:hAnsi="Times New Roman" w:eastAsia="宋体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</w:rPr>
        <w:t>炒用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温中作用较强，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长于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eastAsia="zh-CN"/>
        </w:rPr>
        <w:t>调和脾胃、益气复脉。</w:t>
      </w:r>
    </w:p>
    <w:p>
      <w:pPr>
        <w:spacing w:line="360" w:lineRule="auto"/>
        <w:ind w:firstLine="367" w:firstLineChars="175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【用法与用量】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2~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10g。</w:t>
      </w:r>
    </w:p>
    <w:p>
      <w:pPr>
        <w:spacing w:line="360" w:lineRule="auto"/>
        <w:ind w:firstLine="420" w:firstLineChars="200"/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【注意】</w:t>
      </w: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</w:rPr>
        <w:t>不宜与海藻、京大戟、红大戟、甘遂、芫花同用。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  <w:highlight w:val="yellow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【贮藏】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置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通风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干燥处，防蛀。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/>
    <w:p>
      <w:r>
        <w:rPr>
          <w:rFonts w:hint="eastAsia"/>
        </w:rPr>
        <w:t>--------------------------------------------------------------------------------------------------------------------------------</w:t>
      </w:r>
    </w:p>
    <w:p>
      <w:pPr>
        <w:ind w:left="2730" w:leftChars="1300" w:firstLine="2310" w:firstLineChars="1100"/>
      </w:pPr>
      <w:r>
        <w:rPr>
          <w:rFonts w:hint="eastAsia"/>
        </w:rPr>
        <w:t xml:space="preserve">起草单位：广东一方制药有限公司 </w:t>
      </w:r>
    </w:p>
    <w:p>
      <w:pPr>
        <w:ind w:left="2730" w:leftChars="1300" w:firstLine="2310" w:firstLineChars="1100"/>
      </w:pPr>
      <w:r>
        <w:rPr>
          <w:rFonts w:hint="eastAsia"/>
        </w:rPr>
        <w:t>复核单位：广东省药品检验所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1"/>
      </w:rPr>
      <w:pict>
        <v:shape id="PowerPlusWaterMarkObject28400" o:spid="_x0000_s4099" o:spt="136" type="#_x0000_t136" style="position:absolute;left:0pt;height:48.3pt;width:593.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广东省中药饮片炮制规范公示稿" style="font-family:宋体;font-size:48pt;v-same-letter-heights:f;v-text-align:center;"/>
        </v:shape>
      </w:pict>
    </w:r>
    <w:r>
      <w:rPr>
        <w:rFonts w:hint="eastAsia"/>
        <w:sz w:val="21"/>
        <w:szCs w:val="21"/>
      </w:rPr>
      <w:t>广东省中药</w:t>
    </w:r>
    <w:r>
      <w:rPr>
        <w:rFonts w:hint="eastAsia"/>
        <w:sz w:val="21"/>
        <w:szCs w:val="21"/>
        <w:lang w:val="en-US" w:eastAsia="zh-CN"/>
      </w:rPr>
      <w:t>饮片炮制规范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C"/>
    <w:rsid w:val="000635FA"/>
    <w:rsid w:val="00084628"/>
    <w:rsid w:val="003433DF"/>
    <w:rsid w:val="00426437"/>
    <w:rsid w:val="004F394C"/>
    <w:rsid w:val="0F0D14FB"/>
    <w:rsid w:val="1EA1723B"/>
    <w:rsid w:val="246B54EE"/>
    <w:rsid w:val="26CF2449"/>
    <w:rsid w:val="27297C86"/>
    <w:rsid w:val="292B6672"/>
    <w:rsid w:val="2C457EDE"/>
    <w:rsid w:val="54B83B6E"/>
    <w:rsid w:val="5EE67CE9"/>
    <w:rsid w:val="6B5D35E8"/>
    <w:rsid w:val="7429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ascii="黑体" w:hAnsi="宋体" w:eastAsia="黑体" w:cs="黑体"/>
      <w:color w:val="000000"/>
      <w:sz w:val="24"/>
      <w:szCs w:val="24"/>
    </w:rPr>
  </w:style>
  <w:style w:type="character" w:customStyle="1" w:styleId="11">
    <w:name w:val="fontstyle21"/>
    <w:basedOn w:val="6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2">
    <w:name w:val="fontstyle31"/>
    <w:basedOn w:val="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2</Pages>
  <Words>322</Words>
  <Characters>1836</Characters>
  <Lines>15</Lines>
  <Paragraphs>4</Paragraphs>
  <TotalTime>21</TotalTime>
  <ScaleCrop>false</ScaleCrop>
  <LinksUpToDate>false</LinksUpToDate>
  <CharactersWithSpaces>2154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2023-12-27T04:48:00Z</dcterms:created>
  <dc:creator>xtc</dc:creator>
  <cp:lastModifiedBy>林锦锋</cp:lastModifiedBy>
  <dcterms:modified xsi:type="dcterms:W3CDTF">2024-05-22T02:06:53Z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E2E1B961FBBC4DA5940B9770D8C76F18</vt:lpwstr>
  </property>
</Properties>
</file>