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DA232A" w:rsidR="000361C3" w:rsidP="00DA232A" w:rsidRDefault="00A762FC">
      <w:pPr>
        <w:tabs>
          <w:tab w:val="left" w:pos="2340"/>
        </w:tabs>
        <w:adjustRightInd w:val="0"/>
        <w:snapToGrid w:val="0"/>
        <w:spacing w:line="480" w:lineRule="auto"/>
        <w:jc w:val="center"/>
        <w:rPr>
          <w:rFonts w:ascii="楷体_GB2312" w:hAnsi="宋体" w:eastAsia="楷体_GB2312"/>
          <w:sz w:val="36"/>
          <w:szCs w:val="36"/>
        </w:rPr>
      </w:pPr>
      <w:r w:rsidRPr="00DA232A">
        <w:rPr>
          <w:rFonts w:hint="eastAsia" w:ascii="楷体_GB2312" w:hAnsi="宋体" w:eastAsia="楷体_GB2312"/>
          <w:sz w:val="36"/>
          <w:szCs w:val="36"/>
        </w:rPr>
        <w:t>标准修订说明</w:t>
      </w:r>
    </w:p>
    <w:p w:rsidR="00BF392E" w:rsidP="00DA232A" w:rsidRDefault="00BF392E">
      <w:pPr>
        <w:tabs>
          <w:tab w:val="left" w:pos="2340"/>
        </w:tabs>
        <w:adjustRightInd w:val="0"/>
        <w:snapToGrid w:val="0"/>
        <w:spacing w:line="480" w:lineRule="auto"/>
        <w:ind w:firstLine="600" w:firstLineChars="200"/>
        <w:rPr>
          <w:rFonts w:ascii="楷体_GB2312" w:hAnsi="宋体" w:eastAsia="楷体_GB2312"/>
          <w:sz w:val="30"/>
          <w:szCs w:val="30"/>
        </w:rPr>
      </w:pPr>
      <w:r w:rsidRPr="00BF392E">
        <w:rPr>
          <w:rFonts w:hint="eastAsia" w:ascii="楷体_GB2312" w:hAnsi="宋体" w:eastAsia="楷体_GB2312"/>
          <w:sz w:val="30"/>
          <w:szCs w:val="30"/>
        </w:rPr>
        <w:t>复方氨基酸注射液（18AA-V）</w:t>
      </w:r>
      <w:r w:rsidRPr="00DA232A" w:rsidR="00A762FC">
        <w:rPr>
          <w:rFonts w:hint="eastAsia" w:ascii="楷体_GB2312" w:hAnsi="宋体" w:eastAsia="楷体_GB2312"/>
          <w:sz w:val="30"/>
          <w:szCs w:val="30"/>
        </w:rPr>
        <w:t>现执行标准为</w:t>
      </w:r>
      <w:r w:rsidRPr="00BF392E">
        <w:rPr>
          <w:rFonts w:hint="eastAsia" w:ascii="楷体_GB2312" w:hAnsi="宋体" w:eastAsia="楷体_GB2312"/>
          <w:sz w:val="30"/>
          <w:szCs w:val="30"/>
        </w:rPr>
        <w:t>W</w:t>
      </w:r>
      <w:r w:rsidRPr="00BF392E">
        <w:rPr>
          <w:rFonts w:ascii="楷体_GB2312" w:hAnsi="宋体" w:eastAsia="楷体_GB2312"/>
          <w:sz w:val="30"/>
          <w:szCs w:val="30"/>
        </w:rPr>
        <w:t>S</w:t>
      </w:r>
      <w:r w:rsidRPr="00940EEB">
        <w:rPr>
          <w:rFonts w:ascii="楷体_GB2312" w:hAnsi="宋体" w:eastAsia="楷体_GB2312"/>
          <w:sz w:val="30"/>
          <w:szCs w:val="30"/>
          <w:vertAlign w:val="subscript"/>
        </w:rPr>
        <w:t>1</w:t>
      </w:r>
      <w:r w:rsidRPr="00BF392E">
        <w:rPr>
          <w:rFonts w:ascii="楷体_GB2312" w:hAnsi="宋体" w:eastAsia="楷体_GB2312"/>
          <w:sz w:val="30"/>
          <w:szCs w:val="30"/>
        </w:rPr>
        <w:t>-(X-324)-2003Z</w:t>
      </w:r>
      <w:r w:rsidR="000C15D4">
        <w:rPr>
          <w:rFonts w:hint="eastAsia" w:ascii="楷体_GB2312" w:hAnsi="宋体" w:eastAsia="楷体_GB2312"/>
          <w:sz w:val="30"/>
          <w:szCs w:val="30"/>
        </w:rPr>
        <w:t>，</w:t>
      </w:r>
      <w:bookmarkStart w:name="_GoBack" w:id="0"/>
      <w:bookmarkEnd w:id="0"/>
      <w:r w:rsidRPr="00BF392E">
        <w:rPr>
          <w:rFonts w:hint="eastAsia" w:ascii="楷体_GB2312" w:hAnsi="宋体" w:eastAsia="楷体_GB2312"/>
          <w:sz w:val="30"/>
          <w:szCs w:val="30"/>
        </w:rPr>
        <w:t>复方氨基酸注射液（18AA-V</w:t>
      </w:r>
      <w:r w:rsidRPr="00BF392E">
        <w:rPr>
          <w:rFonts w:ascii="楷体_GB2312" w:hAnsi="宋体" w:eastAsia="楷体_GB2312"/>
          <w:sz w:val="30"/>
          <w:szCs w:val="30"/>
        </w:rPr>
        <w:t>-SF</w:t>
      </w:r>
      <w:r w:rsidRPr="00BF392E">
        <w:rPr>
          <w:rFonts w:hint="eastAsia" w:ascii="楷体_GB2312" w:hAnsi="宋体" w:eastAsia="楷体_GB2312"/>
          <w:sz w:val="30"/>
          <w:szCs w:val="30"/>
        </w:rPr>
        <w:t>）现行</w:t>
      </w:r>
      <w:r w:rsidRPr="00BF392E">
        <w:rPr>
          <w:rFonts w:ascii="楷体_GB2312" w:hAnsi="宋体" w:eastAsia="楷体_GB2312"/>
          <w:sz w:val="30"/>
          <w:szCs w:val="30"/>
        </w:rPr>
        <w:t>标准</w:t>
      </w:r>
      <w:r w:rsidRPr="00BF392E">
        <w:rPr>
          <w:rFonts w:hint="eastAsia" w:ascii="楷体_GB2312" w:hAnsi="宋体" w:eastAsia="楷体_GB2312"/>
          <w:sz w:val="30"/>
          <w:szCs w:val="30"/>
        </w:rPr>
        <w:t>为</w:t>
      </w:r>
      <w:r w:rsidRPr="00BF392E">
        <w:rPr>
          <w:rFonts w:ascii="楷体_GB2312" w:hAnsi="宋体" w:eastAsia="楷体_GB2312"/>
          <w:sz w:val="30"/>
          <w:szCs w:val="30"/>
        </w:rPr>
        <w:t>注册标准</w:t>
      </w:r>
      <w:r w:rsidRPr="00DA232A" w:rsidR="00A762FC">
        <w:rPr>
          <w:rFonts w:hint="eastAsia" w:ascii="楷体_GB2312" w:hAnsi="宋体" w:eastAsia="楷体_GB2312"/>
          <w:sz w:val="30"/>
          <w:szCs w:val="30"/>
        </w:rPr>
        <w:t>。本次</w:t>
      </w:r>
      <w:r w:rsidRPr="00DA232A" w:rsidR="00A762FC">
        <w:rPr>
          <w:rFonts w:ascii="楷体_GB2312" w:hAnsi="宋体" w:eastAsia="楷体_GB2312"/>
          <w:sz w:val="30"/>
          <w:szCs w:val="30"/>
        </w:rPr>
        <w:t>对标准中</w:t>
      </w:r>
      <w:r>
        <w:rPr>
          <w:rFonts w:hint="eastAsia" w:ascii="楷体_GB2312" w:hAnsi="宋体" w:eastAsia="楷体_GB2312"/>
          <w:sz w:val="30"/>
          <w:szCs w:val="30"/>
        </w:rPr>
        <w:t>通用名称</w:t>
      </w:r>
      <w:r>
        <w:rPr>
          <w:rFonts w:ascii="楷体_GB2312" w:hAnsi="宋体" w:eastAsia="楷体_GB2312"/>
          <w:sz w:val="30"/>
          <w:szCs w:val="30"/>
        </w:rPr>
        <w:t>、</w:t>
      </w:r>
      <w:r w:rsidRPr="00DA232A" w:rsidR="00A762FC">
        <w:rPr>
          <w:rFonts w:hint="eastAsia" w:ascii="楷体_GB2312" w:hAnsi="宋体" w:eastAsia="楷体_GB2312"/>
          <w:sz w:val="30"/>
          <w:szCs w:val="30"/>
        </w:rPr>
        <w:t>含量限度，</w:t>
      </w:r>
      <w:r>
        <w:rPr>
          <w:rFonts w:hint="eastAsia" w:ascii="楷体_GB2312" w:hAnsi="宋体" w:eastAsia="楷体_GB2312"/>
          <w:sz w:val="30"/>
          <w:szCs w:val="30"/>
        </w:rPr>
        <w:t>有关物质</w:t>
      </w:r>
      <w:r>
        <w:rPr>
          <w:rFonts w:ascii="楷体_GB2312" w:hAnsi="宋体" w:eastAsia="楷体_GB2312"/>
          <w:sz w:val="30"/>
          <w:szCs w:val="30"/>
        </w:rPr>
        <w:t>、渗透压摩尔浓度、重金属、热原、异常毒性、降压物质、</w:t>
      </w:r>
      <w:r>
        <w:rPr>
          <w:rFonts w:hint="eastAsia" w:ascii="楷体_GB2312" w:hAnsi="宋体" w:eastAsia="楷体_GB2312"/>
          <w:sz w:val="30"/>
          <w:szCs w:val="30"/>
        </w:rPr>
        <w:t>无菌</w:t>
      </w:r>
      <w:r w:rsidRPr="00DA232A" w:rsidR="00A762FC">
        <w:rPr>
          <w:rFonts w:hint="eastAsia" w:ascii="楷体_GB2312" w:hAnsi="宋体" w:eastAsia="楷体_GB2312"/>
          <w:sz w:val="30"/>
          <w:szCs w:val="30"/>
        </w:rPr>
        <w:t>及含量测定</w:t>
      </w:r>
      <w:r>
        <w:rPr>
          <w:rFonts w:hint="eastAsia" w:ascii="楷体_GB2312" w:hAnsi="宋体" w:eastAsia="楷体_GB2312"/>
          <w:sz w:val="30"/>
          <w:szCs w:val="30"/>
        </w:rPr>
        <w:t>等</w:t>
      </w:r>
      <w:r w:rsidRPr="00DA232A" w:rsidR="00DA232A">
        <w:rPr>
          <w:rFonts w:hint="eastAsia" w:ascii="楷体_GB2312" w:hAnsi="宋体" w:eastAsia="楷体_GB2312"/>
          <w:sz w:val="30"/>
          <w:szCs w:val="30"/>
        </w:rPr>
        <w:t>项</w:t>
      </w:r>
      <w:r w:rsidRPr="00DA232A" w:rsidR="00A762FC">
        <w:rPr>
          <w:rFonts w:hint="eastAsia" w:ascii="楷体_GB2312" w:hAnsi="宋体" w:eastAsia="楷体_GB2312"/>
          <w:sz w:val="30"/>
          <w:szCs w:val="30"/>
        </w:rPr>
        <w:t>进行</w:t>
      </w:r>
      <w:r>
        <w:rPr>
          <w:rFonts w:hint="eastAsia" w:ascii="楷体_GB2312" w:hAnsi="宋体" w:eastAsia="楷体_GB2312"/>
          <w:sz w:val="30"/>
          <w:szCs w:val="30"/>
        </w:rPr>
        <w:t>增</w:t>
      </w:r>
      <w:r w:rsidRPr="00DA232A" w:rsidR="00A762FC">
        <w:rPr>
          <w:rFonts w:ascii="楷体_GB2312" w:hAnsi="宋体" w:eastAsia="楷体_GB2312"/>
          <w:sz w:val="30"/>
          <w:szCs w:val="30"/>
        </w:rPr>
        <w:t>修订</w:t>
      </w:r>
      <w:r w:rsidRPr="00DA232A" w:rsidR="00A762FC">
        <w:rPr>
          <w:rFonts w:hint="eastAsia" w:ascii="楷体_GB2312" w:hAnsi="宋体" w:eastAsia="楷体_GB2312"/>
          <w:sz w:val="30"/>
          <w:szCs w:val="30"/>
        </w:rPr>
        <w:t>。起草单位</w:t>
      </w:r>
      <w:r w:rsidRPr="00DA232A" w:rsidR="00A762FC">
        <w:rPr>
          <w:rFonts w:ascii="楷体_GB2312" w:hAnsi="宋体" w:eastAsia="楷体_GB2312"/>
          <w:sz w:val="30"/>
          <w:szCs w:val="30"/>
        </w:rPr>
        <w:t>为</w:t>
      </w:r>
      <w:r>
        <w:rPr>
          <w:rFonts w:hint="eastAsia" w:ascii="楷体_GB2312" w:hAnsi="宋体" w:eastAsia="楷体_GB2312"/>
          <w:sz w:val="30"/>
          <w:szCs w:val="30"/>
        </w:rPr>
        <w:t>四川省</w:t>
      </w:r>
      <w:r>
        <w:rPr>
          <w:rFonts w:ascii="楷体_GB2312" w:hAnsi="宋体" w:eastAsia="楷体_GB2312"/>
          <w:sz w:val="30"/>
          <w:szCs w:val="30"/>
        </w:rPr>
        <w:t>药品检验研究院和</w:t>
      </w:r>
      <w:r>
        <w:rPr>
          <w:rFonts w:hint="eastAsia" w:ascii="楷体_GB2312" w:hAnsi="宋体" w:eastAsia="楷体_GB2312"/>
          <w:sz w:val="30"/>
          <w:szCs w:val="30"/>
        </w:rPr>
        <w:t>湖北省</w:t>
      </w:r>
      <w:r>
        <w:rPr>
          <w:rFonts w:ascii="楷体_GB2312" w:hAnsi="宋体" w:eastAsia="楷体_GB2312"/>
          <w:sz w:val="30"/>
          <w:szCs w:val="30"/>
        </w:rPr>
        <w:t>药品监督检验研究院</w:t>
      </w:r>
      <w:r w:rsidRPr="00DA232A" w:rsidR="00A762FC">
        <w:rPr>
          <w:rFonts w:hint="eastAsia" w:ascii="楷体_GB2312" w:hAnsi="宋体" w:eastAsia="楷体_GB2312"/>
          <w:sz w:val="30"/>
          <w:szCs w:val="30"/>
        </w:rPr>
        <w:t>，</w:t>
      </w:r>
      <w:r w:rsidRPr="00DA232A" w:rsidR="00A762FC">
        <w:rPr>
          <w:rFonts w:ascii="楷体_GB2312" w:hAnsi="宋体" w:eastAsia="楷体_GB2312"/>
          <w:sz w:val="30"/>
          <w:szCs w:val="30"/>
        </w:rPr>
        <w:t>复核单位</w:t>
      </w:r>
      <w:r w:rsidRPr="00DA232A" w:rsidR="00A762FC">
        <w:rPr>
          <w:rFonts w:hint="eastAsia" w:ascii="楷体_GB2312" w:hAnsi="宋体" w:eastAsia="楷体_GB2312"/>
          <w:sz w:val="30"/>
          <w:szCs w:val="30"/>
        </w:rPr>
        <w:t>为</w:t>
      </w:r>
      <w:r>
        <w:rPr>
          <w:rFonts w:hint="eastAsia" w:ascii="楷体_GB2312" w:hAnsi="宋体" w:eastAsia="楷体_GB2312"/>
          <w:sz w:val="30"/>
          <w:szCs w:val="30"/>
        </w:rPr>
        <w:t>武汉药品医疗器械检验所和上海市</w:t>
      </w:r>
      <w:r>
        <w:rPr>
          <w:rFonts w:ascii="楷体_GB2312" w:hAnsi="宋体" w:eastAsia="楷体_GB2312"/>
          <w:sz w:val="30"/>
          <w:szCs w:val="30"/>
        </w:rPr>
        <w:t>食品药品检验所</w:t>
      </w:r>
      <w:r w:rsidRPr="00DA232A" w:rsidR="00DA232A">
        <w:rPr>
          <w:rFonts w:hint="eastAsia" w:ascii="楷体_GB2312" w:hAnsi="宋体" w:eastAsia="楷体_GB2312"/>
          <w:sz w:val="30"/>
          <w:szCs w:val="30"/>
        </w:rPr>
        <w:t>。公示</w:t>
      </w:r>
      <w:r w:rsidRPr="00DA232A" w:rsidR="00DA232A">
        <w:rPr>
          <w:rFonts w:ascii="楷体_GB2312" w:hAnsi="宋体" w:eastAsia="楷体_GB2312"/>
          <w:sz w:val="30"/>
          <w:szCs w:val="30"/>
        </w:rPr>
        <w:t>标准</w:t>
      </w:r>
      <w:r>
        <w:rPr>
          <w:rFonts w:hint="eastAsia" w:ascii="楷体_GB2312" w:hAnsi="宋体" w:eastAsia="楷体_GB2312"/>
          <w:sz w:val="30"/>
          <w:szCs w:val="30"/>
        </w:rPr>
        <w:t>主要增修订</w:t>
      </w:r>
      <w:r>
        <w:rPr>
          <w:rFonts w:ascii="楷体_GB2312" w:hAnsi="宋体" w:eastAsia="楷体_GB2312"/>
          <w:sz w:val="30"/>
          <w:szCs w:val="30"/>
        </w:rPr>
        <w:t>内容</w:t>
      </w:r>
      <w:r w:rsidRPr="00DA232A" w:rsidR="00DA232A">
        <w:rPr>
          <w:rFonts w:hint="eastAsia" w:ascii="楷体_GB2312" w:hAnsi="宋体" w:eastAsia="楷体_GB2312"/>
          <w:sz w:val="30"/>
          <w:szCs w:val="30"/>
        </w:rPr>
        <w:t>：</w:t>
      </w:r>
      <w:r w:rsidRPr="00DA232A" w:rsidR="00A762FC">
        <w:rPr>
          <w:rFonts w:hint="eastAsia" w:ascii="楷体_GB2312" w:hAnsi="宋体" w:eastAsia="楷体_GB2312"/>
          <w:sz w:val="30"/>
          <w:szCs w:val="30"/>
        </w:rPr>
        <w:t>1.</w:t>
      </w:r>
      <w:r>
        <w:rPr>
          <w:rFonts w:hint="eastAsia" w:ascii="楷体_GB2312" w:hAnsi="宋体" w:eastAsia="楷体_GB2312"/>
          <w:sz w:val="30"/>
          <w:szCs w:val="30"/>
        </w:rPr>
        <w:t>规范通用名称</w:t>
      </w:r>
      <w:r>
        <w:rPr>
          <w:rFonts w:ascii="楷体_GB2312" w:hAnsi="宋体" w:eastAsia="楷体_GB2312"/>
          <w:sz w:val="30"/>
          <w:szCs w:val="30"/>
        </w:rPr>
        <w:t>为</w:t>
      </w:r>
      <w:r w:rsidRPr="00BF392E">
        <w:rPr>
          <w:rFonts w:hint="eastAsia" w:ascii="楷体_GB2312" w:hAnsi="宋体" w:eastAsia="楷体_GB2312"/>
          <w:sz w:val="30"/>
          <w:szCs w:val="30"/>
        </w:rPr>
        <w:t>复方氨基酸注射液（18AA-V）</w:t>
      </w:r>
      <w:r>
        <w:rPr>
          <w:rFonts w:hint="eastAsia" w:ascii="楷体_GB2312" w:hAnsi="宋体" w:eastAsia="楷体_GB2312"/>
          <w:sz w:val="30"/>
          <w:szCs w:val="30"/>
        </w:rPr>
        <w:t>，</w:t>
      </w:r>
      <w:r w:rsidRPr="00BF392E">
        <w:rPr>
          <w:rFonts w:hint="eastAsia" w:ascii="楷体_GB2312" w:hAnsi="宋体" w:eastAsia="楷体_GB2312"/>
          <w:sz w:val="30"/>
          <w:szCs w:val="30"/>
        </w:rPr>
        <w:t>复方氨基酸注射液（18AA-V</w:t>
      </w:r>
      <w:r w:rsidRPr="00BF392E">
        <w:rPr>
          <w:rFonts w:ascii="楷体_GB2312" w:hAnsi="宋体" w:eastAsia="楷体_GB2312"/>
          <w:sz w:val="30"/>
          <w:szCs w:val="30"/>
        </w:rPr>
        <w:t>-SF</w:t>
      </w:r>
      <w:r w:rsidRPr="00BF392E">
        <w:rPr>
          <w:rFonts w:hint="eastAsia" w:ascii="楷体_GB2312" w:hAnsi="宋体" w:eastAsia="楷体_GB2312"/>
          <w:sz w:val="30"/>
          <w:szCs w:val="30"/>
        </w:rPr>
        <w:t>）</w:t>
      </w:r>
      <w:r>
        <w:rPr>
          <w:rFonts w:hint="eastAsia" w:ascii="楷体_GB2312" w:hAnsi="宋体" w:eastAsia="楷体_GB2312"/>
          <w:sz w:val="30"/>
          <w:szCs w:val="30"/>
        </w:rPr>
        <w:t>作为</w:t>
      </w:r>
      <w:r>
        <w:rPr>
          <w:rFonts w:ascii="楷体_GB2312" w:hAnsi="宋体" w:eastAsia="楷体_GB2312"/>
          <w:sz w:val="30"/>
          <w:szCs w:val="30"/>
        </w:rPr>
        <w:t>曾用名</w:t>
      </w:r>
      <w:r w:rsidRPr="00DA232A" w:rsidR="00DA232A">
        <w:rPr>
          <w:rFonts w:hint="eastAsia" w:ascii="楷体_GB2312" w:hAnsi="宋体" w:eastAsia="楷体_GB2312"/>
          <w:sz w:val="30"/>
          <w:szCs w:val="30"/>
        </w:rPr>
        <w:t>；</w:t>
      </w:r>
      <w:r w:rsidR="00AD6E80">
        <w:rPr>
          <w:rFonts w:hint="eastAsia" w:ascii="楷体_GB2312" w:hAnsi="宋体" w:eastAsia="楷体_GB2312"/>
          <w:sz w:val="30"/>
          <w:szCs w:val="30"/>
        </w:rPr>
        <w:t>2</w:t>
      </w:r>
      <w:r w:rsidR="00AD6E80">
        <w:rPr>
          <w:rFonts w:ascii="楷体_GB2312" w:hAnsi="宋体" w:eastAsia="楷体_GB2312"/>
          <w:sz w:val="30"/>
          <w:szCs w:val="30"/>
        </w:rPr>
        <w:t>.</w:t>
      </w:r>
      <w:r w:rsidR="00AD6E80">
        <w:rPr>
          <w:rFonts w:hint="eastAsia" w:ascii="楷体_GB2312" w:hAnsi="宋体" w:eastAsia="楷体_GB2312"/>
          <w:sz w:val="30"/>
          <w:szCs w:val="30"/>
        </w:rPr>
        <w:t>统一规范</w:t>
      </w:r>
      <w:r w:rsidR="00AD6E80">
        <w:rPr>
          <w:rFonts w:ascii="楷体_GB2312" w:hAnsi="宋体" w:eastAsia="楷体_GB2312"/>
          <w:sz w:val="30"/>
          <w:szCs w:val="30"/>
        </w:rPr>
        <w:t>处方</w:t>
      </w:r>
      <w:r w:rsidR="00AD6E80">
        <w:rPr>
          <w:rFonts w:hint="eastAsia" w:ascii="楷体_GB2312" w:hAnsi="宋体" w:eastAsia="楷体_GB2312"/>
          <w:sz w:val="30"/>
          <w:szCs w:val="30"/>
        </w:rPr>
        <w:t>书写，</w:t>
      </w:r>
      <w:r w:rsidR="00AD6E80">
        <w:rPr>
          <w:rFonts w:ascii="楷体_GB2312" w:hAnsi="宋体" w:eastAsia="楷体_GB2312"/>
          <w:sz w:val="30"/>
          <w:szCs w:val="30"/>
        </w:rPr>
        <w:t>各企业</w:t>
      </w:r>
      <w:r w:rsidR="00AD6E80">
        <w:rPr>
          <w:rFonts w:hint="eastAsia" w:ascii="楷体_GB2312" w:hAnsi="宋体" w:eastAsia="楷体_GB2312"/>
          <w:sz w:val="30"/>
          <w:szCs w:val="30"/>
        </w:rPr>
        <w:t>需按照</w:t>
      </w:r>
      <w:r w:rsidR="00AD6E80">
        <w:rPr>
          <w:rFonts w:ascii="楷体_GB2312" w:hAnsi="宋体" w:eastAsia="楷体_GB2312"/>
          <w:sz w:val="30"/>
          <w:szCs w:val="30"/>
        </w:rPr>
        <w:t>国家药品监管部门</w:t>
      </w:r>
      <w:r w:rsidR="005C50EB">
        <w:rPr>
          <w:rFonts w:hint="eastAsia" w:ascii="楷体_GB2312" w:hAnsi="宋体" w:eastAsia="楷体_GB2312"/>
          <w:sz w:val="30"/>
          <w:szCs w:val="30"/>
        </w:rPr>
        <w:t>核</w:t>
      </w:r>
      <w:r w:rsidR="00AD6E80">
        <w:rPr>
          <w:rFonts w:hint="eastAsia" w:ascii="楷体_GB2312" w:hAnsi="宋体" w:eastAsia="楷体_GB2312"/>
          <w:sz w:val="30"/>
          <w:szCs w:val="30"/>
        </w:rPr>
        <w:t>准</w:t>
      </w:r>
      <w:r w:rsidR="005C50EB">
        <w:rPr>
          <w:rFonts w:ascii="楷体_GB2312" w:hAnsi="宋体" w:eastAsia="楷体_GB2312"/>
          <w:sz w:val="30"/>
          <w:szCs w:val="30"/>
        </w:rPr>
        <w:t>的处方</w:t>
      </w:r>
      <w:r w:rsidR="005C50EB">
        <w:rPr>
          <w:rFonts w:hint="eastAsia" w:ascii="楷体_GB2312" w:hAnsi="宋体" w:eastAsia="楷体_GB2312"/>
          <w:sz w:val="30"/>
          <w:szCs w:val="30"/>
        </w:rPr>
        <w:t>进行</w:t>
      </w:r>
      <w:r w:rsidR="005C50EB">
        <w:rPr>
          <w:rFonts w:ascii="楷体_GB2312" w:hAnsi="宋体" w:eastAsia="楷体_GB2312"/>
          <w:sz w:val="30"/>
          <w:szCs w:val="30"/>
        </w:rPr>
        <w:t>生产</w:t>
      </w:r>
      <w:r w:rsidR="005C50EB">
        <w:rPr>
          <w:rFonts w:hint="eastAsia" w:ascii="楷体_GB2312" w:hAnsi="宋体" w:eastAsia="楷体_GB2312"/>
          <w:sz w:val="30"/>
          <w:szCs w:val="30"/>
        </w:rPr>
        <w:t>；</w:t>
      </w:r>
      <w:r w:rsidR="00AD6E80">
        <w:rPr>
          <w:rFonts w:ascii="楷体_GB2312" w:hAnsi="宋体" w:eastAsia="楷体_GB2312"/>
          <w:sz w:val="30"/>
          <w:szCs w:val="30"/>
        </w:rPr>
        <w:t>3.</w:t>
      </w:r>
      <w:r>
        <w:rPr>
          <w:rFonts w:hint="eastAsia" w:ascii="楷体_GB2312" w:hAnsi="宋体" w:eastAsia="楷体_GB2312"/>
          <w:sz w:val="30"/>
          <w:szCs w:val="30"/>
        </w:rPr>
        <w:t>增订</w:t>
      </w:r>
      <w:r>
        <w:rPr>
          <w:rFonts w:ascii="楷体_GB2312" w:hAnsi="宋体" w:eastAsia="楷体_GB2312"/>
          <w:sz w:val="30"/>
          <w:szCs w:val="30"/>
        </w:rPr>
        <w:t>有关物质，</w:t>
      </w:r>
      <w:r>
        <w:rPr>
          <w:rFonts w:hint="eastAsia" w:ascii="楷体_GB2312" w:hAnsi="宋体" w:eastAsia="楷体_GB2312"/>
          <w:sz w:val="30"/>
          <w:szCs w:val="30"/>
        </w:rPr>
        <w:t>通过对</w:t>
      </w:r>
      <w:r w:rsidRPr="00BF392E">
        <w:rPr>
          <w:rFonts w:ascii="楷体_GB2312" w:hAnsi="宋体" w:eastAsia="楷体_GB2312"/>
          <w:sz w:val="30"/>
          <w:szCs w:val="30"/>
        </w:rPr>
        <w:t>色氨酸</w:t>
      </w:r>
      <w:r w:rsidRPr="00BF392E">
        <w:rPr>
          <w:rFonts w:hint="eastAsia" w:ascii="楷体_GB2312" w:hAnsi="宋体" w:eastAsia="楷体_GB2312"/>
          <w:sz w:val="30"/>
          <w:szCs w:val="30"/>
        </w:rPr>
        <w:t>、</w:t>
      </w:r>
      <w:r w:rsidRPr="00BF392E">
        <w:rPr>
          <w:rFonts w:ascii="楷体_GB2312" w:hAnsi="宋体" w:eastAsia="楷体_GB2312"/>
          <w:sz w:val="30"/>
          <w:szCs w:val="30"/>
        </w:rPr>
        <w:t>谷氨酸</w:t>
      </w:r>
      <w:r w:rsidRPr="00BF392E">
        <w:rPr>
          <w:rFonts w:hint="eastAsia" w:ascii="楷体_GB2312" w:hAnsi="宋体" w:eastAsia="楷体_GB2312"/>
          <w:sz w:val="30"/>
          <w:szCs w:val="30"/>
        </w:rPr>
        <w:t>和</w:t>
      </w:r>
      <w:r w:rsidRPr="00BF392E">
        <w:rPr>
          <w:rFonts w:ascii="楷体_GB2312" w:hAnsi="宋体" w:eastAsia="楷体_GB2312"/>
          <w:sz w:val="30"/>
          <w:szCs w:val="30"/>
        </w:rPr>
        <w:t>甲硫氨酸</w:t>
      </w:r>
      <w:r>
        <w:rPr>
          <w:rFonts w:hint="eastAsia" w:ascii="楷体_GB2312" w:hAnsi="宋体" w:eastAsia="楷体_GB2312"/>
          <w:sz w:val="30"/>
          <w:szCs w:val="30"/>
        </w:rPr>
        <w:t>相关</w:t>
      </w:r>
      <w:r w:rsidRPr="00BF392E">
        <w:rPr>
          <w:rFonts w:ascii="楷体_GB2312" w:hAnsi="宋体" w:eastAsia="楷体_GB2312"/>
          <w:sz w:val="30"/>
          <w:szCs w:val="30"/>
        </w:rPr>
        <w:t>杂质</w:t>
      </w:r>
      <w:r>
        <w:rPr>
          <w:rFonts w:hint="eastAsia" w:ascii="楷体_GB2312" w:hAnsi="宋体" w:eastAsia="楷体_GB2312"/>
          <w:sz w:val="30"/>
          <w:szCs w:val="30"/>
        </w:rPr>
        <w:t>进行</w:t>
      </w:r>
      <w:r>
        <w:rPr>
          <w:rFonts w:ascii="楷体_GB2312" w:hAnsi="宋体" w:eastAsia="楷体_GB2312"/>
          <w:sz w:val="30"/>
          <w:szCs w:val="30"/>
        </w:rPr>
        <w:t>控制，以保证产品</w:t>
      </w:r>
      <w:r>
        <w:rPr>
          <w:rFonts w:hint="eastAsia" w:ascii="楷体_GB2312" w:hAnsi="宋体" w:eastAsia="楷体_GB2312"/>
          <w:sz w:val="30"/>
          <w:szCs w:val="30"/>
        </w:rPr>
        <w:t>其他</w:t>
      </w:r>
      <w:r>
        <w:rPr>
          <w:rFonts w:ascii="楷体_GB2312" w:hAnsi="宋体" w:eastAsia="楷体_GB2312"/>
          <w:sz w:val="30"/>
          <w:szCs w:val="30"/>
        </w:rPr>
        <w:t>成分</w:t>
      </w:r>
      <w:r>
        <w:rPr>
          <w:rFonts w:hint="eastAsia" w:ascii="楷体_GB2312" w:hAnsi="宋体" w:eastAsia="楷体_GB2312"/>
          <w:sz w:val="30"/>
          <w:szCs w:val="30"/>
        </w:rPr>
        <w:t>的</w:t>
      </w:r>
      <w:r>
        <w:rPr>
          <w:rFonts w:ascii="楷体_GB2312" w:hAnsi="宋体" w:eastAsia="楷体_GB2312"/>
          <w:sz w:val="30"/>
          <w:szCs w:val="30"/>
        </w:rPr>
        <w:t>稳定</w:t>
      </w:r>
      <w:r w:rsidR="006D3BF6">
        <w:rPr>
          <w:rFonts w:hint="eastAsia" w:ascii="楷体_GB2312" w:hAnsi="宋体" w:eastAsia="楷体_GB2312"/>
          <w:sz w:val="30"/>
          <w:szCs w:val="30"/>
        </w:rPr>
        <w:t>、</w:t>
      </w:r>
      <w:r w:rsidR="006D3BF6">
        <w:rPr>
          <w:rFonts w:ascii="楷体_GB2312" w:hAnsi="宋体" w:eastAsia="楷体_GB2312"/>
          <w:sz w:val="30"/>
          <w:szCs w:val="30"/>
        </w:rPr>
        <w:t>可控</w:t>
      </w:r>
      <w:r w:rsidR="006D3BF6">
        <w:rPr>
          <w:rFonts w:hint="eastAsia" w:ascii="楷体_GB2312" w:hAnsi="宋体" w:eastAsia="楷体_GB2312"/>
          <w:sz w:val="30"/>
          <w:szCs w:val="30"/>
        </w:rPr>
        <w:t>；</w:t>
      </w:r>
      <w:r w:rsidR="0041723D">
        <w:rPr>
          <w:rFonts w:hint="eastAsia" w:ascii="楷体_GB2312" w:hAnsi="宋体" w:eastAsia="楷体_GB2312"/>
          <w:sz w:val="30"/>
          <w:szCs w:val="30"/>
        </w:rPr>
        <w:t>4</w:t>
      </w:r>
      <w:r w:rsidR="006D3BF6">
        <w:rPr>
          <w:rFonts w:ascii="楷体_GB2312" w:hAnsi="宋体" w:eastAsia="楷体_GB2312"/>
          <w:sz w:val="30"/>
          <w:szCs w:val="30"/>
        </w:rPr>
        <w:t>.含量测定：</w:t>
      </w:r>
      <w:r w:rsidRPr="006D3BF6" w:rsidR="006D3BF6">
        <w:rPr>
          <w:rFonts w:hint="eastAsia" w:ascii="楷体_GB2312" w:hAnsi="宋体" w:eastAsia="楷体_GB2312"/>
          <w:sz w:val="30"/>
          <w:szCs w:val="30"/>
        </w:rPr>
        <w:t>氨基酸均采用通用的氨基酸分析仪或高效液相色谱法进行分离外标法定量测定</w:t>
      </w:r>
      <w:r w:rsidR="006D3BF6">
        <w:rPr>
          <w:rFonts w:hint="eastAsia" w:ascii="楷体_GB2312" w:hAnsi="宋体" w:eastAsia="楷体_GB2312"/>
          <w:sz w:val="30"/>
          <w:szCs w:val="30"/>
        </w:rPr>
        <w:t>，</w:t>
      </w:r>
      <w:r w:rsidRPr="006D3BF6" w:rsidR="006D3BF6">
        <w:rPr>
          <w:rFonts w:hint="eastAsia" w:ascii="楷体_GB2312" w:hAnsi="宋体" w:eastAsia="楷体_GB2312"/>
          <w:sz w:val="30"/>
          <w:szCs w:val="30"/>
        </w:rPr>
        <w:t>如不能同时测定盐酸半胱氨酸、酪氨酸与色氨酸时，则可按标准所列</w:t>
      </w:r>
      <w:r w:rsidRPr="006D3BF6" w:rsidR="006D3BF6">
        <w:rPr>
          <w:rFonts w:ascii="楷体_GB2312" w:hAnsi="宋体" w:eastAsia="楷体_GB2312"/>
          <w:sz w:val="30"/>
          <w:szCs w:val="30"/>
        </w:rPr>
        <w:t>方法测定</w:t>
      </w:r>
      <w:r w:rsidRPr="006D3BF6" w:rsidR="006D3BF6">
        <w:rPr>
          <w:rFonts w:hint="eastAsia" w:ascii="楷体_GB2312" w:hAnsi="宋体" w:eastAsia="楷体_GB2312"/>
          <w:sz w:val="30"/>
          <w:szCs w:val="30"/>
        </w:rPr>
        <w:t>。</w:t>
      </w:r>
    </w:p>
    <w:p w:rsidRPr="00A762FC" w:rsidR="00A762FC" w:rsidP="00A762FC" w:rsidRDefault="00A762FC">
      <w:pPr>
        <w:jc w:val="center"/>
        <w:rPr>
          <w:sz w:val="44"/>
          <w:szCs w:val="44"/>
        </w:rPr>
      </w:pPr>
    </w:p>
    <w:sectPr w:rsidRPr="00A762FC" w:rsidR="00A762F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62FC" w:rsidRDefault="00A762FC" w:rsidP="00A762FC">
      <w:r>
        <w:separator/>
      </w:r>
    </w:p>
  </w:endnote>
  <w:endnote w:type="continuationSeparator" w:id="0">
    <w:p w:rsidR="00A762FC" w:rsidRDefault="00A762FC" w:rsidP="00A76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62FC" w:rsidRDefault="00A762FC" w:rsidP="00A762FC">
      <w:r>
        <w:separator/>
      </w:r>
    </w:p>
  </w:footnote>
  <w:footnote w:type="continuationSeparator" w:id="0">
    <w:p w:rsidR="00A762FC" w:rsidRDefault="00A762FC" w:rsidP="00A762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8F9"/>
    <w:rsid w:val="000361C3"/>
    <w:rsid w:val="000C15D4"/>
    <w:rsid w:val="0041723D"/>
    <w:rsid w:val="005C50EB"/>
    <w:rsid w:val="006D3BF6"/>
    <w:rsid w:val="008468F9"/>
    <w:rsid w:val="00940EEB"/>
    <w:rsid w:val="00A40B42"/>
    <w:rsid w:val="00A762FC"/>
    <w:rsid w:val="00AD6E80"/>
    <w:rsid w:val="00BF392E"/>
    <w:rsid w:val="00DA23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316823"/>
  <w15:chartTrackingRefBased/>
  <w15:docId w15:val="{9E3E9A0A-691F-4DE9-A883-A114FE5BC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62F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762FC"/>
    <w:rPr>
      <w:sz w:val="18"/>
      <w:szCs w:val="18"/>
    </w:rPr>
  </w:style>
  <w:style w:type="paragraph" w:styleId="a5">
    <w:name w:val="footer"/>
    <w:basedOn w:val="a"/>
    <w:link w:val="a6"/>
    <w:uiPriority w:val="99"/>
    <w:unhideWhenUsed/>
    <w:rsid w:val="00A762FC"/>
    <w:pPr>
      <w:tabs>
        <w:tab w:val="center" w:pos="4153"/>
        <w:tab w:val="right" w:pos="8306"/>
      </w:tabs>
      <w:snapToGrid w:val="0"/>
      <w:jc w:val="left"/>
    </w:pPr>
    <w:rPr>
      <w:sz w:val="18"/>
      <w:szCs w:val="18"/>
    </w:rPr>
  </w:style>
  <w:style w:type="character" w:customStyle="1" w:styleId="a6">
    <w:name w:val="页脚 字符"/>
    <w:basedOn w:val="a0"/>
    <w:link w:val="a5"/>
    <w:uiPriority w:val="99"/>
    <w:rsid w:val="00A762FC"/>
    <w:rPr>
      <w:sz w:val="18"/>
      <w:szCs w:val="18"/>
    </w:rPr>
  </w:style>
  <w:style w:type="paragraph" w:styleId="a7">
    <w:name w:val="Balloon Text"/>
    <w:basedOn w:val="a"/>
    <w:link w:val="a8"/>
    <w:uiPriority w:val="99"/>
    <w:semiHidden/>
    <w:unhideWhenUsed/>
    <w:rsid w:val="00DA232A"/>
    <w:rPr>
      <w:sz w:val="18"/>
      <w:szCs w:val="18"/>
    </w:rPr>
  </w:style>
  <w:style w:type="character" w:customStyle="1" w:styleId="a8">
    <w:name w:val="批注框文本 字符"/>
    <w:basedOn w:val="a0"/>
    <w:link w:val="a7"/>
    <w:uiPriority w:val="99"/>
    <w:semiHidden/>
    <w:rsid w:val="00DA232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1</Pages>
  <Words>62</Words>
  <Characters>358</Characters>
  <Application>Microsoft Office Word</Application>
  <DocSecurity>0</DocSecurity>
  <Lines>2</Lines>
  <Paragraphs>1</Paragraphs>
  <ScaleCrop>false</ScaleCrop>
  <Company>China</Company>
  <LinksUpToDate>false</LinksUpToDate>
  <CharactersWithSpaces>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周怡</dc:creator>
  <cp:keywords/>
  <dc:description/>
  <cp:lastModifiedBy>周怡</cp:lastModifiedBy>
  <cp:revision>7</cp:revision>
  <cp:lastPrinted>2024-01-03T08:01:00Z</cp:lastPrinted>
  <dcterms:created xsi:type="dcterms:W3CDTF">2024-01-03T07:22:00Z</dcterms:created>
  <dcterms:modified xsi:type="dcterms:W3CDTF">2024-03-20T03:27:00Z</dcterms:modified>
</cp:coreProperties>
</file>