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val="0"/>
        <w:topLinePunct w:val="0"/>
        <w:autoSpaceDE/>
        <w:autoSpaceDN/>
        <w:bidi w:val="0"/>
        <w:textAlignment w:val="auto"/>
        <w:rPr>
          <w:rFonts w:hint="default" w:ascii="Times New Roman" w:hAnsi="Times New Roman" w:eastAsia="黑体" w:cs="Times New Roman"/>
          <w:sz w:val="32"/>
        </w:rPr>
      </w:pPr>
      <w:r>
        <w:rPr>
          <w:rFonts w:hint="default" w:ascii="Times New Roman" w:hAnsi="Times New Roman" w:eastAsia="黑体" w:cs="Times New Roman"/>
          <w:spacing w:val="0"/>
        </w:rPr>
        <w:t>附件</w:t>
      </w:r>
      <w:r>
        <w:rPr>
          <w:rFonts w:hint="default" w:ascii="Times New Roman" w:hAnsi="Times New Roman" w:eastAsia="黑体" w:cs="Times New Roman"/>
        </w:rPr>
        <w:t>2</w:t>
      </w:r>
    </w:p>
    <w:p>
      <w:pPr>
        <w:keepNext w:val="0"/>
        <w:keepLines w:val="0"/>
        <w:pageBreakBefore w:val="0"/>
        <w:widowControl w:val="0"/>
        <w:kinsoku/>
        <w:wordWrap/>
        <w:overflowPunct w:val="0"/>
        <w:topLinePunct w:val="0"/>
        <w:autoSpaceDE/>
        <w:autoSpaceDN/>
        <w:bidi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协议医疗机构考核指标及分值参考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9"/>
        <w:gridCol w:w="3728"/>
        <w:gridCol w:w="1063"/>
        <w:gridCol w:w="828"/>
        <w:gridCol w:w="2554"/>
        <w:gridCol w:w="4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1519"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pacing w:val="0"/>
                <w:sz w:val="20"/>
                <w:szCs w:val="20"/>
              </w:rPr>
            </w:pPr>
            <w:r>
              <w:rPr>
                <w:rFonts w:hint="eastAsia" w:ascii="黑体" w:hAnsi="黑体" w:eastAsia="黑体" w:cs="黑体"/>
                <w:spacing w:val="0"/>
                <w:sz w:val="20"/>
                <w:szCs w:val="20"/>
              </w:rPr>
              <w:t>考核内容</w:t>
            </w:r>
          </w:p>
        </w:tc>
        <w:tc>
          <w:tcPr>
            <w:tcW w:w="37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pacing w:val="0"/>
                <w:sz w:val="20"/>
                <w:szCs w:val="20"/>
              </w:rPr>
            </w:pPr>
            <w:r>
              <w:rPr>
                <w:rFonts w:hint="eastAsia" w:ascii="黑体" w:hAnsi="黑体" w:eastAsia="黑体" w:cs="黑体"/>
                <w:spacing w:val="0"/>
                <w:sz w:val="20"/>
                <w:szCs w:val="20"/>
              </w:rPr>
              <w:t>考核指标</w:t>
            </w:r>
          </w:p>
        </w:tc>
        <w:tc>
          <w:tcPr>
            <w:tcW w:w="106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pacing w:val="0"/>
                <w:sz w:val="20"/>
                <w:szCs w:val="20"/>
              </w:rPr>
            </w:pPr>
            <w:r>
              <w:rPr>
                <w:rFonts w:hint="eastAsia" w:ascii="黑体" w:hAnsi="黑体" w:eastAsia="黑体" w:cs="黑体"/>
                <w:spacing w:val="0"/>
                <w:sz w:val="20"/>
                <w:szCs w:val="20"/>
              </w:rPr>
              <w:t>重要</w:t>
            </w:r>
          </w:p>
          <w:p>
            <w:pPr>
              <w:pStyle w:val="9"/>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pacing w:val="0"/>
                <w:sz w:val="20"/>
                <w:szCs w:val="20"/>
              </w:rPr>
            </w:pPr>
            <w:r>
              <w:rPr>
                <w:rFonts w:hint="eastAsia" w:ascii="黑体" w:hAnsi="黑体" w:eastAsia="黑体" w:cs="黑体"/>
                <w:spacing w:val="0"/>
                <w:sz w:val="20"/>
                <w:szCs w:val="20"/>
              </w:rPr>
              <w:t>程度</w:t>
            </w:r>
          </w:p>
        </w:tc>
        <w:tc>
          <w:tcPr>
            <w:tcW w:w="8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pacing w:val="0"/>
                <w:sz w:val="20"/>
                <w:szCs w:val="20"/>
              </w:rPr>
            </w:pPr>
            <w:r>
              <w:rPr>
                <w:rFonts w:hint="eastAsia" w:ascii="黑体" w:hAnsi="黑体" w:eastAsia="黑体" w:cs="黑体"/>
                <w:spacing w:val="0"/>
                <w:sz w:val="20"/>
                <w:szCs w:val="20"/>
              </w:rPr>
              <w:t>参考</w:t>
            </w:r>
          </w:p>
          <w:p>
            <w:pPr>
              <w:pStyle w:val="9"/>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pacing w:val="0"/>
                <w:sz w:val="20"/>
                <w:szCs w:val="20"/>
              </w:rPr>
            </w:pPr>
            <w:r>
              <w:rPr>
                <w:rFonts w:hint="eastAsia" w:ascii="黑体" w:hAnsi="黑体" w:eastAsia="黑体" w:cs="黑体"/>
                <w:spacing w:val="0"/>
                <w:sz w:val="20"/>
                <w:szCs w:val="20"/>
              </w:rPr>
              <w:t>分值</w:t>
            </w:r>
          </w:p>
        </w:tc>
        <w:tc>
          <w:tcPr>
            <w:tcW w:w="2554"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pacing w:val="0"/>
                <w:sz w:val="20"/>
                <w:szCs w:val="20"/>
              </w:rPr>
            </w:pPr>
            <w:r>
              <w:rPr>
                <w:rFonts w:hint="eastAsia" w:ascii="黑体" w:hAnsi="黑体" w:eastAsia="黑体" w:cs="黑体"/>
                <w:spacing w:val="0"/>
                <w:sz w:val="20"/>
                <w:szCs w:val="20"/>
              </w:rPr>
              <w:t>计算公式</w:t>
            </w:r>
          </w:p>
        </w:tc>
        <w:tc>
          <w:tcPr>
            <w:tcW w:w="411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spacing w:val="0"/>
                <w:sz w:val="20"/>
                <w:szCs w:val="20"/>
              </w:rPr>
            </w:pPr>
            <w:r>
              <w:rPr>
                <w:rFonts w:hint="eastAsia" w:ascii="黑体" w:hAnsi="黑体" w:eastAsia="黑体" w:cs="黑体"/>
                <w:spacing w:val="0"/>
                <w:sz w:val="20"/>
                <w:szCs w:val="20"/>
              </w:rPr>
              <w:t>考核要求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1519" w:type="dxa"/>
            <w:vMerge w:val="restart"/>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（一）执行</w:t>
            </w:r>
          </w:p>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集采规定</w:t>
            </w:r>
          </w:p>
        </w:tc>
        <w:tc>
          <w:tcPr>
            <w:tcW w:w="37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1.是否按时完成国家组织集中采购中选</w:t>
            </w:r>
            <w:r>
              <w:rPr>
                <w:rFonts w:hint="eastAsia" w:ascii="方正书宋简体" w:hAnsi="方正书宋简体" w:eastAsia="方正书宋简体" w:cs="方正书宋简体"/>
                <w:spacing w:val="0"/>
                <w:sz w:val="20"/>
                <w:szCs w:val="20"/>
                <w:lang w:val="en-US" w:eastAsia="zh-CN"/>
              </w:rPr>
              <w:t>产品</w:t>
            </w:r>
            <w:r>
              <w:rPr>
                <w:rFonts w:hint="eastAsia" w:ascii="方正书宋简体" w:hAnsi="方正书宋简体" w:eastAsia="方正书宋简体" w:cs="方正书宋简体"/>
                <w:spacing w:val="0"/>
                <w:sz w:val="20"/>
                <w:szCs w:val="20"/>
              </w:rPr>
              <w:t>的约定采购量</w:t>
            </w:r>
          </w:p>
        </w:tc>
        <w:tc>
          <w:tcPr>
            <w:tcW w:w="106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关键</w:t>
            </w:r>
          </w:p>
        </w:tc>
        <w:tc>
          <w:tcPr>
            <w:tcW w:w="8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w:t>
            </w:r>
          </w:p>
        </w:tc>
        <w:tc>
          <w:tcPr>
            <w:tcW w:w="2554"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w:t>
            </w:r>
          </w:p>
        </w:tc>
        <w:tc>
          <w:tcPr>
            <w:tcW w:w="411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按中选</w:t>
            </w:r>
            <w:r>
              <w:rPr>
                <w:rFonts w:hint="eastAsia" w:ascii="方正书宋简体" w:hAnsi="方正书宋简体" w:eastAsia="方正书宋简体" w:cs="方正书宋简体"/>
                <w:spacing w:val="0"/>
                <w:sz w:val="20"/>
                <w:szCs w:val="20"/>
                <w:lang w:val="en-US" w:eastAsia="zh-CN"/>
              </w:rPr>
              <w:t>产</w:t>
            </w:r>
            <w:r>
              <w:rPr>
                <w:rFonts w:hint="eastAsia" w:ascii="方正书宋简体" w:hAnsi="方正书宋简体" w:eastAsia="方正书宋简体" w:cs="方正书宋简体"/>
                <w:spacing w:val="0"/>
                <w:sz w:val="20"/>
                <w:szCs w:val="20"/>
              </w:rPr>
              <w:t>品分别统计，未按时完成约定采购量，该中选</w:t>
            </w:r>
            <w:r>
              <w:rPr>
                <w:rFonts w:hint="eastAsia" w:ascii="方正书宋简体" w:hAnsi="方正书宋简体" w:eastAsia="方正书宋简体" w:cs="方正书宋简体"/>
                <w:spacing w:val="0"/>
                <w:sz w:val="20"/>
                <w:szCs w:val="20"/>
                <w:lang w:val="en-US" w:eastAsia="zh-CN"/>
              </w:rPr>
              <w:t>产</w:t>
            </w:r>
            <w:r>
              <w:rPr>
                <w:rFonts w:hint="eastAsia" w:ascii="方正书宋简体" w:hAnsi="方正书宋简体" w:eastAsia="方正书宋简体" w:cs="方正书宋简体"/>
                <w:spacing w:val="0"/>
                <w:sz w:val="20"/>
                <w:szCs w:val="20"/>
              </w:rPr>
              <w:t>品不核算结余留用</w:t>
            </w:r>
            <w:r>
              <w:rPr>
                <w:rFonts w:hint="eastAsia" w:ascii="方正书宋简体" w:hAnsi="方正书宋简体" w:eastAsia="方正书宋简体" w:cs="方正书宋简体"/>
                <w:spacing w:val="0"/>
                <w:sz w:val="20"/>
                <w:szCs w:val="20"/>
                <w:u w:val="none"/>
              </w:rPr>
              <w:t>资金</w:t>
            </w:r>
            <w:r>
              <w:rPr>
                <w:rFonts w:hint="eastAsia" w:ascii="方正书宋简体" w:hAnsi="方正书宋简体" w:eastAsia="方正书宋简体" w:cs="方正书宋简体"/>
                <w:spacing w:val="0"/>
                <w:sz w:val="20"/>
                <w:szCs w:val="20"/>
                <w:u w:val="none"/>
                <w:lang w:eastAsia="zh-CN"/>
              </w:rPr>
              <w:t>；</w:t>
            </w:r>
            <w:r>
              <w:rPr>
                <w:rFonts w:hint="eastAsia" w:ascii="方正书宋简体" w:hAnsi="方正书宋简体" w:eastAsia="方正书宋简体" w:cs="方正书宋简体"/>
                <w:spacing w:val="0"/>
                <w:sz w:val="20"/>
                <w:szCs w:val="20"/>
                <w:highlight w:val="none"/>
                <w:u w:val="none"/>
                <w:lang w:val="en-US" w:eastAsia="zh-CN"/>
              </w:rPr>
              <w:t>未完成约定量产品数药品超过15%、耗材10%，该批次药品、耗材不核算结余留用资金。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519" w:type="dxa"/>
            <w:vMerge w:val="continue"/>
            <w:tcBorders>
              <w:top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p>
        </w:tc>
        <w:tc>
          <w:tcPr>
            <w:tcW w:w="37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2.</w:t>
            </w:r>
            <w:r>
              <w:rPr>
                <w:rFonts w:hint="eastAsia" w:ascii="方正书宋简体" w:hAnsi="方正书宋简体" w:eastAsia="方正书宋简体" w:cs="方正书宋简体"/>
                <w:spacing w:val="0"/>
                <w:sz w:val="20"/>
                <w:szCs w:val="20"/>
                <w:lang w:val="en-US" w:eastAsia="zh-CN"/>
              </w:rPr>
              <w:t>该批集采产品票据审核和对账复核情况</w:t>
            </w:r>
          </w:p>
        </w:tc>
        <w:tc>
          <w:tcPr>
            <w:tcW w:w="106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关键</w:t>
            </w:r>
          </w:p>
        </w:tc>
        <w:tc>
          <w:tcPr>
            <w:tcW w:w="8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15分</w:t>
            </w:r>
          </w:p>
        </w:tc>
        <w:tc>
          <w:tcPr>
            <w:tcW w:w="2554"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p>
        </w:tc>
        <w:tc>
          <w:tcPr>
            <w:tcW w:w="411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未在规定时间内完成票据审核工作的扣10分；未完成对账复核工作的扣5分。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1519" w:type="dxa"/>
            <w:vMerge w:val="restart"/>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（二）合理</w:t>
            </w:r>
          </w:p>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控制费用</w:t>
            </w:r>
          </w:p>
        </w:tc>
        <w:tc>
          <w:tcPr>
            <w:tcW w:w="37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3.协议医疗机构药品费用增长率</w:t>
            </w:r>
          </w:p>
        </w:tc>
        <w:tc>
          <w:tcPr>
            <w:tcW w:w="106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关键</w:t>
            </w:r>
          </w:p>
        </w:tc>
        <w:tc>
          <w:tcPr>
            <w:tcW w:w="8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10分</w:t>
            </w:r>
          </w:p>
        </w:tc>
        <w:tc>
          <w:tcPr>
            <w:tcW w:w="2554"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（本年度药品支出额－上年度药品支出额）/上年度药品支出额</w:t>
            </w:r>
          </w:p>
        </w:tc>
        <w:tc>
          <w:tcPr>
            <w:tcW w:w="411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考虑就诊人次增长因素前提下，合理控制医疗机构药费总额的增长</w:t>
            </w:r>
            <w:r>
              <w:rPr>
                <w:rFonts w:hint="eastAsia" w:ascii="方正书宋简体" w:hAnsi="方正书宋简体" w:eastAsia="方正书宋简体" w:cs="方正书宋简体"/>
                <w:spacing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1519" w:type="dxa"/>
            <w:vMerge w:val="continue"/>
            <w:tcBorders>
              <w:top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p>
        </w:tc>
        <w:tc>
          <w:tcPr>
            <w:tcW w:w="37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4.</w:t>
            </w:r>
            <w:r>
              <w:rPr>
                <w:rFonts w:hint="eastAsia" w:ascii="方正书宋简体" w:hAnsi="方正书宋简体" w:eastAsia="方正书宋简体" w:cs="方正书宋简体"/>
                <w:spacing w:val="0"/>
                <w:sz w:val="20"/>
                <w:szCs w:val="20"/>
                <w:lang w:val="en-US" w:eastAsia="zh-CN"/>
              </w:rPr>
              <w:t>集采高值耗材相关手术患者住院次均费用变化</w:t>
            </w:r>
          </w:p>
        </w:tc>
        <w:tc>
          <w:tcPr>
            <w:tcW w:w="106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lang w:val="en-US" w:eastAsia="zh-CN"/>
              </w:rPr>
            </w:pPr>
            <w:r>
              <w:rPr>
                <w:rFonts w:hint="eastAsia" w:ascii="方正书宋简体" w:hAnsi="方正书宋简体" w:eastAsia="方正书宋简体" w:cs="方正书宋简体"/>
                <w:spacing w:val="0"/>
                <w:sz w:val="20"/>
                <w:szCs w:val="20"/>
                <w:lang w:val="en-US" w:eastAsia="zh-CN"/>
              </w:rPr>
              <w:t>关键</w:t>
            </w:r>
          </w:p>
        </w:tc>
        <w:tc>
          <w:tcPr>
            <w:tcW w:w="828"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lang w:eastAsia="zh-CN"/>
              </w:rPr>
            </w:pPr>
            <w:r>
              <w:rPr>
                <w:rFonts w:hint="eastAsia" w:ascii="方正书宋简体" w:hAnsi="方正书宋简体" w:eastAsia="方正书宋简体" w:cs="方正书宋简体"/>
                <w:spacing w:val="0"/>
                <w:sz w:val="20"/>
                <w:szCs w:val="20"/>
                <w:lang w:val="en-US" w:eastAsia="zh-CN"/>
              </w:rPr>
              <w:t>10分</w:t>
            </w:r>
          </w:p>
        </w:tc>
        <w:tc>
          <w:tcPr>
            <w:tcW w:w="2554"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w:t>
            </w:r>
          </w:p>
        </w:tc>
        <w:tc>
          <w:tcPr>
            <w:tcW w:w="4113" w:type="dxa"/>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集采高值耗材相关手术患者住院次均费用较上年涨幅未超过价格指数涨幅的，得10分。超过的，全部中选高值耗材不核算结余留用资金。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519" w:type="dxa"/>
            <w:vMerge w:val="continue"/>
            <w:tcBorders>
              <w:top w:val="nil"/>
              <w:bottom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p>
        </w:tc>
        <w:tc>
          <w:tcPr>
            <w:tcW w:w="3728" w:type="dxa"/>
            <w:tcBorders>
              <w:bottom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5.</w:t>
            </w:r>
            <w:r>
              <w:rPr>
                <w:rFonts w:hint="eastAsia" w:ascii="方正书宋简体" w:hAnsi="方正书宋简体" w:eastAsia="方正书宋简体" w:cs="方正书宋简体"/>
                <w:spacing w:val="0"/>
                <w:sz w:val="20"/>
                <w:szCs w:val="20"/>
              </w:rPr>
              <w:t>非中选产品采购量占比</w:t>
            </w:r>
          </w:p>
        </w:tc>
        <w:tc>
          <w:tcPr>
            <w:tcW w:w="1063" w:type="dxa"/>
            <w:tcBorders>
              <w:bottom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关键</w:t>
            </w:r>
          </w:p>
        </w:tc>
        <w:tc>
          <w:tcPr>
            <w:tcW w:w="828" w:type="dxa"/>
            <w:tcBorders>
              <w:bottom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10分</w:t>
            </w:r>
          </w:p>
        </w:tc>
        <w:tc>
          <w:tcPr>
            <w:tcW w:w="2554" w:type="dxa"/>
            <w:tcBorders>
              <w:bottom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kern w:val="2"/>
                <w:sz w:val="20"/>
                <w:szCs w:val="20"/>
                <w:lang w:val="en-US" w:eastAsia="zh-CN" w:bidi="zh-CN"/>
              </w:rPr>
            </w:pPr>
            <w:r>
              <w:rPr>
                <w:rFonts w:hint="eastAsia" w:ascii="方正书宋简体" w:hAnsi="方正书宋简体" w:eastAsia="方正书宋简体" w:cs="方正书宋简体"/>
                <w:spacing w:val="0"/>
                <w:kern w:val="2"/>
                <w:sz w:val="20"/>
                <w:szCs w:val="20"/>
                <w:lang w:val="en-US" w:eastAsia="zh-CN" w:bidi="zh-CN"/>
              </w:rPr>
              <w:t>设定该批集采非中选产品采购量占比为A，A=非中选产品采购量/该（通用名）类产品总采购量</w:t>
            </w:r>
          </w:p>
        </w:tc>
        <w:tc>
          <w:tcPr>
            <w:tcW w:w="4113" w:type="dxa"/>
            <w:tcBorders>
              <w:bottom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kern w:val="2"/>
                <w:sz w:val="20"/>
                <w:szCs w:val="20"/>
                <w:lang w:val="en-US" w:eastAsia="zh-CN" w:bidi="zh-CN"/>
              </w:rPr>
            </w:pPr>
            <w:r>
              <w:rPr>
                <w:rFonts w:hint="eastAsia" w:ascii="方正书宋简体" w:hAnsi="方正书宋简体" w:eastAsia="方正书宋简体" w:cs="方正书宋简体"/>
                <w:spacing w:val="0"/>
                <w:kern w:val="2"/>
                <w:sz w:val="20"/>
                <w:szCs w:val="20"/>
                <w:lang w:val="en-US" w:eastAsia="zh-CN" w:bidi="zh-CN"/>
              </w:rPr>
              <w:t>A≤规定比例，得10分；</w:t>
            </w:r>
          </w:p>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kern w:val="2"/>
                <w:sz w:val="20"/>
                <w:szCs w:val="20"/>
                <w:lang w:val="en-US" w:eastAsia="zh-CN" w:bidi="zh-CN"/>
              </w:rPr>
            </w:pPr>
            <w:r>
              <w:rPr>
                <w:rFonts w:hint="eastAsia" w:ascii="方正书宋简体" w:hAnsi="方正书宋简体" w:eastAsia="方正书宋简体" w:cs="方正书宋简体"/>
                <w:spacing w:val="0"/>
                <w:kern w:val="2"/>
                <w:sz w:val="20"/>
                <w:szCs w:val="20"/>
                <w:lang w:val="en-US" w:eastAsia="zh-CN" w:bidi="zh-CN"/>
              </w:rPr>
              <w:t>A＞规定比例，不得分。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（三）落实集采、价格等改革政策</w:t>
            </w:r>
          </w:p>
        </w:tc>
        <w:tc>
          <w:tcPr>
            <w:tcW w:w="37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6</w:t>
            </w:r>
            <w:r>
              <w:rPr>
                <w:rFonts w:hint="eastAsia" w:ascii="方正书宋简体" w:hAnsi="方正书宋简体" w:eastAsia="方正书宋简体" w:cs="方正书宋简体"/>
                <w:spacing w:val="0"/>
                <w:sz w:val="20"/>
                <w:szCs w:val="20"/>
              </w:rPr>
              <w:t>.年度医疗机构所有</w:t>
            </w:r>
            <w:r>
              <w:rPr>
                <w:rFonts w:hint="eastAsia" w:ascii="方正书宋简体" w:hAnsi="方正书宋简体" w:eastAsia="方正书宋简体" w:cs="方正书宋简体"/>
                <w:spacing w:val="0"/>
                <w:sz w:val="20"/>
                <w:szCs w:val="20"/>
                <w:lang w:val="en-US" w:eastAsia="zh-CN"/>
              </w:rPr>
              <w:t>产品</w:t>
            </w:r>
            <w:r>
              <w:rPr>
                <w:rFonts w:hint="eastAsia" w:ascii="方正书宋简体" w:hAnsi="方正书宋简体" w:eastAsia="方正书宋简体" w:cs="方正书宋简体"/>
                <w:spacing w:val="0"/>
                <w:sz w:val="20"/>
                <w:szCs w:val="20"/>
              </w:rPr>
              <w:t>线下采购占比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关键</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kern w:val="2"/>
                <w:sz w:val="20"/>
                <w:szCs w:val="20"/>
                <w:lang w:val="en-US" w:eastAsia="zh-CN" w:bidi="zh-CN"/>
              </w:rPr>
            </w:pPr>
            <w:r>
              <w:rPr>
                <w:rFonts w:hint="eastAsia" w:ascii="方正书宋简体" w:hAnsi="方正书宋简体" w:eastAsia="方正书宋简体" w:cs="方正书宋简体"/>
                <w:spacing w:val="0"/>
                <w:kern w:val="2"/>
                <w:sz w:val="20"/>
                <w:szCs w:val="20"/>
                <w:lang w:val="en-US" w:eastAsia="zh-CN" w:bidi="zh-CN"/>
              </w:rPr>
              <w:t>（定点医疗机构实际产品采购总额-平台采购额）/定点医疗机构实际产品采购总额</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kern w:val="2"/>
                <w:sz w:val="20"/>
                <w:szCs w:val="20"/>
                <w:lang w:val="en-US" w:eastAsia="zh-CN" w:bidi="zh-CN"/>
              </w:rPr>
            </w:pPr>
            <w:r>
              <w:rPr>
                <w:rFonts w:hint="eastAsia" w:ascii="方正书宋简体" w:hAnsi="方正书宋简体" w:eastAsia="方正书宋简体" w:cs="方正书宋简体"/>
                <w:spacing w:val="0"/>
                <w:kern w:val="2"/>
                <w:sz w:val="20"/>
                <w:szCs w:val="20"/>
                <w:lang w:val="en-US" w:eastAsia="zh-CN" w:bidi="zh-CN"/>
              </w:rPr>
              <w:t>按要求规范线上采购，线下采购占比超过0%的，医疗机构该批次所有中选产品不核算结余留用资金（现有政策允许的情形除外）。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7</w:t>
            </w:r>
            <w:r>
              <w:rPr>
                <w:rFonts w:hint="eastAsia" w:ascii="方正书宋简体" w:hAnsi="方正书宋简体" w:eastAsia="方正书宋简体" w:cs="方正书宋简体"/>
                <w:spacing w:val="0"/>
                <w:sz w:val="20"/>
                <w:szCs w:val="20"/>
              </w:rPr>
              <w:t>.</w:t>
            </w:r>
            <w:r>
              <w:rPr>
                <w:rFonts w:hint="eastAsia" w:ascii="方正书宋简体" w:hAnsi="方正书宋简体" w:eastAsia="方正书宋简体" w:cs="方正书宋简体"/>
                <w:spacing w:val="0"/>
                <w:sz w:val="20"/>
                <w:szCs w:val="20"/>
                <w:lang w:val="en-US" w:eastAsia="zh-CN"/>
              </w:rPr>
              <w:t>货款直接结算占比</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关键</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15分</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kern w:val="2"/>
                <w:sz w:val="20"/>
                <w:szCs w:val="20"/>
                <w:lang w:val="zh-CN" w:eastAsia="zh-CN" w:bidi="zh-CN"/>
              </w:rPr>
            </w:pPr>
            <w:r>
              <w:rPr>
                <w:rFonts w:hint="eastAsia" w:ascii="方正书宋简体" w:hAnsi="方正书宋简体" w:eastAsia="方正书宋简体" w:cs="方正书宋简体"/>
                <w:spacing w:val="6"/>
                <w:kern w:val="2"/>
                <w:sz w:val="20"/>
                <w:szCs w:val="20"/>
                <w:lang w:val="en-US" w:eastAsia="zh-CN" w:bidi="zh-CN"/>
              </w:rPr>
              <w:t>设定直接结算金额比为B，B=直接结算金额/平台采购金额</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kern w:val="2"/>
                <w:sz w:val="20"/>
                <w:szCs w:val="20"/>
                <w:lang w:val="zh-CN" w:eastAsia="zh-CN" w:bidi="zh-CN"/>
              </w:rPr>
            </w:pPr>
            <w:r>
              <w:rPr>
                <w:rFonts w:hint="eastAsia" w:ascii="方正书宋简体" w:hAnsi="方正书宋简体" w:eastAsia="方正书宋简体" w:cs="方正书宋简体"/>
                <w:spacing w:val="0"/>
                <w:kern w:val="2"/>
                <w:sz w:val="20"/>
                <w:szCs w:val="20"/>
                <w:lang w:val="en-US" w:eastAsia="zh-CN" w:bidi="zh-CN"/>
              </w:rPr>
              <w:t>B≥95%，得15分；80%≤B</w:t>
            </w:r>
            <w:r>
              <w:rPr>
                <w:rFonts w:hint="eastAsia" w:ascii="方正书宋简体" w:hAnsi="方正书宋简体" w:eastAsia="方正书宋简体" w:cs="方正书宋简体"/>
                <w:spacing w:val="0"/>
                <w:kern w:val="2"/>
                <w:sz w:val="20"/>
                <w:szCs w:val="20"/>
                <w:lang w:val="zh-CN" w:eastAsia="zh-CN" w:bidi="zh-CN"/>
              </w:rPr>
              <w:t>＜</w:t>
            </w:r>
            <w:r>
              <w:rPr>
                <w:rFonts w:hint="eastAsia" w:ascii="方正书宋简体" w:hAnsi="方正书宋简体" w:eastAsia="方正书宋简体" w:cs="方正书宋简体"/>
                <w:spacing w:val="0"/>
                <w:kern w:val="2"/>
                <w:sz w:val="20"/>
                <w:szCs w:val="20"/>
                <w:lang w:val="en-US" w:eastAsia="zh-CN" w:bidi="zh-CN"/>
              </w:rPr>
              <w:t>95%，得10分；B</w:t>
            </w:r>
            <w:r>
              <w:rPr>
                <w:rFonts w:hint="eastAsia" w:ascii="方正书宋简体" w:hAnsi="方正书宋简体" w:eastAsia="方正书宋简体" w:cs="方正书宋简体"/>
                <w:spacing w:val="0"/>
                <w:kern w:val="2"/>
                <w:sz w:val="20"/>
                <w:szCs w:val="20"/>
                <w:lang w:val="zh-CN" w:eastAsia="zh-CN" w:bidi="zh-CN"/>
              </w:rPr>
              <w:t>＜</w:t>
            </w:r>
            <w:r>
              <w:rPr>
                <w:rFonts w:hint="eastAsia" w:ascii="方正书宋简体" w:hAnsi="方正书宋简体" w:eastAsia="方正书宋简体" w:cs="方正书宋简体"/>
                <w:spacing w:val="0"/>
                <w:kern w:val="2"/>
                <w:sz w:val="20"/>
                <w:szCs w:val="20"/>
                <w:lang w:val="en-US" w:eastAsia="zh-CN" w:bidi="zh-CN"/>
              </w:rPr>
              <w:t>80%，不得分。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8</w:t>
            </w:r>
            <w:r>
              <w:rPr>
                <w:rFonts w:hint="eastAsia" w:ascii="方正书宋简体" w:hAnsi="方正书宋简体" w:eastAsia="方正书宋简体" w:cs="方正书宋简体"/>
                <w:spacing w:val="0"/>
                <w:sz w:val="20"/>
                <w:szCs w:val="20"/>
              </w:rPr>
              <w:t>.备案采购管理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关键</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15分</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年度医院所有药品备案采购金额不超过规定比例</w:t>
            </w:r>
            <w:r>
              <w:rPr>
                <w:rFonts w:hint="eastAsia" w:ascii="方正书宋简体" w:hAnsi="方正书宋简体" w:eastAsia="方正书宋简体" w:cs="方正书宋简体"/>
                <w:spacing w:val="0"/>
                <w:sz w:val="20"/>
                <w:szCs w:val="20"/>
                <w:lang w:eastAsia="zh-CN"/>
              </w:rPr>
              <w:t>（</w:t>
            </w:r>
            <w:r>
              <w:rPr>
                <w:rFonts w:hint="eastAsia" w:ascii="方正书宋简体" w:hAnsi="方正书宋简体" w:eastAsia="方正书宋简体" w:cs="方正书宋简体"/>
                <w:spacing w:val="0"/>
                <w:sz w:val="20"/>
                <w:szCs w:val="20"/>
                <w:lang w:val="en-US" w:eastAsia="zh-CN"/>
              </w:rPr>
              <w:t>1%</w:t>
            </w:r>
            <w:r>
              <w:rPr>
                <w:rFonts w:hint="eastAsia" w:ascii="方正书宋简体" w:hAnsi="方正书宋简体" w:eastAsia="方正书宋简体" w:cs="方正书宋简体"/>
                <w:spacing w:val="0"/>
                <w:sz w:val="20"/>
                <w:szCs w:val="20"/>
                <w:lang w:eastAsia="zh-CN"/>
              </w:rPr>
              <w:t>），</w:t>
            </w:r>
            <w:r>
              <w:rPr>
                <w:rFonts w:hint="eastAsia" w:ascii="方正书宋简体" w:hAnsi="方正书宋简体" w:eastAsia="方正书宋简体" w:cs="方正书宋简体"/>
                <w:spacing w:val="0"/>
                <w:sz w:val="20"/>
                <w:szCs w:val="20"/>
                <w:lang w:val="en-US" w:eastAsia="zh-CN"/>
              </w:rPr>
              <w:t>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line="240" w:lineRule="auto"/>
              <w:ind w:left="42" w:leftChars="20" w:right="42" w:rightChars="20" w:firstLine="0" w:firstLineChars="0"/>
              <w:jc w:val="center"/>
              <w:textAlignment w:val="auto"/>
              <w:rPr>
                <w:rFonts w:hint="eastAsia" w:ascii="方正书宋简体" w:hAnsi="方正书宋简体" w:eastAsia="方正书宋简体" w:cs="方正书宋简体"/>
                <w:spacing w:val="0"/>
                <w:sz w:val="20"/>
                <w:szCs w:val="20"/>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lang w:val="en-US" w:eastAsia="zh-CN"/>
              </w:rPr>
              <w:t>9</w:t>
            </w:r>
            <w:r>
              <w:rPr>
                <w:rFonts w:hint="eastAsia" w:ascii="方正书宋简体" w:hAnsi="方正书宋简体" w:eastAsia="方正书宋简体" w:cs="方正书宋简体"/>
                <w:spacing w:val="0"/>
                <w:sz w:val="20"/>
                <w:szCs w:val="20"/>
              </w:rPr>
              <w:t>.执行集采政策（如报量、采购签约等）</w:t>
            </w:r>
          </w:p>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lang w:val="en-US" w:eastAsia="zh-CN"/>
              </w:rPr>
            </w:pPr>
            <w:r>
              <w:rPr>
                <w:rFonts w:hint="eastAsia" w:ascii="方正书宋简体" w:hAnsi="方正书宋简体" w:eastAsia="方正书宋简体" w:cs="方正书宋简体"/>
                <w:spacing w:val="0"/>
                <w:sz w:val="20"/>
                <w:szCs w:val="20"/>
              </w:rPr>
              <w:t>情况</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参考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15分</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kern w:val="2"/>
                <w:sz w:val="20"/>
                <w:szCs w:val="20"/>
                <w:lang w:val="zh-CN" w:eastAsia="zh-CN" w:bidi="zh-CN"/>
              </w:rPr>
              <w:t>如实、及时报量，规范签约，主动配合集采工作</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kern w:val="2"/>
                <w:sz w:val="20"/>
                <w:szCs w:val="20"/>
                <w:lang w:val="zh-CN" w:eastAsia="zh-CN" w:bidi="zh-CN"/>
              </w:rPr>
              <w:t>未</w:t>
            </w:r>
            <w:r>
              <w:rPr>
                <w:rFonts w:hint="eastAsia" w:ascii="方正书宋简体" w:hAnsi="方正书宋简体" w:eastAsia="方正书宋简体" w:cs="方正书宋简体"/>
                <w:spacing w:val="0"/>
                <w:kern w:val="2"/>
                <w:sz w:val="20"/>
                <w:szCs w:val="20"/>
                <w:lang w:val="en-US" w:eastAsia="zh-CN" w:bidi="zh-CN"/>
              </w:rPr>
              <w:t>及时</w:t>
            </w:r>
            <w:r>
              <w:rPr>
                <w:rFonts w:hint="eastAsia" w:ascii="方正书宋简体" w:hAnsi="方正书宋简体" w:eastAsia="方正书宋简体" w:cs="方正书宋简体"/>
                <w:spacing w:val="0"/>
                <w:kern w:val="2"/>
                <w:sz w:val="20"/>
                <w:szCs w:val="20"/>
                <w:lang w:val="zh-CN" w:eastAsia="zh-CN" w:bidi="zh-CN"/>
              </w:rPr>
              <w:t>如实报量扣</w:t>
            </w:r>
            <w:r>
              <w:rPr>
                <w:rFonts w:hint="eastAsia" w:ascii="方正书宋简体" w:hAnsi="方正书宋简体" w:eastAsia="方正书宋简体" w:cs="方正书宋简体"/>
                <w:spacing w:val="0"/>
                <w:kern w:val="2"/>
                <w:sz w:val="20"/>
                <w:szCs w:val="20"/>
                <w:lang w:val="en-US" w:eastAsia="zh-CN" w:bidi="zh-CN"/>
              </w:rPr>
              <w:t>5分，</w:t>
            </w:r>
            <w:r>
              <w:rPr>
                <w:rFonts w:hint="eastAsia" w:ascii="方正书宋简体" w:hAnsi="方正书宋简体" w:eastAsia="方正书宋简体" w:cs="方正书宋简体"/>
                <w:spacing w:val="0"/>
                <w:kern w:val="2"/>
                <w:sz w:val="20"/>
                <w:szCs w:val="20"/>
                <w:lang w:val="zh-CN" w:eastAsia="zh-CN" w:bidi="zh-CN"/>
              </w:rPr>
              <w:t>未及时规范签约扣</w:t>
            </w:r>
            <w:r>
              <w:rPr>
                <w:rFonts w:hint="eastAsia" w:ascii="方正书宋简体" w:hAnsi="方正书宋简体" w:eastAsia="方正书宋简体" w:cs="方正书宋简体"/>
                <w:spacing w:val="0"/>
                <w:kern w:val="2"/>
                <w:sz w:val="20"/>
                <w:szCs w:val="20"/>
                <w:lang w:val="en-US" w:eastAsia="zh-CN" w:bidi="zh-CN"/>
              </w:rPr>
              <w:t>5分</w:t>
            </w:r>
            <w:r>
              <w:rPr>
                <w:rFonts w:hint="eastAsia" w:ascii="方正书宋简体" w:hAnsi="方正书宋简体" w:eastAsia="方正书宋简体" w:cs="方正书宋简体"/>
                <w:spacing w:val="0"/>
                <w:kern w:val="2"/>
                <w:sz w:val="20"/>
                <w:szCs w:val="20"/>
                <w:lang w:val="zh-CN" w:eastAsia="zh-CN" w:bidi="zh-CN"/>
              </w:rPr>
              <w:t>，其他未主动配合集采工作等情况扣</w:t>
            </w:r>
            <w:r>
              <w:rPr>
                <w:rFonts w:hint="eastAsia" w:ascii="方正书宋简体" w:hAnsi="方正书宋简体" w:eastAsia="方正书宋简体" w:cs="方正书宋简体"/>
                <w:spacing w:val="0"/>
                <w:kern w:val="2"/>
                <w:sz w:val="20"/>
                <w:szCs w:val="20"/>
                <w:lang w:val="en-US" w:eastAsia="zh-CN"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line="240" w:lineRule="auto"/>
              <w:ind w:left="42" w:leftChars="20" w:right="42" w:rightChars="20" w:firstLine="0" w:firstLineChars="0"/>
              <w:jc w:val="center"/>
              <w:textAlignment w:val="auto"/>
              <w:rPr>
                <w:rFonts w:hint="eastAsia" w:ascii="方正书宋简体" w:hAnsi="方正书宋简体" w:eastAsia="方正书宋简体" w:cs="方正书宋简体"/>
                <w:spacing w:val="0"/>
                <w:sz w:val="20"/>
                <w:szCs w:val="20"/>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lang w:val="en-US" w:eastAsia="zh-CN"/>
              </w:rPr>
            </w:pPr>
            <w:r>
              <w:rPr>
                <w:rFonts w:hint="eastAsia" w:ascii="方正书宋简体" w:hAnsi="方正书宋简体" w:eastAsia="方正书宋简体" w:cs="方正书宋简体"/>
                <w:spacing w:val="0"/>
                <w:sz w:val="20"/>
                <w:szCs w:val="20"/>
                <w:lang w:val="en-US" w:eastAsia="zh-CN"/>
              </w:rPr>
              <w:t>10</w:t>
            </w:r>
            <w:r>
              <w:rPr>
                <w:rFonts w:hint="eastAsia" w:ascii="方正书宋简体" w:hAnsi="方正书宋简体" w:eastAsia="方正书宋简体" w:cs="方正书宋简体"/>
                <w:spacing w:val="0"/>
                <w:sz w:val="20"/>
                <w:szCs w:val="20"/>
              </w:rPr>
              <w:t>.价格违规情况</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参考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5分</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kern w:val="2"/>
                <w:sz w:val="20"/>
                <w:szCs w:val="20"/>
                <w:lang w:val="zh-CN" w:eastAsia="zh-CN" w:bidi="zh-CN"/>
              </w:rPr>
              <w:t>执行医保部门政策，按实际服务数量收费，公开透明</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kern w:val="2"/>
                <w:sz w:val="20"/>
                <w:szCs w:val="20"/>
                <w:lang w:val="zh-CN" w:eastAsia="zh-CN" w:bidi="zh-CN"/>
              </w:rPr>
              <w:t>未发现经查实的违规行为得</w:t>
            </w:r>
            <w:r>
              <w:rPr>
                <w:rFonts w:hint="eastAsia" w:ascii="方正书宋简体" w:hAnsi="方正书宋简体" w:eastAsia="方正书宋简体" w:cs="方正书宋简体"/>
                <w:spacing w:val="0"/>
                <w:kern w:val="2"/>
                <w:sz w:val="20"/>
                <w:szCs w:val="20"/>
                <w:lang w:val="en-US" w:eastAsia="zh-CN" w:bidi="zh-CN"/>
              </w:rPr>
              <w:t>5分，有查实违规行为不得分。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line="240" w:lineRule="auto"/>
              <w:ind w:left="42" w:leftChars="20" w:right="42" w:rightChars="20" w:firstLine="0" w:firstLineChars="0"/>
              <w:jc w:val="center"/>
              <w:textAlignment w:val="auto"/>
              <w:rPr>
                <w:rFonts w:hint="eastAsia" w:ascii="方正书宋简体" w:hAnsi="方正书宋简体" w:eastAsia="方正书宋简体" w:cs="方正书宋简体"/>
                <w:spacing w:val="0"/>
                <w:sz w:val="20"/>
                <w:szCs w:val="20"/>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lang w:val="en-US" w:eastAsia="zh-CN"/>
              </w:rPr>
            </w:pPr>
            <w:r>
              <w:rPr>
                <w:rFonts w:hint="eastAsia" w:ascii="方正书宋简体" w:hAnsi="方正书宋简体" w:eastAsia="方正书宋简体" w:cs="方正书宋简体"/>
                <w:spacing w:val="0"/>
                <w:sz w:val="20"/>
                <w:szCs w:val="20"/>
              </w:rPr>
              <w:t>1</w:t>
            </w:r>
            <w:r>
              <w:rPr>
                <w:rFonts w:hint="eastAsia" w:ascii="方正书宋简体" w:hAnsi="方正书宋简体" w:eastAsia="方正书宋简体" w:cs="方正书宋简体"/>
                <w:spacing w:val="0"/>
                <w:sz w:val="20"/>
                <w:szCs w:val="20"/>
                <w:lang w:val="en-US" w:eastAsia="zh-CN"/>
              </w:rPr>
              <w:t>1</w:t>
            </w:r>
            <w:r>
              <w:rPr>
                <w:rFonts w:hint="eastAsia" w:ascii="方正书宋简体" w:hAnsi="方正书宋简体" w:eastAsia="方正书宋简体" w:cs="方正书宋简体"/>
                <w:spacing w:val="0"/>
                <w:sz w:val="20"/>
                <w:szCs w:val="20"/>
              </w:rPr>
              <w:t>.集采中选</w:t>
            </w:r>
            <w:r>
              <w:rPr>
                <w:rFonts w:hint="eastAsia" w:ascii="方正书宋简体" w:hAnsi="方正书宋简体" w:eastAsia="方正书宋简体" w:cs="方正书宋简体"/>
                <w:spacing w:val="0"/>
                <w:sz w:val="20"/>
                <w:szCs w:val="20"/>
                <w:lang w:val="en-US" w:eastAsia="zh-CN"/>
              </w:rPr>
              <w:t>产</w:t>
            </w:r>
            <w:r>
              <w:rPr>
                <w:rFonts w:hint="eastAsia" w:ascii="方正书宋简体" w:hAnsi="方正书宋简体" w:eastAsia="方正书宋简体" w:cs="方正书宋简体"/>
                <w:spacing w:val="0"/>
                <w:sz w:val="20"/>
                <w:szCs w:val="20"/>
              </w:rPr>
              <w:t>品的规范流转</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参考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5分</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医疗机构不得串换或转卖集采中选</w:t>
            </w:r>
            <w:r>
              <w:rPr>
                <w:rFonts w:hint="eastAsia" w:ascii="方正书宋简体" w:hAnsi="方正书宋简体" w:eastAsia="方正书宋简体" w:cs="方正书宋简体"/>
                <w:spacing w:val="0"/>
                <w:sz w:val="20"/>
                <w:szCs w:val="20"/>
                <w:lang w:val="en-US" w:eastAsia="zh-CN"/>
              </w:rPr>
              <w:t>产</w:t>
            </w:r>
            <w:r>
              <w:rPr>
                <w:rFonts w:hint="eastAsia" w:ascii="方正书宋简体" w:hAnsi="方正书宋简体" w:eastAsia="方正书宋简体" w:cs="方正书宋简体"/>
                <w:spacing w:val="0"/>
                <w:sz w:val="20"/>
                <w:szCs w:val="20"/>
              </w:rPr>
              <w:t>品</w:t>
            </w:r>
            <w:r>
              <w:rPr>
                <w:rFonts w:hint="eastAsia" w:ascii="方正书宋简体" w:hAnsi="方正书宋简体" w:eastAsia="方正书宋简体" w:cs="方正书宋简体"/>
                <w:spacing w:val="0"/>
                <w:sz w:val="20"/>
                <w:szCs w:val="20"/>
                <w:lang w:eastAsia="zh-CN"/>
              </w:rPr>
              <w:t>，</w:t>
            </w:r>
            <w:r>
              <w:rPr>
                <w:rFonts w:hint="eastAsia" w:ascii="方正书宋简体" w:hAnsi="方正书宋简体" w:eastAsia="方正书宋简体" w:cs="方正书宋简体"/>
                <w:spacing w:val="0"/>
                <w:sz w:val="20"/>
                <w:szCs w:val="20"/>
                <w:lang w:val="en-US" w:eastAsia="zh-CN"/>
              </w:rPr>
              <w:t>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line="240" w:lineRule="auto"/>
              <w:ind w:left="42" w:leftChars="20" w:right="42" w:rightChars="20" w:firstLine="0" w:firstLineChars="0"/>
              <w:jc w:val="center"/>
              <w:textAlignment w:val="auto"/>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（四）加强</w:t>
            </w:r>
          </w:p>
          <w:p>
            <w:pPr>
              <w:keepNext w:val="0"/>
              <w:keepLines w:val="0"/>
              <w:pageBreakBefore w:val="0"/>
              <w:widowControl w:val="0"/>
              <w:kinsoku/>
              <w:wordWrap/>
              <w:topLinePunct w:val="0"/>
              <w:autoSpaceDE/>
              <w:autoSpaceDN/>
              <w:bidi w:val="0"/>
              <w:adjustRightInd/>
              <w:snapToGrid/>
              <w:spacing w:line="240" w:lineRule="auto"/>
              <w:ind w:left="42" w:leftChars="20" w:right="42" w:rightChars="20" w:firstLine="0" w:firstLineChars="0"/>
              <w:jc w:val="center"/>
              <w:textAlignment w:val="auto"/>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宣传培训</w:t>
            </w:r>
          </w:p>
        </w:tc>
        <w:tc>
          <w:tcPr>
            <w:tcW w:w="37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lang w:val="en-US" w:eastAsia="zh-CN"/>
              </w:rPr>
            </w:pPr>
            <w:r>
              <w:rPr>
                <w:rFonts w:hint="eastAsia" w:ascii="方正书宋简体" w:hAnsi="方正书宋简体" w:eastAsia="方正书宋简体" w:cs="方正书宋简体"/>
                <w:spacing w:val="0"/>
                <w:sz w:val="20"/>
                <w:szCs w:val="20"/>
              </w:rPr>
              <w:t>1</w:t>
            </w:r>
            <w:r>
              <w:rPr>
                <w:rFonts w:hint="eastAsia" w:ascii="方正书宋简体" w:hAnsi="方正书宋简体" w:eastAsia="方正书宋简体" w:cs="方正书宋简体"/>
                <w:spacing w:val="-6"/>
                <w:sz w:val="20"/>
                <w:szCs w:val="20"/>
                <w:lang w:val="en-US" w:eastAsia="zh-CN"/>
              </w:rPr>
              <w:t>2</w:t>
            </w:r>
            <w:r>
              <w:rPr>
                <w:rFonts w:hint="eastAsia" w:ascii="方正书宋简体" w:hAnsi="方正书宋简体" w:eastAsia="方正书宋简体" w:cs="方正书宋简体"/>
                <w:spacing w:val="-6"/>
                <w:sz w:val="20"/>
                <w:szCs w:val="20"/>
              </w:rPr>
              <w:t>.医疗机构对医务人员相关政策培训情况</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参考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5分</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kern w:val="2"/>
                <w:sz w:val="20"/>
                <w:szCs w:val="20"/>
                <w:lang w:val="zh-CN" w:eastAsia="zh-CN" w:bidi="zh-CN"/>
              </w:rPr>
              <w:t>开展了相关教育培训得</w:t>
            </w:r>
            <w:r>
              <w:rPr>
                <w:rFonts w:hint="eastAsia" w:ascii="方正书宋简体" w:hAnsi="方正书宋简体" w:eastAsia="方正书宋简体" w:cs="方正书宋简体"/>
                <w:spacing w:val="0"/>
                <w:kern w:val="2"/>
                <w:sz w:val="20"/>
                <w:szCs w:val="20"/>
                <w:lang w:val="en-US" w:eastAsia="zh-CN" w:bidi="zh-CN"/>
              </w:rPr>
              <w:t>5分，未</w:t>
            </w:r>
            <w:r>
              <w:rPr>
                <w:rFonts w:hint="eastAsia" w:ascii="方正书宋简体" w:hAnsi="方正书宋简体" w:eastAsia="方正书宋简体" w:cs="方正书宋简体"/>
                <w:spacing w:val="0"/>
                <w:kern w:val="2"/>
                <w:sz w:val="20"/>
                <w:szCs w:val="20"/>
                <w:lang w:val="zh-CN" w:eastAsia="zh-CN" w:bidi="zh-CN"/>
              </w:rPr>
              <w:t>开展了相关教育培训不得分。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line="240" w:lineRule="auto"/>
              <w:ind w:left="42" w:leftChars="20" w:right="42" w:rightChars="20" w:firstLine="0" w:firstLineChars="0"/>
              <w:jc w:val="center"/>
              <w:textAlignment w:val="auto"/>
              <w:rPr>
                <w:rFonts w:hint="eastAsia" w:ascii="方正书宋简体" w:hAnsi="方正书宋简体" w:eastAsia="方正书宋简体" w:cs="方正书宋简体"/>
                <w:spacing w:val="0"/>
                <w:sz w:val="20"/>
                <w:szCs w:val="20"/>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lang w:val="en-US" w:eastAsia="zh-CN"/>
              </w:rPr>
            </w:pPr>
            <w:r>
              <w:rPr>
                <w:rFonts w:hint="eastAsia" w:ascii="方正书宋简体" w:hAnsi="方正书宋简体" w:eastAsia="方正书宋简体" w:cs="方正书宋简体"/>
                <w:spacing w:val="0"/>
                <w:sz w:val="20"/>
                <w:szCs w:val="20"/>
              </w:rPr>
              <w:t>1</w:t>
            </w:r>
            <w:r>
              <w:rPr>
                <w:rFonts w:hint="eastAsia" w:ascii="方正书宋简体" w:hAnsi="方正书宋简体" w:eastAsia="方正书宋简体" w:cs="方正书宋简体"/>
                <w:spacing w:val="0"/>
                <w:sz w:val="20"/>
                <w:szCs w:val="20"/>
                <w:lang w:val="en-US" w:eastAsia="zh-CN"/>
              </w:rPr>
              <w:t>3</w:t>
            </w:r>
            <w:r>
              <w:rPr>
                <w:rFonts w:hint="eastAsia" w:ascii="方正书宋简体" w:hAnsi="方正书宋简体" w:eastAsia="方正书宋简体" w:cs="方正书宋简体"/>
                <w:spacing w:val="0"/>
                <w:sz w:val="20"/>
                <w:szCs w:val="20"/>
              </w:rPr>
              <w:t>.医疗机构对国家集采政策落实的配套制度、措施制定情况</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参考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5分</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p>
          <w:p>
            <w:pPr>
              <w:pStyle w:val="9"/>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center"/>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42" w:leftChars="20" w:right="42" w:rightChars="20" w:firstLine="0" w:firstLineChars="0"/>
              <w:jc w:val="both"/>
              <w:textAlignment w:val="auto"/>
              <w:outlineLvl w:val="9"/>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kern w:val="2"/>
                <w:sz w:val="20"/>
                <w:szCs w:val="20"/>
                <w:lang w:val="zh-CN" w:eastAsia="zh-CN" w:bidi="zh-CN"/>
              </w:rPr>
              <w:t>制定了配套制度或落实措施得</w:t>
            </w:r>
            <w:r>
              <w:rPr>
                <w:rFonts w:hint="eastAsia" w:ascii="方正书宋简体" w:hAnsi="方正书宋简体" w:eastAsia="方正书宋简体" w:cs="方正书宋简体"/>
                <w:spacing w:val="0"/>
                <w:kern w:val="2"/>
                <w:sz w:val="20"/>
                <w:szCs w:val="20"/>
                <w:lang w:val="en-US" w:eastAsia="zh-CN" w:bidi="zh-CN"/>
              </w:rPr>
              <w:t>5分，未</w:t>
            </w:r>
            <w:r>
              <w:rPr>
                <w:rFonts w:hint="eastAsia" w:ascii="方正书宋简体" w:hAnsi="方正书宋简体" w:eastAsia="方正书宋简体" w:cs="方正书宋简体"/>
                <w:spacing w:val="0"/>
                <w:kern w:val="2"/>
                <w:sz w:val="20"/>
                <w:szCs w:val="20"/>
                <w:lang w:val="zh-CN" w:eastAsia="zh-CN" w:bidi="zh-CN"/>
              </w:rPr>
              <w:t>制定配套制度或落实措施不得分。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before="0" w:line="240" w:lineRule="auto"/>
              <w:ind w:left="0" w:leftChars="0" w:right="0" w:rightChars="0" w:firstLine="0" w:firstLineChars="0"/>
              <w:jc w:val="center"/>
              <w:textAlignment w:val="auto"/>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总计</w:t>
            </w:r>
          </w:p>
        </w:tc>
        <w:tc>
          <w:tcPr>
            <w:tcW w:w="7495" w:type="dxa"/>
            <w:gridSpan w:val="3"/>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val="0"/>
              <w:topLinePunct w:val="0"/>
              <w:autoSpaceDE/>
              <w:autoSpaceDN/>
              <w:bidi w:val="0"/>
              <w:adjustRightInd/>
              <w:snapToGrid/>
              <w:spacing w:before="0" w:line="240" w:lineRule="auto"/>
              <w:ind w:left="0" w:leftChars="0" w:right="0" w:rightChars="0" w:firstLine="0" w:firstLineChars="0"/>
              <w:jc w:val="center"/>
              <w:textAlignment w:val="auto"/>
              <w:rPr>
                <w:rFonts w:hint="eastAsia" w:ascii="方正书宋简体" w:hAnsi="方正书宋简体" w:eastAsia="方正书宋简体" w:cs="方正书宋简体"/>
                <w:spacing w:val="0"/>
                <w:sz w:val="20"/>
                <w:szCs w:val="20"/>
              </w:rPr>
            </w:pPr>
            <w:r>
              <w:rPr>
                <w:rFonts w:hint="eastAsia" w:ascii="方正书宋简体" w:hAnsi="方正书宋简体" w:eastAsia="方正书宋简体" w:cs="方正书宋简体"/>
                <w:spacing w:val="0"/>
                <w:sz w:val="20"/>
                <w:szCs w:val="20"/>
              </w:rPr>
              <w:t>100</w:t>
            </w:r>
            <w:r>
              <w:rPr>
                <w:rFonts w:hint="eastAsia" w:ascii="方正书宋简体" w:hAnsi="方正书宋简体" w:eastAsia="方正书宋简体" w:cs="方正书宋简体"/>
                <w:spacing w:val="0"/>
                <w:sz w:val="20"/>
                <w:szCs w:val="20"/>
                <w:lang w:val="en-US" w:eastAsia="zh-CN"/>
              </w:rPr>
              <w:t>分</w:t>
            </w:r>
          </w:p>
        </w:tc>
      </w:tr>
    </w:tbl>
    <w:p>
      <w:pPr>
        <w:keepNext w:val="0"/>
        <w:keepLines w:val="0"/>
        <w:pageBreakBefore w:val="0"/>
        <w:widowControl w:val="0"/>
        <w:tabs>
          <w:tab w:val="left" w:pos="6236"/>
        </w:tabs>
        <w:kinsoku/>
        <w:wordWrap/>
        <w:overflowPunct w:val="0"/>
        <w:topLinePunct w:val="0"/>
        <w:autoSpaceDE/>
        <w:autoSpaceDN/>
        <w:bidi w:val="0"/>
        <w:adjustRightInd/>
        <w:snapToGrid/>
        <w:spacing w:before="157" w:beforeLines="50" w:line="240" w:lineRule="auto"/>
        <w:ind w:left="42" w:leftChars="20" w:right="42" w:rightChars="20" w:firstLine="402" w:firstLineChars="200"/>
        <w:jc w:val="both"/>
        <w:textAlignment w:val="auto"/>
        <w:outlineLvl w:val="9"/>
        <w:rPr>
          <w:vanish/>
          <w:sz w:val="21"/>
        </w:rPr>
      </w:pPr>
      <w:r>
        <w:rPr>
          <w:rFonts w:hint="eastAsia" w:ascii="方正书宋简体" w:hAnsi="方正书宋简体" w:eastAsia="方正书宋简体" w:cs="方正书宋简体"/>
          <w:b/>
          <w:bCs/>
          <w:spacing w:val="0"/>
          <w:kern w:val="2"/>
          <w:sz w:val="20"/>
          <w:szCs w:val="20"/>
          <w:lang w:val="zh-CN" w:eastAsia="zh-CN" w:bidi="zh-CN"/>
        </w:rPr>
        <w:t>注：</w:t>
      </w:r>
      <w:r>
        <w:rPr>
          <w:rFonts w:hint="eastAsia" w:ascii="方正书宋简体" w:hAnsi="方正书宋简体" w:eastAsia="方正书宋简体" w:cs="方正书宋简体"/>
          <w:spacing w:val="0"/>
          <w:kern w:val="2"/>
          <w:sz w:val="20"/>
          <w:szCs w:val="20"/>
          <w:lang w:val="zh-CN" w:eastAsia="zh-CN" w:bidi="zh-CN"/>
        </w:rPr>
        <w:t>药品、高值耗材分别考核计分，总分各为100分。</w:t>
      </w:r>
      <w:r>
        <w:rPr>
          <w:rFonts w:hint="eastAsia" w:ascii="方正书宋简体" w:hAnsi="方正书宋简体" w:eastAsia="方正书宋简体" w:cs="方正书宋简体"/>
          <w:spacing w:val="0"/>
          <w:kern w:val="2"/>
          <w:sz w:val="20"/>
          <w:szCs w:val="20"/>
          <w:lang w:val="zh-CN" w:eastAsia="zh-CN" w:bidi="zh-CN"/>
        </w:rPr>
        <w:tab/>
      </w:r>
      <w:bookmarkStart w:id="0" w:name="_GoBack"/>
      <w:bookmarkEnd w:id="0"/>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6046470</wp:posOffset>
              </wp:positionH>
              <wp:positionV relativeFrom="page">
                <wp:posOffset>9882505</wp:posOffset>
              </wp:positionV>
              <wp:extent cx="559435" cy="223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9435" cy="223520"/>
                      </a:xfrm>
                      <a:prstGeom prst="rect">
                        <a:avLst/>
                      </a:prstGeom>
                      <a:noFill/>
                      <a:ln>
                        <a:noFill/>
                      </a:ln>
                      <a:effectLst/>
                    </wps:spPr>
                    <wps:txbx>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3</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6.1pt;margin-top:778.15pt;height:17.6pt;width:44.05pt;mso-position-horizontal-relative:page;mso-position-vertical-relative:page;z-index:-251657216;mso-width-relative:page;mso-height-relative:page;" filled="f" stroked="f" coordsize="21600,21600" o:gfxdata="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401NdsAAAAOAQAADwAAAAAAAAABACAAAAAiAAAAZHJzL2Rvd25yZXYu&#10;eG1sUEsBAhQAFAAAAAgAh07iQBAn/JO/AQAAfwMAAA4AAAAAAAAAAQAgAAAAKgEAAGRycy9lMm9E&#10;b2MueG1sUEsFBgAAAAAGAAYAWQEAAFsFAAAAAA==&#10;">
              <v:fill on="f" focussize="0,0"/>
              <v:stroke on="f"/>
              <v:imagedata o:title=""/>
              <o:lock v:ext="edit" aspectratio="f"/>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3</w:t>
                    </w:r>
                    <w:r>
                      <w:fldChar w:fldCharType="end"/>
                    </w:r>
                    <w:r>
                      <w:rPr>
                        <w:rFonts w:ascii="Times New Roman" w:hAnsi="Times New Roman"/>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 w:name="KSO_WPS_MARK_KEY" w:val="44899316-5e67-41b3-af64-6b338a702f8a"/>
  </w:docVars>
  <w:rsids>
    <w:rsidRoot w:val="00000000"/>
    <w:rsid w:val="11382CE8"/>
    <w:rsid w:val="38FF4DB8"/>
    <w:rsid w:val="5C2C50C6"/>
    <w:rsid w:val="69333250"/>
    <w:rsid w:val="6C5D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outlineLvl w:val="0"/>
    </w:pPr>
    <w:rPr>
      <w:rFonts w:ascii="宋体" w:hAnsi="宋体" w:eastAsia="宋体" w:cs="宋体"/>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1035</Words>
  <Characters>1085</Characters>
  <Lines>0</Lines>
  <Paragraphs>0</Paragraphs>
  <TotalTime>1</TotalTime>
  <ScaleCrop>false</ScaleCrop>
  <LinksUpToDate>false</LinksUpToDate>
  <CharactersWithSpaces>1086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2024-04-18T04:07:00Z</dcterms:created>
  <dc:creator>Administrator</dc:creator>
  <cp:lastModifiedBy>好想吃糖油粑粑</cp:lastModifiedBy>
  <dcterms:modified xsi:type="dcterms:W3CDTF">2024-04-18T07:03:27Z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5179F92472DA4A4190FF8FC9904F5AB0_12</vt:lpwstr>
  </property>
</Properties>
</file>