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val="0"/>
        <w:bidi w:val="0"/>
        <w:adjustRightInd/>
        <w:snapToGrid/>
        <w:spacing w:line="640" w:lineRule="exact"/>
        <w:ind w:right="0" w:rightChars="0"/>
        <w:jc w:val="both"/>
        <w:rPr>
          <w:rFonts w:hint="default" w:ascii="Times New Roman" w:hAnsi="Times New Roman" w:eastAsia="黑体"/>
          <w:b w:val="0"/>
          <w:bCs/>
          <w:i w:val="0"/>
          <w:snapToGrid/>
          <w:color w:val="auto"/>
          <w:spacing w:val="0"/>
          <w:kern w:val="0"/>
          <w:sz w:val="34"/>
          <w:szCs w:val="34"/>
          <w:highlight w:val="none"/>
          <w:lang w:val="en-US" w:eastAsia="zh-CN"/>
        </w:rPr>
      </w:pPr>
      <w:r>
        <w:rPr>
          <w:rFonts w:hint="eastAsia" w:ascii="Times New Roman" w:hAnsi="Times New Roman" w:eastAsia="黑体"/>
          <w:b w:val="0"/>
          <w:bCs/>
          <w:i w:val="0"/>
          <w:snapToGrid/>
          <w:color w:val="auto"/>
          <w:spacing w:val="0"/>
          <w:kern w:val="0"/>
          <w:sz w:val="34"/>
          <w:szCs w:val="34"/>
          <w:highlight w:val="none"/>
          <w:lang w:eastAsia="zh-CN"/>
        </w:rPr>
        <w:t>附件</w:t>
      </w:r>
    </w:p>
    <w:p>
      <w:pPr>
        <w:keepNext w:val="0"/>
        <w:keepLines w:val="0"/>
        <w:pageBreakBefore w:val="0"/>
        <w:widowControl w:val="0"/>
        <w:kinsoku/>
        <w:wordWrap/>
        <w:overflowPunct/>
        <w:topLinePunct w:val="0"/>
        <w:autoSpaceDE/>
        <w:autoSpaceDN w:val="0"/>
        <w:bidi w:val="0"/>
        <w:adjustRightInd/>
        <w:snapToGrid/>
        <w:spacing w:line="640" w:lineRule="exact"/>
        <w:ind w:left="0" w:leftChars="0" w:right="0" w:rightChars="0" w:firstLine="680" w:firstLineChars="200"/>
        <w:jc w:val="center"/>
        <w:textAlignment w:val="auto"/>
        <w:outlineLvl w:val="9"/>
        <w:rPr>
          <w:rFonts w:hint="eastAsia" w:ascii="Times New Roman" w:hAnsi="Times New Roman" w:eastAsia="方正小标宋简体" w:cs="方正小标宋简体"/>
          <w:b w:val="0"/>
          <w:bCs/>
          <w:i w:val="0"/>
          <w:snapToGrid/>
          <w:color w:val="auto"/>
          <w:spacing w:val="0"/>
          <w:kern w:val="0"/>
          <w:sz w:val="44"/>
          <w:szCs w:val="44"/>
          <w:highlight w:val="none"/>
          <w:lang w:eastAsia="zh-CN"/>
        </w:rPr>
      </w:pPr>
      <w:r>
        <w:rPr>
          <w:rFonts w:hint="default" w:ascii="Times New Roman" w:hAnsi="Times New Roman" w:eastAsia="宋体"/>
          <w:b w:val="0"/>
          <w:i w:val="0"/>
          <w:snapToGrid/>
          <w:color w:val="auto"/>
          <w:spacing w:val="0"/>
          <w:kern w:val="0"/>
          <w:sz w:val="34"/>
          <w:szCs w:val="34"/>
          <w:highlight w:val="none"/>
          <w:lang w:eastAsia="zh-CN"/>
        </w:rPr>
        <w:br w:type="textWrapping"/>
      </w:r>
      <w:r>
        <w:rPr>
          <w:rFonts w:hint="eastAsia" w:ascii="Times New Roman" w:hAnsi="Times New Roman" w:eastAsia="方正小标宋简体" w:cs="方正小标宋简体"/>
          <w:b w:val="0"/>
          <w:bCs/>
          <w:i w:val="0"/>
          <w:snapToGrid/>
          <w:color w:val="auto"/>
          <w:spacing w:val="0"/>
          <w:kern w:val="0"/>
          <w:sz w:val="44"/>
          <w:szCs w:val="44"/>
          <w:highlight w:val="none"/>
          <w:lang w:eastAsia="zh-CN"/>
        </w:rPr>
        <w:t>促进养老托育服务健康发展重点任务分工表</w:t>
      </w:r>
    </w:p>
    <w:p>
      <w:pPr>
        <w:pStyle w:val="5"/>
        <w:keepNext w:val="0"/>
        <w:keepLines w:val="0"/>
        <w:pageBreakBefore w:val="0"/>
        <w:widowControl w:val="0"/>
        <w:kinsoku/>
        <w:wordWrap/>
        <w:topLinePunct w:val="0"/>
        <w:autoSpaceDE/>
        <w:bidi w:val="0"/>
        <w:adjustRightInd/>
        <w:snapToGrid/>
        <w:spacing w:line="640" w:lineRule="exact"/>
        <w:ind w:left="0" w:leftChars="0" w:right="0" w:rightChars="0" w:firstLine="680" w:firstLineChars="200"/>
        <w:jc w:val="both"/>
        <w:rPr>
          <w:rFonts w:hint="eastAsia" w:ascii="Times New Roman" w:hAnsi="Times New Roman"/>
          <w:color w:val="auto"/>
          <w:spacing w:val="0"/>
          <w:kern w:val="0"/>
          <w:sz w:val="34"/>
          <w:szCs w:val="34"/>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886"/>
        <w:gridCol w:w="4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小标宋_GBK"/>
                <w:b w:val="0"/>
                <w:bCs/>
                <w:i w:val="0"/>
                <w:snapToGrid/>
                <w:color w:val="auto"/>
                <w:spacing w:val="0"/>
                <w:kern w:val="0"/>
                <w:sz w:val="32"/>
                <w:szCs w:val="32"/>
                <w:highlight w:val="none"/>
                <w:vertAlign w:val="baseline"/>
                <w:lang w:eastAsia="zh-CN"/>
              </w:rPr>
            </w:pPr>
            <w:r>
              <w:rPr>
                <w:rFonts w:hint="eastAsia" w:ascii="Times New Roman" w:hAnsi="Times New Roman" w:eastAsia="黑体"/>
                <w:b w:val="0"/>
                <w:bCs/>
                <w:i w:val="0"/>
                <w:snapToGrid/>
                <w:color w:val="auto"/>
                <w:spacing w:val="0"/>
                <w:kern w:val="0"/>
                <w:sz w:val="32"/>
                <w:szCs w:val="32"/>
                <w:highlight w:val="none"/>
                <w:shd w:val="clear" w:color="auto" w:fill="auto"/>
                <w:lang w:eastAsia="zh-CN"/>
              </w:rPr>
              <w:t>序号</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黑体"/>
                <w:b w:val="0"/>
                <w:bCs/>
                <w:i w:val="0"/>
                <w:snapToGrid/>
                <w:color w:val="auto"/>
                <w:spacing w:val="0"/>
                <w:kern w:val="0"/>
                <w:sz w:val="32"/>
                <w:szCs w:val="32"/>
                <w:highlight w:val="none"/>
                <w:shd w:val="clear" w:color="auto" w:fill="auto"/>
                <w:lang w:eastAsia="zh-CN"/>
              </w:rPr>
            </w:pPr>
            <w:r>
              <w:rPr>
                <w:rFonts w:hint="eastAsia" w:ascii="Times New Roman" w:hAnsi="Times New Roman" w:eastAsia="黑体"/>
                <w:b w:val="0"/>
                <w:bCs/>
                <w:i w:val="0"/>
                <w:snapToGrid/>
                <w:color w:val="auto"/>
                <w:spacing w:val="0"/>
                <w:kern w:val="0"/>
                <w:sz w:val="32"/>
                <w:szCs w:val="32"/>
                <w:highlight w:val="none"/>
                <w:shd w:val="clear" w:color="auto" w:fill="auto"/>
                <w:lang w:eastAsia="zh-CN"/>
              </w:rPr>
              <w:t>重点任务</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黑体"/>
                <w:b w:val="0"/>
                <w:bCs/>
                <w:i w:val="0"/>
                <w:snapToGrid/>
                <w:color w:val="auto"/>
                <w:spacing w:val="0"/>
                <w:kern w:val="0"/>
                <w:sz w:val="32"/>
                <w:szCs w:val="32"/>
                <w:highlight w:val="none"/>
                <w:shd w:val="clear" w:color="auto" w:fill="auto"/>
                <w:lang w:eastAsia="zh-CN"/>
              </w:rPr>
            </w:pPr>
            <w:r>
              <w:rPr>
                <w:rFonts w:hint="eastAsia" w:ascii="Times New Roman" w:hAnsi="Times New Roman" w:eastAsia="黑体"/>
                <w:b w:val="0"/>
                <w:bCs/>
                <w:i w:val="0"/>
                <w:snapToGrid/>
                <w:color w:val="auto"/>
                <w:spacing w:val="0"/>
                <w:kern w:val="0"/>
                <w:sz w:val="32"/>
                <w:szCs w:val="32"/>
                <w:highlight w:val="none"/>
                <w:shd w:val="clear" w:color="auto" w:fill="auto"/>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1</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i w:val="0"/>
                <w:snapToGrid/>
                <w:color w:val="auto"/>
                <w:spacing w:val="0"/>
                <w:kern w:val="0"/>
                <w:sz w:val="32"/>
                <w:szCs w:val="32"/>
                <w:highlight w:val="none"/>
                <w:vertAlign w:val="baseline"/>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完善养老托育服务</w:t>
            </w:r>
            <w:r>
              <w:rPr>
                <w:rFonts w:hint="eastAsia" w:eastAsia="仿宋_GB2312" w:cs="仿宋_GB2312"/>
                <w:b w:val="0"/>
                <w:i w:val="0"/>
                <w:snapToGrid/>
                <w:color w:val="auto"/>
                <w:spacing w:val="0"/>
                <w:kern w:val="0"/>
                <w:sz w:val="32"/>
                <w:szCs w:val="32"/>
                <w:highlight w:val="none"/>
                <w:shd w:val="clear" w:color="auto" w:fill="auto"/>
                <w:lang w:eastAsia="zh-CN"/>
              </w:rPr>
              <w:t>制度</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i w:val="0"/>
                <w:snapToGrid/>
                <w:color w:val="auto"/>
                <w:spacing w:val="0"/>
                <w:kern w:val="0"/>
                <w:sz w:val="32"/>
                <w:szCs w:val="32"/>
                <w:highlight w:val="none"/>
                <w:vertAlign w:val="baseline"/>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省民政厅、省卫生健康委、省发展改革委、省财政厅、省自然资源厅、省住房城乡建设厅、省残联，地方各级人民政府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2</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积极发展普惠性</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养老托育</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服务</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省发展改革委、省民政厅、省卫生健康委、省市场监管局，地方各级人民政府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3</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实施普惠养老托育专项行动，建设一批普惠性养老服务机构和托育服务机构。</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省发展改革委牵头，省民政厅、省卫生健康委、省自然资源厅、省住房城乡建设厅、省国资委</w:t>
            </w:r>
            <w:r>
              <w:rPr>
                <w:rFonts w:hint="eastAsia" w:eastAsia="仿宋_GB2312" w:cs="仿宋_GB2312"/>
                <w:b w:val="0"/>
                <w:i w:val="0"/>
                <w:snapToGrid/>
                <w:color w:val="auto"/>
                <w:spacing w:val="0"/>
                <w:kern w:val="0"/>
                <w:sz w:val="32"/>
                <w:szCs w:val="32"/>
                <w:highlight w:val="none"/>
                <w:shd w:val="clear" w:color="auto" w:fill="auto"/>
                <w:lang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4</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color w:val="auto"/>
                <w:spacing w:val="0"/>
                <w:kern w:val="0"/>
                <w:sz w:val="32"/>
                <w:szCs w:val="32"/>
                <w:highlight w:val="none"/>
                <w:shd w:val="clear" w:color="auto" w:fill="auto"/>
              </w:rPr>
              <w:t>提升公办机构服务水平</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省民政厅、省卫生健康委、省财政厅、省人力资源社会保障厅，</w:t>
            </w:r>
            <w:r>
              <w:rPr>
                <w:rFonts w:hint="eastAsia" w:eastAsia="仿宋_GB2312" w:cs="仿宋_GB2312"/>
                <w:b w:val="0"/>
                <w:i w:val="0"/>
                <w:snapToGrid/>
                <w:color w:val="auto"/>
                <w:spacing w:val="0"/>
                <w:kern w:val="0"/>
                <w:sz w:val="32"/>
                <w:szCs w:val="32"/>
                <w:highlight w:val="none"/>
                <w:shd w:val="clear" w:color="auto" w:fill="auto"/>
                <w:lang w:eastAsia="zh-CN"/>
              </w:rPr>
              <w:t>地方</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各级人民</w:t>
            </w:r>
            <w:r>
              <w:rPr>
                <w:rFonts w:hint="eastAsia" w:eastAsia="仿宋_GB2312" w:cs="仿宋_GB2312"/>
                <w:b w:val="0"/>
                <w:i w:val="0"/>
                <w:snapToGrid/>
                <w:color w:val="auto"/>
                <w:spacing w:val="0"/>
                <w:kern w:val="0"/>
                <w:sz w:val="32"/>
                <w:szCs w:val="32"/>
                <w:highlight w:val="none"/>
                <w:shd w:val="clear" w:color="auto" w:fill="auto"/>
                <w:lang w:val="en-US"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5</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加强公办和公建民营养老机构建设，建立入住综合评估制度</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省民政厅、省发展改革委、省财政厅、省卫生健康委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6</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提升家庭照护能力</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省民政厅、省卫生健康委、省大数据局、省妇联，地方各级人民政府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7</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制定家庭托育点管理措施</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省卫生健康委牵头，省发展改革委、省民政厅、省住房城乡建设厅、省应急厅、省市场监管局</w:t>
            </w:r>
            <w:r>
              <w:rPr>
                <w:rFonts w:hint="eastAsia" w:eastAsia="仿宋_GB2312" w:cs="仿宋_GB2312"/>
                <w:b w:val="0"/>
                <w:i w:val="0"/>
                <w:snapToGrid/>
                <w:color w:val="auto"/>
                <w:spacing w:val="0"/>
                <w:kern w:val="0"/>
                <w:sz w:val="32"/>
                <w:szCs w:val="32"/>
                <w:highlight w:val="none"/>
                <w:shd w:val="clear" w:color="auto" w:fill="auto"/>
                <w:lang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8</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完善公建民营机制，引进养老托育运营机构早期介入、全程参与项目工程建设，探索开展连锁化运营</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省民政厅、省卫生健康委、省发展改革委、省自然资源厅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9</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统筹推进城乡养老托育发展</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省民政厅、省卫生健康委、省发展改革委，地方各级人民政府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10</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color w:val="auto"/>
                <w:spacing w:val="0"/>
                <w:kern w:val="0"/>
                <w:sz w:val="32"/>
                <w:szCs w:val="32"/>
                <w:highlight w:val="none"/>
                <w:shd w:val="clear" w:color="auto" w:fill="auto"/>
              </w:rPr>
              <w:t>提升农村</w:t>
            </w:r>
            <w:r>
              <w:rPr>
                <w:rFonts w:hint="eastAsia" w:ascii="Times New Roman" w:hAnsi="Times New Roman" w:eastAsia="仿宋_GB2312" w:cs="仿宋_GB2312"/>
                <w:color w:val="auto"/>
                <w:spacing w:val="0"/>
                <w:kern w:val="0"/>
                <w:sz w:val="32"/>
                <w:szCs w:val="32"/>
                <w:highlight w:val="none"/>
                <w:shd w:val="clear" w:color="auto" w:fill="auto"/>
                <w:lang w:eastAsia="zh-CN"/>
              </w:rPr>
              <w:t>养老</w:t>
            </w:r>
            <w:r>
              <w:rPr>
                <w:rFonts w:hint="eastAsia" w:ascii="Times New Roman" w:hAnsi="Times New Roman" w:eastAsia="仿宋_GB2312" w:cs="仿宋_GB2312"/>
                <w:color w:val="auto"/>
                <w:spacing w:val="0"/>
                <w:kern w:val="0"/>
                <w:sz w:val="32"/>
                <w:szCs w:val="32"/>
                <w:highlight w:val="none"/>
                <w:shd w:val="clear" w:color="auto" w:fill="auto"/>
              </w:rPr>
              <w:t>托育服务供给能力</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省民政厅、省卫生健康委、省住房城乡建设厅、省发展改革委、省教育厅，地方各级人民政府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11</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color w:val="auto"/>
                <w:spacing w:val="0"/>
                <w:kern w:val="0"/>
                <w:sz w:val="32"/>
                <w:szCs w:val="32"/>
                <w:highlight w:val="none"/>
                <w:shd w:val="clear" w:color="auto" w:fill="auto"/>
                <w:lang w:eastAsia="zh-CN"/>
              </w:rPr>
              <w:t>推进护理型养老机构建设</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省民政厅、省卫生健康委、省住房城乡建设厅、省发展改革委、省应急厅、省国资委，地方各级人民政府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12</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color w:val="auto"/>
                <w:spacing w:val="0"/>
                <w:kern w:val="0"/>
                <w:sz w:val="32"/>
                <w:szCs w:val="32"/>
                <w:highlight w:val="none"/>
                <w:shd w:val="clear" w:color="auto" w:fill="auto"/>
                <w:lang w:eastAsia="zh-CN"/>
              </w:rPr>
              <w:t>增加</w:t>
            </w:r>
            <w:r>
              <w:rPr>
                <w:rFonts w:hint="eastAsia" w:ascii="Times New Roman" w:hAnsi="Times New Roman" w:eastAsia="仿宋_GB2312" w:cs="仿宋_GB2312"/>
                <w:color w:val="auto"/>
                <w:spacing w:val="0"/>
                <w:kern w:val="0"/>
                <w:sz w:val="32"/>
                <w:szCs w:val="32"/>
                <w:highlight w:val="none"/>
                <w:shd w:val="clear" w:color="auto" w:fill="auto"/>
              </w:rPr>
              <w:t>托育服务市场</w:t>
            </w:r>
            <w:r>
              <w:rPr>
                <w:rFonts w:hint="eastAsia" w:ascii="Times New Roman" w:hAnsi="Times New Roman" w:eastAsia="仿宋_GB2312" w:cs="仿宋_GB2312"/>
                <w:color w:val="auto"/>
                <w:spacing w:val="0"/>
                <w:kern w:val="0"/>
                <w:sz w:val="32"/>
                <w:szCs w:val="32"/>
                <w:highlight w:val="none"/>
                <w:shd w:val="clear" w:color="auto" w:fill="auto"/>
                <w:lang w:eastAsia="zh-CN"/>
              </w:rPr>
              <w:t>供给</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省卫生健康委、省教育厅、</w:t>
            </w:r>
            <w:r>
              <w:rPr>
                <w:rFonts w:hint="eastAsia" w:ascii="Times New Roman" w:hAnsi="Times New Roman" w:eastAsia="仿宋_GB2312" w:cs="仿宋_GB2312"/>
                <w:color w:val="auto"/>
                <w:spacing w:val="0"/>
                <w:kern w:val="0"/>
                <w:sz w:val="32"/>
                <w:szCs w:val="32"/>
                <w:highlight w:val="none"/>
                <w:shd w:val="clear" w:color="auto" w:fill="auto"/>
                <w:lang w:eastAsia="zh-CN"/>
              </w:rPr>
              <w:t>省自然资源厅、</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省住房城乡建设厅、省发展改革委，地方各级人民政府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13</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深入推进医养结合</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省卫生健康委牵头，省医保局、省发展改革委、省民政厅、省住房城乡建设厅</w:t>
            </w:r>
            <w:r>
              <w:rPr>
                <w:rFonts w:hint="eastAsia" w:eastAsia="仿宋_GB2312" w:cs="仿宋_GB2312"/>
                <w:b w:val="0"/>
                <w:i w:val="0"/>
                <w:snapToGrid/>
                <w:color w:val="auto"/>
                <w:spacing w:val="0"/>
                <w:kern w:val="0"/>
                <w:sz w:val="32"/>
                <w:szCs w:val="32"/>
                <w:highlight w:val="none"/>
                <w:shd w:val="clear" w:color="auto" w:fill="auto"/>
                <w:lang w:eastAsia="zh-CN"/>
              </w:rPr>
              <w:t>参加</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，地方各级人民政府负责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14</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促进康养融合发展</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w:t>
            </w:r>
            <w:r>
              <w:rPr>
                <w:rFonts w:hint="eastAsia" w:eastAsia="仿宋_GB2312" w:cs="仿宋_GB2312"/>
                <w:b w:val="0"/>
                <w:i w:val="0"/>
                <w:snapToGrid/>
                <w:color w:val="auto"/>
                <w:spacing w:val="0"/>
                <w:kern w:val="0"/>
                <w:sz w:val="32"/>
                <w:szCs w:val="32"/>
                <w:highlight w:val="none"/>
                <w:shd w:val="clear" w:color="auto" w:fill="auto"/>
                <w:lang w:eastAsia="zh-CN"/>
              </w:rPr>
              <w:t>民政厅</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牵头，省</w:t>
            </w:r>
            <w:r>
              <w:rPr>
                <w:rFonts w:hint="eastAsia" w:eastAsia="仿宋_GB2312" w:cs="仿宋_GB2312"/>
                <w:b w:val="0"/>
                <w:i w:val="0"/>
                <w:snapToGrid/>
                <w:color w:val="auto"/>
                <w:spacing w:val="0"/>
                <w:kern w:val="0"/>
                <w:sz w:val="32"/>
                <w:szCs w:val="32"/>
                <w:highlight w:val="none"/>
                <w:shd w:val="clear" w:color="auto" w:fill="auto"/>
                <w:lang w:eastAsia="zh-CN"/>
              </w:rPr>
              <w:t>发展改革委</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、省文化和旅游厅、省体育局、省教育厅、省住房城乡建设厅、省卫生健康委、省林业局</w:t>
            </w:r>
            <w:r>
              <w:rPr>
                <w:rFonts w:hint="eastAsia" w:eastAsia="仿宋_GB2312" w:cs="仿宋_GB2312"/>
                <w:b w:val="0"/>
                <w:i w:val="0"/>
                <w:snapToGrid/>
                <w:color w:val="auto"/>
                <w:spacing w:val="0"/>
                <w:kern w:val="0"/>
                <w:sz w:val="32"/>
                <w:szCs w:val="32"/>
                <w:highlight w:val="none"/>
                <w:shd w:val="clear" w:color="auto" w:fill="auto"/>
                <w:lang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15</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color w:val="auto"/>
                <w:spacing w:val="0"/>
                <w:kern w:val="0"/>
                <w:sz w:val="32"/>
                <w:szCs w:val="32"/>
                <w:highlight w:val="none"/>
                <w:shd w:val="clear" w:color="auto" w:fill="auto"/>
                <w:lang w:eastAsia="zh-CN"/>
              </w:rPr>
              <w:t>加强</w:t>
            </w:r>
            <w:r>
              <w:rPr>
                <w:rFonts w:hint="eastAsia" w:ascii="Times New Roman" w:hAnsi="Times New Roman" w:eastAsia="仿宋_GB2312" w:cs="仿宋_GB2312"/>
                <w:color w:val="auto"/>
                <w:spacing w:val="0"/>
                <w:kern w:val="0"/>
                <w:sz w:val="32"/>
                <w:szCs w:val="32"/>
                <w:highlight w:val="none"/>
                <w:shd w:val="clear" w:color="auto" w:fill="auto"/>
              </w:rPr>
              <w:t>养老托育规划布局</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省民政厅、省卫生健康委、省自然资源厅、省住房城乡建设厅、省发展改革</w:t>
            </w:r>
            <w:r>
              <w:rPr>
                <w:rFonts w:hint="eastAsia" w:eastAsia="仿宋_GB2312" w:cs="仿宋_GB2312"/>
                <w:b w:val="0"/>
                <w:i w:val="0"/>
                <w:snapToGrid/>
                <w:color w:val="auto"/>
                <w:spacing w:val="0"/>
                <w:kern w:val="0"/>
                <w:sz w:val="32"/>
                <w:szCs w:val="32"/>
                <w:highlight w:val="none"/>
                <w:shd w:val="clear" w:color="auto" w:fill="auto"/>
                <w:lang w:eastAsia="zh-CN"/>
              </w:rPr>
              <w:t>委</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16</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在年度建设用地供应计划中保障养老托育用地需求，并结合实际安排在合理区位</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省自然资源厅、省民政厅、省卫生健康委、省住房城乡建设厅，地方各级人民政府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17</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color w:val="auto"/>
                <w:spacing w:val="0"/>
                <w:kern w:val="0"/>
                <w:sz w:val="32"/>
                <w:szCs w:val="32"/>
                <w:highlight w:val="none"/>
                <w:shd w:val="clear" w:color="auto" w:fill="auto"/>
                <w:lang w:val="en-US" w:eastAsia="zh-CN"/>
              </w:rPr>
              <w:t>在城市居住社区建设补短板和城市更新行动中</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统筹推进养老托育服务设施建设。探索允许空置公租房免费提供给社会力量供其在社区为老年人开展助餐助行、日间照料、康复护理、老年教育等服务</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省住房城乡建设厅牵头，省机关事务局、省发展改革委、省民政厅、省自然资源厅、省卫生健康委、省国资委</w:t>
            </w:r>
            <w:r>
              <w:rPr>
                <w:rFonts w:hint="eastAsia" w:eastAsia="仿宋_GB2312" w:cs="仿宋_GB2312"/>
                <w:b w:val="0"/>
                <w:i w:val="0"/>
                <w:snapToGrid/>
                <w:color w:val="auto"/>
                <w:spacing w:val="0"/>
                <w:kern w:val="0"/>
                <w:sz w:val="32"/>
                <w:szCs w:val="32"/>
                <w:highlight w:val="none"/>
                <w:shd w:val="clear" w:color="auto" w:fill="auto"/>
                <w:lang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18</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支持将各类房屋和设施用于发展养老托育，鼓励适当放宽最长租赁期限</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省民政厅、省卫生健康委、省发展改革委、省自然资源厅、省住房城乡建设厅，地方各级人民政府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19</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非独立场所按照相关安全标准改造建设托育点并通过验收的，不需变更土地和房屋性质</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省卫生健康委、省自然资源厅、省住房城乡建设厅，地方各级人民政府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20</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落实财税支持政策</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省财政厅、省税务局、省民政厅、省卫生健康委、省人力资源社会保障厅，地方各级人民政府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21</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引导金融机构提升服务质效</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贵州银保监局、省发展改革委、省住房城乡建设厅、</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贵州证监局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22</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color w:val="auto"/>
                <w:spacing w:val="0"/>
                <w:kern w:val="0"/>
                <w:sz w:val="32"/>
                <w:szCs w:val="32"/>
                <w:highlight w:val="none"/>
                <w:shd w:val="clear" w:color="auto" w:fill="auto"/>
                <w:lang w:eastAsia="zh-CN"/>
              </w:rPr>
              <w:t>推动培训疗养资源转型发展养老服务</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color w:val="auto"/>
                <w:spacing w:val="0"/>
                <w:kern w:val="0"/>
                <w:sz w:val="32"/>
                <w:szCs w:val="32"/>
                <w:highlight w:val="none"/>
                <w:shd w:val="clear" w:color="auto" w:fill="auto"/>
                <w:lang w:val="en-US" w:eastAsia="zh-CN"/>
              </w:rPr>
              <w:t>省发展改革委牵头，省国资委、省机关事务局、省民政厅、省财政厅、省人力资源社会保障厅、省自然资源厅、省住房城乡建设厅、省卫生健康委、省应急厅、人行贵阳中心支行</w:t>
            </w:r>
            <w:r>
              <w:rPr>
                <w:rFonts w:hint="eastAsia" w:eastAsia="仿宋_GB2312" w:cs="仿宋_GB2312"/>
                <w:color w:val="auto"/>
                <w:spacing w:val="0"/>
                <w:kern w:val="0"/>
                <w:sz w:val="32"/>
                <w:szCs w:val="32"/>
                <w:highlight w:val="none"/>
                <w:shd w:val="clear" w:color="auto" w:fill="auto"/>
                <w:lang w:val="en-US"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23</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提高人才要素供给能力</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省教育厅、省人力资源社会保障厅、省发展改革委、省民政厅、省商务厅、省卫生健康委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24</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以满足老年人生活需求和营造婴幼儿成长环境为导向，培育形成具有示范意义的活力发展城市和社区</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省发展改革委、省住房城乡建设厅牵头，省民政厅、省卫生健康委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25</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促进用品制造提质升级，逐步完善养老托育服务和相关用品标准体系</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20"/>
                <w:kern w:val="0"/>
                <w:sz w:val="32"/>
                <w:szCs w:val="32"/>
                <w:highlight w:val="none"/>
                <w:shd w:val="clear" w:color="auto" w:fill="auto"/>
                <w:lang w:eastAsia="zh-CN"/>
              </w:rPr>
              <w:t>省工业和信息化厅、省科技厅、省发展改革委、省民政厅、省卫生健康委、省市场监管局、省残联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26</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培育托育服务、乳粉奶业、动画设计与制作等行业品牌</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省卫生健康委牵头，省发展改革委、省教育厅、省工业和信息化厅、省文化和旅游厅、省市场监管局</w:t>
            </w:r>
            <w:r>
              <w:rPr>
                <w:rFonts w:hint="eastAsia" w:eastAsia="仿宋_GB2312" w:cs="仿宋_GB2312"/>
                <w:b w:val="0"/>
                <w:i w:val="0"/>
                <w:snapToGrid/>
                <w:color w:val="auto"/>
                <w:spacing w:val="0"/>
                <w:kern w:val="0"/>
                <w:sz w:val="32"/>
                <w:szCs w:val="32"/>
                <w:highlight w:val="none"/>
                <w:shd w:val="clear" w:color="auto" w:fill="auto"/>
                <w:lang w:eastAsia="zh-CN"/>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27</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启动康复辅助器具应用推广工程，实施智慧老龄化技术推广应用工程</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省民政厅、省工业和信息化厅、省科技厅、省发展改革委、省市场监管局、省残联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28</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鼓励多方共建养老托育产业合作园区</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省发展改革委、省工业和信息化厅、省民政厅、省人力资源社会保障厅、省自然资源厅、省卫生健康委、省市场监管局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29</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支持公益慈善类社会组织参与，建立健全“一老一小”志愿服务项目库</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省总工会、共青团省委、省残联、省民政厅、省卫生健康委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30</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加强宜居环境建设。</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省住房城乡建设厅、省卫生健康委、省交通运输厅、省民政厅、省自然资源厅、省残联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31</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color w:val="auto"/>
                <w:spacing w:val="0"/>
                <w:kern w:val="0"/>
                <w:sz w:val="32"/>
                <w:szCs w:val="32"/>
                <w:highlight w:val="none"/>
                <w:shd w:val="clear" w:color="auto" w:fill="auto"/>
                <w:lang w:eastAsia="zh-CN"/>
              </w:rPr>
              <w:t>加大宣传推广力度</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省民政厅、省卫生健康委、省市场监管局、省人力资源社会保障厅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32</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制定养老托育政务服务事项清单，推进养老托育政务服务的“好差评”工作</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省民政厅、省卫生健康委、省市场监管局，地方各级人民政府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33</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完善养老托育服务综合监管体系</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省民政厅、省卫生健康委、省市场监管局、省住房城乡建设厅、省应急厅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34</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将养老托育纳入公共安全重点保障范围</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省民政厅、省卫生健康委、省发展改革委、省应急厅、省市场监管局，地方各级人民政府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35</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严防“一老一小”领域非法集资。</w:t>
            </w:r>
            <w:r>
              <w:rPr>
                <w:rFonts w:hint="eastAsia" w:ascii="Times New Roman" w:hAnsi="Times New Roman" w:eastAsia="仿宋_GB2312" w:cs="仿宋_GB2312"/>
                <w:color w:val="auto"/>
                <w:spacing w:val="0"/>
                <w:kern w:val="0"/>
                <w:sz w:val="32"/>
                <w:szCs w:val="32"/>
                <w:highlight w:val="none"/>
                <w:shd w:val="clear" w:color="auto" w:fill="auto"/>
              </w:rPr>
              <w:t>严防危害老年人、婴幼儿健康恶性事件的发生</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省民政厅、省卫生健康委、贵州银保监局、省地方金融监管局、</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省公安厅</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36</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提升养老机构应急保障能力</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val="en-US" w:eastAsia="zh-CN" w:bidi="ar-SA"/>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省民政厅、省发展改革委、省应急厅，地方各级人民政府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bidi="ar-SA"/>
              </w:rPr>
              <w:t>37</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kern w:val="0"/>
                <w:sz w:val="32"/>
                <w:szCs w:val="32"/>
                <w:highlight w:val="none"/>
                <w:shd w:val="clear" w:color="auto" w:fill="auto"/>
                <w:lang w:eastAsia="zh-CN"/>
              </w:rPr>
            </w:pPr>
            <w:r>
              <w:rPr>
                <w:rFonts w:hint="eastAsia" w:ascii="Times New Roman" w:hAnsi="Times New Roman" w:eastAsia="仿宋_GB2312" w:cs="仿宋_GB2312"/>
                <w:color w:val="auto"/>
                <w:spacing w:val="0"/>
                <w:kern w:val="0"/>
                <w:sz w:val="32"/>
                <w:szCs w:val="32"/>
                <w:highlight w:val="none"/>
                <w:shd w:val="clear" w:color="auto" w:fill="auto"/>
              </w:rPr>
              <w:t>降低特种设备引发的风险发生率</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省市场监管局、省</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应急厅、</w:t>
            </w:r>
            <w:r>
              <w:rPr>
                <w:rFonts w:hint="eastAsia" w:ascii="Times New Roman" w:hAnsi="Times New Roman" w:eastAsia="仿宋_GB2312" w:cs="仿宋_GB2312"/>
                <w:b w:val="0"/>
                <w:i w:val="0"/>
                <w:snapToGrid/>
                <w:color w:val="auto"/>
                <w:spacing w:val="0"/>
                <w:kern w:val="0"/>
                <w:sz w:val="32"/>
                <w:szCs w:val="32"/>
                <w:highlight w:val="none"/>
                <w:shd w:val="clear" w:color="auto" w:fill="auto"/>
                <w:lang w:val="en-US" w:eastAsia="zh-CN"/>
              </w:rPr>
              <w:t>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38</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eastAsia="zh-CN"/>
              </w:rPr>
            </w:pPr>
            <w:r>
              <w:rPr>
                <w:rFonts w:hint="eastAsia" w:ascii="Times New Roman" w:hAnsi="Times New Roman" w:eastAsia="仿宋_GB2312" w:cs="仿宋_GB2312"/>
                <w:color w:val="auto"/>
                <w:spacing w:val="0"/>
                <w:kern w:val="0"/>
                <w:sz w:val="32"/>
                <w:szCs w:val="32"/>
                <w:highlight w:val="none"/>
                <w:shd w:val="clear" w:color="auto" w:fill="auto"/>
              </w:rPr>
              <w:t>建立健全养老托育服务领域失信联合惩戒机制</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省民政厅、省卫生健康委、省市场监管局、省发展改革委，地方各级人民政府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39</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部门依据国家养老产业统计分类以及单位认定方法开展重要指标年度统计</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snapToGrid/>
                <w:color w:val="auto"/>
                <w:spacing w:val="0"/>
                <w:kern w:val="0"/>
                <w:sz w:val="32"/>
                <w:szCs w:val="32"/>
                <w:highlight w:val="none"/>
                <w:shd w:val="clear" w:color="auto" w:fill="auto"/>
                <w:vertAlign w:val="baseline"/>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省民政厅、省卫生健康委、省统计局、省发展改革委、省工业和信息化厅、省住房城乡建设厅、省市场监管局、省残联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0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pPr>
            <w:r>
              <w:rPr>
                <w:rFonts w:hint="default" w:ascii="Times New Roman" w:hAnsi="Times New Roman" w:eastAsia="仿宋" w:cs="Times New Roman"/>
                <w:b w:val="0"/>
                <w:i w:val="0"/>
                <w:snapToGrid/>
                <w:color w:val="auto"/>
                <w:spacing w:val="0"/>
                <w:kern w:val="0"/>
                <w:sz w:val="32"/>
                <w:szCs w:val="32"/>
                <w:highlight w:val="none"/>
                <w:shd w:val="clear" w:color="auto" w:fill="auto"/>
                <w:lang w:val="en-US" w:eastAsia="zh-CN"/>
              </w:rPr>
              <w:t>40</w:t>
            </w:r>
          </w:p>
        </w:tc>
        <w:tc>
          <w:tcPr>
            <w:tcW w:w="388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建立“一老一小”服务能力评价机制，加强对本意见执行情况的跟踪督促</w:t>
            </w:r>
          </w:p>
        </w:tc>
        <w:tc>
          <w:tcPr>
            <w:tcW w:w="48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pPr>
            <w:r>
              <w:rPr>
                <w:rFonts w:hint="eastAsia" w:ascii="Times New Roman" w:hAnsi="Times New Roman" w:eastAsia="仿宋_GB2312" w:cs="仿宋_GB2312"/>
                <w:b w:val="0"/>
                <w:i w:val="0"/>
                <w:snapToGrid/>
                <w:color w:val="auto"/>
                <w:spacing w:val="0"/>
                <w:kern w:val="0"/>
                <w:sz w:val="32"/>
                <w:szCs w:val="32"/>
                <w:highlight w:val="none"/>
                <w:shd w:val="clear" w:color="auto" w:fill="auto"/>
                <w:lang w:eastAsia="zh-CN"/>
              </w:rPr>
              <w:t>省发展改革委牵头，省各有关部门</w:t>
            </w:r>
            <w:r>
              <w:rPr>
                <w:rFonts w:hint="eastAsia" w:eastAsia="仿宋_GB2312" w:cs="仿宋_GB2312"/>
                <w:b w:val="0"/>
                <w:i w:val="0"/>
                <w:snapToGrid/>
                <w:color w:val="auto"/>
                <w:spacing w:val="0"/>
                <w:kern w:val="0"/>
                <w:sz w:val="32"/>
                <w:szCs w:val="32"/>
                <w:highlight w:val="none"/>
                <w:shd w:val="clear" w:color="auto" w:fill="auto"/>
                <w:lang w:eastAsia="zh-CN"/>
              </w:rPr>
              <w:t>参加</w:t>
            </w:r>
            <w:bookmarkStart w:name="_GoBack" w:id="0"/>
            <w:bookmarkEnd w:id="0"/>
          </w:p>
        </w:tc>
      </w:tr>
    </w:tbl>
    <w:p/>
    <w:sectPr>
      <w:footerReference w:type="default" r:id="rId3"/>
      <w:pgSz w:w="11906" w:h="16838"/>
      <w:pgMar w:top="2098" w:right="1417" w:bottom="1928" w:left="1587" w:header="851" w:footer="130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11BC8"/>
    <w:rsid w:val="0200793B"/>
    <w:rsid w:val="0E644A75"/>
    <w:rsid w:val="10593429"/>
    <w:rsid w:val="2D3A1ED6"/>
    <w:rsid w:val="49DD3C4B"/>
    <w:rsid w:val="4D5668F0"/>
    <w:rsid w:val="5BBA5499"/>
    <w:rsid w:val="665C55A3"/>
    <w:rsid w:val="69370081"/>
    <w:rsid w:val="72911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of authorities1"/>
    <w:next w:val="1"/>
    <w:qFormat/>
    <w:uiPriority w:val="0"/>
    <w:pPr>
      <w:widowControl w:val="0"/>
      <w:spacing w:line="440" w:lineRule="atLeast"/>
      <w:ind w:left="200" w:leftChars="200"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2453</Words>
  <Characters>2484</Characters>
  <Lines>0</Lines>
  <Paragraphs>0</Paragraphs>
  <TotalTime>0</TotalTime>
  <ScaleCrop>false</ScaleCrop>
  <LinksUpToDate>false</LinksUpToDate>
  <CharactersWithSpaces>2484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2022-03-30T06:53:00Z</dcterms:created>
  <dc:creator>慢慢</dc:creator>
  <cp:lastModifiedBy>慢慢</cp:lastModifiedBy>
  <dcterms:modified xsi:type="dcterms:W3CDTF">2022-03-30T08:38:02Z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1EFE3007905C49AFA10715BD45C81D4A</vt:lpwstr>
  </property>
</Properties>
</file>