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5C71" w:rsidR="000361C3" w:rsidP="00DA232A" w:rsidRDefault="00A762FC">
      <w:pPr>
        <w:tabs>
          <w:tab w:val="left" w:pos="2340"/>
        </w:tabs>
        <w:adjustRightInd w:val="0"/>
        <w:snapToGrid w:val="0"/>
        <w:spacing w:line="480" w:lineRule="auto"/>
        <w:jc w:val="center"/>
        <w:rPr>
          <w:rFonts w:ascii="黑体" w:hAnsi="黑体" w:eastAsia="黑体"/>
          <w:sz w:val="36"/>
          <w:szCs w:val="36"/>
        </w:rPr>
      </w:pPr>
      <w:r w:rsidRPr="00865C71">
        <w:rPr>
          <w:rFonts w:hint="eastAsia" w:ascii="黑体" w:hAnsi="黑体" w:eastAsia="黑体"/>
          <w:sz w:val="36"/>
          <w:szCs w:val="36"/>
        </w:rPr>
        <w:t>标准修订说明</w:t>
      </w:r>
    </w:p>
    <w:p w:rsidRPr="00E347EA" w:rsidR="00E347EA" w:rsidP="00865C71" w:rsidRDefault="00314971">
      <w:pPr>
        <w:tabs>
          <w:tab w:val="left" w:pos="2340"/>
        </w:tabs>
        <w:adjustRightInd w:val="0"/>
        <w:snapToGrid w:val="0"/>
        <w:ind w:firstLine="480" w:firstLineChars="200"/>
        <w:rPr>
          <w:rFonts w:ascii="Times New Roman" w:hAnsi="Times New Roman" w:eastAsia="宋体" w:cs="Times New Roman"/>
          <w:sz w:val="24"/>
          <w:szCs w:val="24"/>
        </w:rPr>
      </w:pPr>
      <w:r w:rsidRPr="004A35E0">
        <w:rPr>
          <w:rFonts w:ascii="Times New Roman" w:hAnsi="Times New Roman" w:eastAsia="宋体" w:cs="Times New Roman"/>
          <w:sz w:val="24"/>
          <w:szCs w:val="24"/>
        </w:rPr>
        <w:t>我国在</w:t>
      </w:r>
      <w:r>
        <w:rPr>
          <w:rFonts w:ascii="Times New Roman" w:hAnsi="Times New Roman" w:eastAsia="宋体" w:cs="Times New Roman"/>
          <w:sz w:val="24"/>
          <w:szCs w:val="24"/>
        </w:rPr>
        <w:t>1999</w:t>
      </w:r>
      <w:r w:rsidRPr="004A35E0">
        <w:rPr>
          <w:rFonts w:ascii="Times New Roman" w:hAnsi="Times New Roman" w:eastAsia="宋体" w:cs="Times New Roman"/>
          <w:sz w:val="24"/>
          <w:szCs w:val="24"/>
        </w:rPr>
        <w:t>年批准</w:t>
      </w:r>
      <w:r w:rsidRPr="004A35E0">
        <w:rPr>
          <w:rFonts w:hint="eastAsia" w:ascii="Times New Roman" w:hAnsi="Times New Roman" w:eastAsia="宋体" w:cs="Times New Roman"/>
          <w:sz w:val="24"/>
          <w:szCs w:val="24"/>
        </w:rPr>
        <w:t>低分子量肝素</w:t>
      </w:r>
      <w:r w:rsidRPr="004A35E0">
        <w:rPr>
          <w:rFonts w:ascii="Times New Roman" w:hAnsi="Times New Roman" w:eastAsia="宋体" w:cs="Times New Roman"/>
          <w:sz w:val="24"/>
          <w:szCs w:val="24"/>
        </w:rPr>
        <w:t>及注射液上市</w:t>
      </w:r>
      <w:r>
        <w:rPr>
          <w:rFonts w:hint="eastAsia" w:ascii="Times New Roman" w:hAnsi="Times New Roman" w:eastAsia="宋体" w:cs="Times New Roman"/>
          <w:sz w:val="24"/>
          <w:szCs w:val="24"/>
        </w:rPr>
        <w:t>。</w:t>
      </w:r>
      <w:r w:rsidRPr="004A35E0">
        <w:rPr>
          <w:rFonts w:ascii="Times New Roman" w:hAnsi="Times New Roman" w:eastAsia="宋体" w:cs="Times New Roman"/>
          <w:sz w:val="24"/>
          <w:szCs w:val="24"/>
        </w:rPr>
        <w:t>截至</w:t>
      </w:r>
      <w:r>
        <w:rPr>
          <w:rFonts w:ascii="Times New Roman" w:hAnsi="Times New Roman" w:eastAsia="宋体" w:cs="Times New Roman"/>
          <w:sz w:val="24"/>
          <w:szCs w:val="24"/>
        </w:rPr>
        <w:t>2012</w:t>
      </w:r>
      <w:r w:rsidRPr="004A35E0">
        <w:rPr>
          <w:rFonts w:ascii="Times New Roman" w:hAnsi="Times New Roman" w:eastAsia="宋体" w:cs="Times New Roman"/>
          <w:sz w:val="24"/>
          <w:szCs w:val="24"/>
        </w:rPr>
        <w:t>年，审评时未按</w:t>
      </w:r>
      <w:r>
        <w:rPr>
          <w:rFonts w:hint="eastAsia" w:ascii="Times New Roman" w:hAnsi="Times New Roman" w:eastAsia="宋体" w:cs="Times New Roman"/>
          <w:sz w:val="24"/>
          <w:szCs w:val="24"/>
        </w:rPr>
        <w:t>低分子量肝素</w:t>
      </w:r>
      <w:r w:rsidRPr="004A35E0">
        <w:rPr>
          <w:rFonts w:ascii="Times New Roman" w:hAnsi="Times New Roman" w:eastAsia="宋体" w:cs="Times New Roman"/>
          <w:sz w:val="24"/>
          <w:szCs w:val="24"/>
        </w:rPr>
        <w:t>工艺进行分类，仅依据欧洲药典</w:t>
      </w:r>
      <w:r w:rsidRPr="004A35E0">
        <w:rPr>
          <w:rFonts w:ascii="Times New Roman" w:hAnsi="Times New Roman" w:eastAsia="宋体" w:cs="Times New Roman"/>
          <w:sz w:val="24"/>
          <w:szCs w:val="24"/>
        </w:rPr>
        <w:t xml:space="preserve"> </w:t>
      </w:r>
      <w:r w:rsidRPr="00733804">
        <w:rPr>
          <w:rFonts w:ascii="Times New Roman" w:hAnsi="Times New Roman" w:eastAsia="宋体" w:cs="Times New Roman"/>
          <w:sz w:val="24"/>
          <w:szCs w:val="24"/>
        </w:rPr>
        <w:t>L</w:t>
      </w:r>
      <w:r>
        <w:rPr>
          <w:rFonts w:ascii="Times New Roman" w:hAnsi="Times New Roman" w:eastAsia="宋体" w:cs="Times New Roman"/>
          <w:sz w:val="24"/>
          <w:szCs w:val="24"/>
        </w:rPr>
        <w:t>ow molecular weight</w:t>
      </w:r>
      <w:r w:rsidRPr="00733804">
        <w:rPr>
          <w:rFonts w:ascii="Times New Roman" w:hAnsi="Times New Roman" w:eastAsia="宋体" w:cs="Times New Roman"/>
          <w:sz w:val="24"/>
          <w:szCs w:val="24"/>
        </w:rPr>
        <w:t xml:space="preserve"> </w:t>
      </w:r>
      <w:r>
        <w:rPr>
          <w:rFonts w:ascii="Times New Roman" w:hAnsi="Times New Roman" w:eastAsia="宋体" w:cs="Times New Roman"/>
          <w:sz w:val="24"/>
          <w:szCs w:val="24"/>
        </w:rPr>
        <w:t>heparins</w:t>
      </w:r>
      <w:r w:rsidRPr="004A35E0">
        <w:rPr>
          <w:rFonts w:ascii="Times New Roman" w:hAnsi="Times New Roman" w:eastAsia="宋体" w:cs="Times New Roman"/>
          <w:sz w:val="24"/>
          <w:szCs w:val="24"/>
        </w:rPr>
        <w:t>的通则，将它们简单归于</w:t>
      </w:r>
      <w:r w:rsidRPr="004A35E0">
        <w:rPr>
          <w:rFonts w:ascii="Times New Roman" w:hAnsi="Times New Roman" w:eastAsia="宋体" w:cs="Times New Roman"/>
          <w:sz w:val="24"/>
          <w:szCs w:val="24"/>
        </w:rPr>
        <w:t>“</w:t>
      </w:r>
      <w:r w:rsidRPr="004A35E0">
        <w:rPr>
          <w:rFonts w:ascii="Times New Roman" w:hAnsi="Times New Roman" w:eastAsia="宋体" w:cs="Times New Roman"/>
          <w:sz w:val="24"/>
          <w:szCs w:val="24"/>
        </w:rPr>
        <w:t>低分子</w:t>
      </w:r>
      <w:r w:rsidR="0088406F">
        <w:rPr>
          <w:rFonts w:hint="eastAsia" w:ascii="Times New Roman" w:hAnsi="Times New Roman" w:eastAsia="宋体" w:cs="Times New Roman"/>
          <w:sz w:val="24"/>
          <w:szCs w:val="24"/>
        </w:rPr>
        <w:t>量</w:t>
      </w:r>
      <w:r w:rsidRPr="004A35E0">
        <w:rPr>
          <w:rFonts w:ascii="Times New Roman" w:hAnsi="Times New Roman" w:eastAsia="宋体" w:cs="Times New Roman"/>
          <w:sz w:val="24"/>
          <w:szCs w:val="24"/>
        </w:rPr>
        <w:t>肝素</w:t>
      </w:r>
      <w:r w:rsidRPr="004A35E0">
        <w:rPr>
          <w:rFonts w:ascii="Times New Roman" w:hAnsi="Times New Roman" w:eastAsia="宋体" w:cs="Times New Roman"/>
          <w:sz w:val="24"/>
          <w:szCs w:val="24"/>
        </w:rPr>
        <w:t>”</w:t>
      </w:r>
      <w:r w:rsidRPr="004A35E0">
        <w:rPr>
          <w:rFonts w:ascii="Times New Roman" w:hAnsi="Times New Roman" w:eastAsia="宋体" w:cs="Times New Roman"/>
          <w:sz w:val="24"/>
          <w:szCs w:val="24"/>
        </w:rPr>
        <w:t>，分为低分子</w:t>
      </w:r>
      <w:r w:rsidR="0088406F">
        <w:rPr>
          <w:rFonts w:hint="eastAsia" w:ascii="Times New Roman" w:hAnsi="Times New Roman" w:eastAsia="宋体" w:cs="Times New Roman"/>
          <w:sz w:val="24"/>
          <w:szCs w:val="24"/>
        </w:rPr>
        <w:t>量</w:t>
      </w:r>
      <w:r w:rsidRPr="004A35E0">
        <w:rPr>
          <w:rFonts w:ascii="Times New Roman" w:hAnsi="Times New Roman" w:eastAsia="宋体" w:cs="Times New Roman"/>
          <w:sz w:val="24"/>
          <w:szCs w:val="24"/>
        </w:rPr>
        <w:t>肝素钠或低分子</w:t>
      </w:r>
      <w:r w:rsidR="0088406F">
        <w:rPr>
          <w:rFonts w:hint="eastAsia" w:ascii="Times New Roman" w:hAnsi="Times New Roman" w:eastAsia="宋体" w:cs="Times New Roman"/>
          <w:sz w:val="24"/>
          <w:szCs w:val="24"/>
        </w:rPr>
        <w:t>量</w:t>
      </w:r>
      <w:r w:rsidRPr="004A35E0">
        <w:rPr>
          <w:rFonts w:ascii="Times New Roman" w:hAnsi="Times New Roman" w:eastAsia="宋体" w:cs="Times New Roman"/>
          <w:sz w:val="24"/>
          <w:szCs w:val="24"/>
        </w:rPr>
        <w:t>肝素钙。</w:t>
      </w:r>
      <w:r w:rsidRPr="004A35E0" w:rsidR="004A35E0">
        <w:rPr>
          <w:rFonts w:ascii="Times New Roman" w:hAnsi="Times New Roman" w:eastAsia="宋体" w:cs="Times New Roman"/>
          <w:sz w:val="24"/>
          <w:szCs w:val="24"/>
        </w:rPr>
        <w:t>本品系</w:t>
      </w:r>
      <w:r w:rsidR="00E10C90">
        <w:rPr>
          <w:rFonts w:hint="eastAsia" w:ascii="Times New Roman" w:hAnsi="Times New Roman" w:eastAsia="宋体" w:cs="Times New Roman"/>
          <w:sz w:val="24"/>
          <w:szCs w:val="24"/>
        </w:rPr>
        <w:t>依诺肝素</w:t>
      </w:r>
      <w:r w:rsidRPr="004A35E0" w:rsidR="004A35E0">
        <w:rPr>
          <w:rFonts w:ascii="Times New Roman" w:hAnsi="Times New Roman" w:eastAsia="宋体" w:cs="Times New Roman"/>
          <w:sz w:val="24"/>
          <w:szCs w:val="24"/>
        </w:rPr>
        <w:t>的钠盐，</w:t>
      </w:r>
      <w:r w:rsidR="00E10C90">
        <w:rPr>
          <w:rFonts w:hint="eastAsia" w:ascii="Times New Roman" w:hAnsi="Times New Roman" w:eastAsia="宋体" w:cs="Times New Roman"/>
          <w:sz w:val="24"/>
          <w:szCs w:val="24"/>
        </w:rPr>
        <w:t>依诺肝素</w:t>
      </w:r>
      <w:r w:rsidRPr="004A35E0" w:rsidR="004A35E0">
        <w:rPr>
          <w:rFonts w:ascii="Times New Roman" w:hAnsi="Times New Roman" w:eastAsia="宋体" w:cs="Times New Roman"/>
          <w:sz w:val="24"/>
          <w:szCs w:val="24"/>
        </w:rPr>
        <w:t>是以猪小肠黏膜来源的肝素为原料，采用亚硝酸解聚的方法制得。</w:t>
      </w:r>
      <w:r w:rsidR="00BB1C99">
        <w:rPr>
          <w:rFonts w:hint="eastAsia" w:ascii="Times New Roman" w:hAnsi="Times New Roman" w:eastAsia="宋体" w:cs="Times New Roman"/>
          <w:sz w:val="24"/>
          <w:szCs w:val="24"/>
        </w:rPr>
        <w:t>国内</w:t>
      </w:r>
      <w:r w:rsidR="009D7603">
        <w:rPr>
          <w:rFonts w:hint="eastAsia" w:ascii="Times New Roman" w:hAnsi="Times New Roman" w:eastAsia="宋体" w:cs="Times New Roman"/>
          <w:sz w:val="24"/>
          <w:szCs w:val="24"/>
        </w:rPr>
        <w:t>目前有</w:t>
      </w:r>
      <w:r w:rsidR="00E10C90">
        <w:rPr>
          <w:rFonts w:hint="eastAsia" w:ascii="Times New Roman" w:hAnsi="Times New Roman" w:eastAsia="宋体" w:cs="Times New Roman"/>
          <w:sz w:val="24"/>
          <w:szCs w:val="24"/>
        </w:rPr>
        <w:t>8</w:t>
      </w:r>
      <w:r w:rsidR="009D7603">
        <w:rPr>
          <w:rFonts w:hint="eastAsia" w:ascii="Times New Roman" w:hAnsi="Times New Roman" w:eastAsia="宋体" w:cs="Times New Roman"/>
          <w:sz w:val="24"/>
          <w:szCs w:val="24"/>
        </w:rPr>
        <w:t>个企业持有</w:t>
      </w:r>
      <w:r w:rsidRPr="00E10C90" w:rsidR="00E10C90">
        <w:rPr>
          <w:rFonts w:hint="eastAsia" w:ascii="Times New Roman" w:hAnsi="Times New Roman" w:eastAsia="宋体" w:cs="Times New Roman"/>
          <w:sz w:val="24"/>
          <w:szCs w:val="24"/>
        </w:rPr>
        <w:t>依诺肝素钠</w:t>
      </w:r>
      <w:r w:rsidR="009D7603">
        <w:rPr>
          <w:rFonts w:hint="eastAsia" w:ascii="Times New Roman" w:hAnsi="Times New Roman" w:eastAsia="宋体" w:cs="Times New Roman"/>
          <w:sz w:val="24"/>
          <w:szCs w:val="24"/>
        </w:rPr>
        <w:t>原料药的生产文号，</w:t>
      </w:r>
      <w:r w:rsidRPr="009D7603" w:rsidR="00A762FC">
        <w:rPr>
          <w:rFonts w:hint="eastAsia" w:ascii="Times New Roman" w:hAnsi="Times New Roman" w:eastAsia="宋体" w:cs="Times New Roman"/>
          <w:sz w:val="24"/>
          <w:szCs w:val="24"/>
        </w:rPr>
        <w:t>执行标准为</w:t>
      </w:r>
      <w:r w:rsidRPr="009D7603" w:rsidR="009D7603">
        <w:rPr>
          <w:rFonts w:hint="eastAsia" w:ascii="Times New Roman" w:hAnsi="Times New Roman" w:eastAsia="宋体" w:cs="Times New Roman"/>
          <w:sz w:val="24"/>
          <w:szCs w:val="24"/>
        </w:rPr>
        <w:t>各企业的注册标准</w:t>
      </w:r>
      <w:r w:rsidRPr="009D7603" w:rsidR="00A762FC">
        <w:rPr>
          <w:rFonts w:hint="eastAsia" w:ascii="Times New Roman" w:hAnsi="Times New Roman" w:eastAsia="宋体" w:cs="Times New Roman"/>
          <w:sz w:val="24"/>
          <w:szCs w:val="24"/>
        </w:rPr>
        <w:t>。本次</w:t>
      </w:r>
      <w:r w:rsidR="009D7603">
        <w:rPr>
          <w:rFonts w:hint="eastAsia" w:ascii="Times New Roman" w:hAnsi="Times New Roman" w:eastAsia="宋体" w:cs="Times New Roman"/>
          <w:sz w:val="24"/>
          <w:szCs w:val="24"/>
        </w:rPr>
        <w:t>拟定的</w:t>
      </w:r>
      <w:r w:rsidRPr="00E10C90" w:rsidR="00E10C90">
        <w:rPr>
          <w:rFonts w:hint="eastAsia" w:ascii="Times New Roman" w:hAnsi="Times New Roman" w:eastAsia="宋体" w:cs="Times New Roman"/>
          <w:sz w:val="24"/>
          <w:szCs w:val="24"/>
        </w:rPr>
        <w:t>依诺肝素钠</w:t>
      </w:r>
      <w:r w:rsidR="009D7603">
        <w:rPr>
          <w:rFonts w:hint="eastAsia" w:ascii="Times New Roman" w:hAnsi="Times New Roman" w:eastAsia="宋体" w:cs="Times New Roman"/>
          <w:sz w:val="24"/>
          <w:szCs w:val="24"/>
        </w:rPr>
        <w:t>国家标准</w:t>
      </w:r>
      <w:r w:rsidR="00A01C6F">
        <w:rPr>
          <w:rFonts w:hint="eastAsia" w:ascii="Times New Roman" w:hAnsi="Times New Roman" w:eastAsia="宋体" w:cs="Times New Roman"/>
          <w:sz w:val="24"/>
          <w:szCs w:val="24"/>
        </w:rPr>
        <w:t>草案</w:t>
      </w:r>
      <w:r w:rsidR="009D7603">
        <w:rPr>
          <w:rFonts w:hint="eastAsia" w:ascii="Times New Roman" w:hAnsi="Times New Roman" w:eastAsia="宋体" w:cs="Times New Roman"/>
          <w:sz w:val="24"/>
          <w:szCs w:val="24"/>
        </w:rPr>
        <w:t>由</w:t>
      </w:r>
      <w:r w:rsidRPr="00557E70" w:rsidR="009D7603">
        <w:rPr>
          <w:rFonts w:hint="eastAsia" w:ascii="Times New Roman" w:hAnsi="Times New Roman" w:eastAsia="宋体" w:cs="Times New Roman"/>
          <w:sz w:val="24"/>
          <w:szCs w:val="24"/>
        </w:rPr>
        <w:t>中检院起草</w:t>
      </w:r>
      <w:r w:rsidR="00557E70">
        <w:rPr>
          <w:rFonts w:hint="eastAsia" w:ascii="Times New Roman" w:hAnsi="Times New Roman" w:eastAsia="宋体" w:cs="Times New Roman"/>
          <w:sz w:val="24"/>
          <w:szCs w:val="24"/>
        </w:rPr>
        <w:t>，</w:t>
      </w:r>
      <w:r w:rsidR="00BB1C99">
        <w:rPr>
          <w:rFonts w:hint="eastAsia" w:ascii="Times New Roman" w:hAnsi="Times New Roman" w:eastAsia="宋体" w:cs="Times New Roman"/>
          <w:sz w:val="24"/>
          <w:szCs w:val="24"/>
        </w:rPr>
        <w:t>广东所和浙江院复核。</w:t>
      </w:r>
      <w:r w:rsidRPr="00E347EA" w:rsidR="00E347EA">
        <w:rPr>
          <w:rFonts w:hint="eastAsia" w:ascii="Times New Roman" w:hAnsi="Times New Roman" w:eastAsia="宋体" w:cs="Times New Roman"/>
          <w:sz w:val="24"/>
          <w:szCs w:val="24"/>
        </w:rPr>
        <w:t>与</w:t>
      </w:r>
      <w:r w:rsidR="009F70DC">
        <w:rPr>
          <w:rFonts w:hint="eastAsia" w:ascii="Times New Roman" w:hAnsi="Times New Roman" w:eastAsia="宋体" w:cs="Times New Roman"/>
          <w:sz w:val="24"/>
          <w:szCs w:val="24"/>
        </w:rPr>
        <w:t>2017</w:t>
      </w:r>
      <w:r w:rsidR="009F70DC">
        <w:rPr>
          <w:rFonts w:hint="eastAsia" w:ascii="Times New Roman" w:hAnsi="Times New Roman" w:eastAsia="宋体" w:cs="Times New Roman"/>
          <w:sz w:val="24"/>
          <w:szCs w:val="24"/>
        </w:rPr>
        <w:t>年</w:t>
      </w:r>
      <w:r w:rsidRPr="00E347EA" w:rsidR="00E347EA">
        <w:rPr>
          <w:rFonts w:hint="eastAsia" w:ascii="Times New Roman" w:hAnsi="Times New Roman" w:eastAsia="宋体" w:cs="Times New Roman"/>
          <w:sz w:val="24"/>
          <w:szCs w:val="24"/>
        </w:rPr>
        <w:t>公示稿相比</w:t>
      </w:r>
      <w:r w:rsidR="0062604A">
        <w:rPr>
          <w:rFonts w:hint="eastAsia" w:ascii="Times New Roman" w:hAnsi="Times New Roman" w:eastAsia="宋体" w:cs="Times New Roman"/>
          <w:sz w:val="24"/>
          <w:szCs w:val="24"/>
        </w:rPr>
        <w:t>，</w:t>
      </w:r>
      <w:r w:rsidRPr="00E347EA" w:rsidR="00E347EA">
        <w:rPr>
          <w:rFonts w:hint="eastAsia" w:ascii="Times New Roman" w:hAnsi="Times New Roman" w:eastAsia="宋体" w:cs="Times New Roman"/>
          <w:sz w:val="24"/>
          <w:szCs w:val="24"/>
        </w:rPr>
        <w:t>主要修改内容如下：</w:t>
      </w:r>
    </w:p>
    <w:p w:rsidRPr="00322FFF" w:rsidR="00322FFF" w:rsidP="00322FFF" w:rsidRDefault="00322FFF">
      <w:pPr>
        <w:ind w:firstLine="480" w:firstLineChars="200"/>
        <w:rPr>
          <w:rFonts w:ascii="Times New Roman" w:hAnsi="Times New Roman" w:eastAsia="宋体" w:cs="Times New Roman"/>
          <w:sz w:val="24"/>
          <w:szCs w:val="24"/>
        </w:rPr>
      </w:pPr>
      <w:r w:rsidRPr="00322FFF">
        <w:rPr>
          <w:rFonts w:hint="eastAsia" w:ascii="Times New Roman" w:hAnsi="Times New Roman" w:eastAsia="宋体" w:cs="Times New Roman"/>
          <w:sz w:val="24"/>
          <w:szCs w:val="24"/>
        </w:rPr>
        <w:t>一</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 </w:t>
      </w:r>
      <w:r w:rsidRPr="00322FFF">
        <w:rPr>
          <w:rFonts w:hint="eastAsia" w:ascii="Times New Roman" w:hAnsi="Times New Roman" w:eastAsia="宋体" w:cs="Times New Roman"/>
          <w:sz w:val="24"/>
          <w:szCs w:val="24"/>
        </w:rPr>
        <w:t>化学结构式：订正了</w:t>
      </w:r>
      <w:r w:rsidRPr="00322FFF">
        <w:rPr>
          <w:rFonts w:hint="eastAsia" w:ascii="Times New Roman" w:hAnsi="Times New Roman" w:eastAsia="宋体" w:cs="Times New Roman"/>
          <w:sz w:val="24"/>
          <w:szCs w:val="24"/>
        </w:rPr>
        <w:t>R</w:t>
      </w:r>
      <w:r w:rsidRPr="002C09C4">
        <w:rPr>
          <w:rFonts w:hint="eastAsia" w:ascii="Times New Roman" w:hAnsi="Times New Roman" w:eastAsia="宋体" w:cs="Times New Roman"/>
          <w:sz w:val="24"/>
          <w:szCs w:val="24"/>
          <w:vertAlign w:val="subscript"/>
        </w:rPr>
        <w:t>3</w:t>
      </w:r>
      <w:r w:rsidRPr="00322FFF">
        <w:rPr>
          <w:rFonts w:hint="eastAsia" w:ascii="Times New Roman" w:hAnsi="Times New Roman" w:eastAsia="宋体" w:cs="Times New Roman"/>
          <w:sz w:val="24"/>
          <w:szCs w:val="24"/>
        </w:rPr>
        <w:t>基团结构式。</w:t>
      </w:r>
      <w:r w:rsidRPr="00322FFF">
        <w:rPr>
          <w:rFonts w:hint="eastAsia" w:ascii="Times New Roman" w:hAnsi="Times New Roman" w:eastAsia="宋体" w:cs="Times New Roman"/>
          <w:sz w:val="24"/>
          <w:szCs w:val="24"/>
        </w:rPr>
        <w:t xml:space="preserve"> </w:t>
      </w:r>
    </w:p>
    <w:p w:rsidRPr="00322FFF" w:rsidR="00322FFF" w:rsidP="008C7A5C" w:rsidRDefault="00322FFF">
      <w:pPr>
        <w:spacing w:line="0" w:lineRule="atLeas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sidRPr="00322FFF">
        <w:rPr>
          <w:rFonts w:hint="eastAsia" w:ascii="Times New Roman" w:hAnsi="Times New Roman" w:eastAsia="宋体" w:cs="Times New Roman"/>
          <w:sz w:val="24"/>
          <w:szCs w:val="24"/>
        </w:rPr>
        <w:t xml:space="preserve">. </w:t>
      </w:r>
      <w:r w:rsidRPr="00322FFF">
        <w:rPr>
          <w:rFonts w:hint="eastAsia" w:ascii="Times New Roman" w:hAnsi="Times New Roman" w:eastAsia="宋体" w:cs="Times New Roman"/>
          <w:sz w:val="24"/>
          <w:szCs w:val="24"/>
        </w:rPr>
        <w:t>鉴别：增加了核磁共振氢谱法。中检院标准化所提交的</w:t>
      </w:r>
      <w:r w:rsidRPr="00322FFF">
        <w:rPr>
          <w:rFonts w:ascii="Times New Roman" w:hAnsi="Times New Roman" w:eastAsia="宋体" w:cs="Times New Roman"/>
          <w:sz w:val="24"/>
          <w:szCs w:val="24"/>
        </w:rPr>
        <w:t>标准草案经中国医科院药物所药物及代谢产物分析研究中心和武汉工程大学复核，认为该检测方法适用性和判断标准均可行，可用于</w:t>
      </w:r>
      <w:r w:rsidRPr="00322FFF">
        <w:rPr>
          <w:rFonts w:hint="eastAsia" w:ascii="Times New Roman" w:hAnsi="Times New Roman" w:eastAsia="宋体" w:cs="Times New Roman"/>
          <w:sz w:val="24"/>
          <w:szCs w:val="24"/>
        </w:rPr>
        <w:t>依诺肝素钠的</w:t>
      </w:r>
      <w:r w:rsidRPr="00322FFF">
        <w:rPr>
          <w:rFonts w:ascii="Times New Roman" w:hAnsi="Times New Roman" w:eastAsia="宋体" w:cs="Times New Roman"/>
          <w:sz w:val="24"/>
          <w:szCs w:val="24"/>
        </w:rPr>
        <w:t>鉴别</w:t>
      </w:r>
      <w:r w:rsidRPr="00322FFF">
        <w:rPr>
          <w:rFonts w:hint="eastAsia" w:ascii="Times New Roman" w:hAnsi="Times New Roman" w:eastAsia="宋体" w:cs="Times New Roman"/>
          <w:sz w:val="24"/>
          <w:szCs w:val="24"/>
        </w:rPr>
        <w:t>。该</w:t>
      </w:r>
      <w:r w:rsidRPr="00322FFF">
        <w:rPr>
          <w:rFonts w:ascii="Times New Roman" w:hAnsi="Times New Roman" w:eastAsia="宋体" w:cs="Times New Roman"/>
          <w:sz w:val="24"/>
          <w:szCs w:val="24"/>
        </w:rPr>
        <w:t>标准草案</w:t>
      </w:r>
      <w:r w:rsidRPr="00322FFF">
        <w:rPr>
          <w:rFonts w:hint="eastAsia" w:ascii="Times New Roman" w:hAnsi="Times New Roman" w:eastAsia="宋体" w:cs="Times New Roman"/>
          <w:sz w:val="24"/>
          <w:szCs w:val="24"/>
        </w:rPr>
        <w:t>已经专家委员会讨论通过。</w:t>
      </w:r>
    </w:p>
    <w:p w:rsidRPr="00322FFF" w:rsidR="00322FFF" w:rsidP="00322FFF" w:rsidRDefault="00322FFF">
      <w:pPr>
        <w:spacing w:before="120"/>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 </w:t>
      </w:r>
      <w:r w:rsidRPr="00322FFF">
        <w:rPr>
          <w:rFonts w:hint="eastAsia" w:ascii="Times New Roman" w:hAnsi="Times New Roman" w:eastAsia="宋体" w:cs="Times New Roman"/>
          <w:sz w:val="24"/>
          <w:szCs w:val="24"/>
        </w:rPr>
        <w:t>检查：</w:t>
      </w:r>
    </w:p>
    <w:p w:rsidRPr="00322FFF" w:rsidR="00322FFF" w:rsidP="00322FFF" w:rsidRDefault="00322FF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 </w:t>
      </w:r>
      <w:r w:rsidRPr="00322FFF">
        <w:rPr>
          <w:rFonts w:ascii="Times New Roman" w:hAnsi="Times New Roman" w:eastAsia="宋体" w:cs="Times New Roman"/>
          <w:sz w:val="24"/>
          <w:szCs w:val="24"/>
        </w:rPr>
        <w:t>硫酸根与羧酸根摩尔比</w:t>
      </w:r>
      <w:r w:rsidRPr="00322FFF">
        <w:rPr>
          <w:rFonts w:hint="eastAsia" w:ascii="Times New Roman" w:hAnsi="Times New Roman" w:eastAsia="宋体" w:cs="Times New Roman"/>
          <w:sz w:val="24"/>
          <w:szCs w:val="24"/>
        </w:rPr>
        <w:t>：根据企业反馈意见，修改为“</w:t>
      </w:r>
      <w:r w:rsidRPr="00322FFF">
        <w:rPr>
          <w:rFonts w:ascii="Times New Roman" w:hAnsi="Times New Roman" w:eastAsia="宋体" w:cs="Times New Roman"/>
          <w:sz w:val="24"/>
          <w:szCs w:val="24"/>
        </w:rPr>
        <w:t>洗脱完毕后用电导率仪立即进行电导滴定，以铂黑电极</w:t>
      </w:r>
      <w:r w:rsidRPr="00322FFF">
        <w:rPr>
          <w:rFonts w:hint="eastAsia" w:ascii="Times New Roman" w:hAnsi="Times New Roman" w:eastAsia="宋体" w:cs="Times New Roman"/>
          <w:sz w:val="24"/>
          <w:szCs w:val="24"/>
        </w:rPr>
        <w:t>或其它能满足测定需求的电极</w:t>
      </w:r>
      <w:r w:rsidRPr="00322FFF">
        <w:rPr>
          <w:rFonts w:ascii="Times New Roman" w:hAnsi="Times New Roman" w:eastAsia="宋体" w:cs="Times New Roman"/>
          <w:sz w:val="24"/>
          <w:szCs w:val="24"/>
        </w:rPr>
        <w:t>为测定电极，在磁力搅拌条件下，每次加氢氧化钠滴定液（</w:t>
      </w:r>
      <w:r w:rsidRPr="00322FFF">
        <w:rPr>
          <w:rFonts w:ascii="Times New Roman" w:hAnsi="Times New Roman" w:eastAsia="宋体" w:cs="Times New Roman"/>
          <w:sz w:val="24"/>
          <w:szCs w:val="24"/>
        </w:rPr>
        <w:t>0.05mol/L</w:t>
      </w:r>
      <w:r w:rsidRPr="00322FFF">
        <w:rPr>
          <w:rFonts w:ascii="Times New Roman" w:hAnsi="Times New Roman" w:eastAsia="宋体" w:cs="Times New Roman"/>
          <w:sz w:val="24"/>
          <w:szCs w:val="24"/>
        </w:rPr>
        <w:t>）约</w:t>
      </w:r>
      <w:r w:rsidRPr="00322FFF">
        <w:rPr>
          <w:rFonts w:ascii="Times New Roman" w:hAnsi="Times New Roman" w:eastAsia="宋体" w:cs="Times New Roman"/>
          <w:sz w:val="24"/>
          <w:szCs w:val="24"/>
        </w:rPr>
        <w:t>50μl</w:t>
      </w:r>
      <w:r w:rsidRPr="00322FFF">
        <w:rPr>
          <w:rFonts w:ascii="Times New Roman" w:hAnsi="Times New Roman" w:eastAsia="宋体" w:cs="Times New Roman"/>
          <w:sz w:val="24"/>
          <w:szCs w:val="24"/>
        </w:rPr>
        <w:t>，直至终点。</w:t>
      </w:r>
      <w:r w:rsidRPr="00322FFF">
        <w:rPr>
          <w:rFonts w:hint="eastAsia" w:ascii="Times New Roman" w:hAnsi="Times New Roman" w:eastAsia="宋体" w:cs="Times New Roman"/>
          <w:sz w:val="24"/>
          <w:szCs w:val="24"/>
        </w:rPr>
        <w:t>”</w:t>
      </w:r>
    </w:p>
    <w:p w:rsidRPr="00322FFF" w:rsidR="00322FFF" w:rsidP="00322FFF" w:rsidRDefault="00322FF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 1,6-</w:t>
      </w:r>
      <w:r w:rsidRPr="00322FFF">
        <w:rPr>
          <w:rFonts w:ascii="Times New Roman" w:hAnsi="Times New Roman" w:eastAsia="宋体" w:cs="Times New Roman"/>
          <w:sz w:val="24"/>
          <w:szCs w:val="24"/>
        </w:rPr>
        <w:t>脱水衍生物</w:t>
      </w:r>
      <w:r w:rsidRPr="00322FFF">
        <w:rPr>
          <w:rFonts w:hint="eastAsia" w:ascii="Times New Roman" w:hAnsi="Times New Roman" w:eastAsia="宋体" w:cs="Times New Roman"/>
          <w:sz w:val="24"/>
          <w:szCs w:val="24"/>
        </w:rPr>
        <w:t>：参照</w:t>
      </w:r>
      <w:r w:rsidRPr="00322FFF">
        <w:rPr>
          <w:rFonts w:ascii="Times New Roman" w:hAnsi="Times New Roman" w:eastAsia="宋体" w:cs="Times New Roman"/>
          <w:sz w:val="24"/>
          <w:szCs w:val="24"/>
        </w:rPr>
        <w:t>EP</w:t>
      </w:r>
      <w:r w:rsidRPr="00322FFF">
        <w:rPr>
          <w:rFonts w:hint="eastAsia" w:ascii="Times New Roman" w:hAnsi="Times New Roman" w:eastAsia="宋体" w:cs="Times New Roman"/>
          <w:sz w:val="24"/>
          <w:szCs w:val="24"/>
        </w:rPr>
        <w:t>1</w:t>
      </w:r>
      <w:r w:rsidRPr="00322FFF">
        <w:rPr>
          <w:rFonts w:ascii="Times New Roman" w:hAnsi="Times New Roman" w:eastAsia="宋体" w:cs="Times New Roman"/>
          <w:sz w:val="24"/>
          <w:szCs w:val="24"/>
        </w:rPr>
        <w:t>1.0</w:t>
      </w:r>
      <w:r w:rsidRPr="00322FFF">
        <w:rPr>
          <w:rFonts w:hint="eastAsia" w:ascii="Times New Roman" w:hAnsi="Times New Roman" w:eastAsia="宋体" w:cs="Times New Roman"/>
          <w:sz w:val="24"/>
          <w:szCs w:val="24"/>
        </w:rPr>
        <w:t>修改系统适用性要求为“</w:t>
      </w:r>
      <w:r w:rsidRPr="00322FFF">
        <w:rPr>
          <w:rFonts w:ascii="Times New Roman" w:hAnsi="Times New Roman" w:eastAsia="宋体" w:cs="Times New Roman"/>
          <w:sz w:val="24"/>
          <w:szCs w:val="24"/>
        </w:rPr>
        <w:t>对照品</w:t>
      </w:r>
      <w:r w:rsidRPr="00322FFF">
        <w:rPr>
          <w:rFonts w:hint="eastAsia" w:ascii="Times New Roman" w:hAnsi="Times New Roman" w:eastAsia="宋体" w:cs="Times New Roman"/>
          <w:sz w:val="24"/>
          <w:szCs w:val="24"/>
        </w:rPr>
        <w:t>中</w:t>
      </w:r>
      <w:r w:rsidRPr="00322FFF">
        <w:rPr>
          <w:rFonts w:ascii="Times New Roman" w:hAnsi="Times New Roman" w:eastAsia="宋体" w:cs="Times New Roman"/>
          <w:sz w:val="24"/>
          <w:szCs w:val="24"/>
        </w:rPr>
        <w:t>1,6</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脱水衍生物的测定值</w:t>
      </w:r>
      <w:r w:rsidRPr="00322FFF">
        <w:rPr>
          <w:rFonts w:hint="eastAsia" w:ascii="Times New Roman" w:hAnsi="Times New Roman" w:eastAsia="宋体" w:cs="Times New Roman"/>
          <w:sz w:val="24"/>
          <w:szCs w:val="24"/>
        </w:rPr>
        <w:t>应在标示值±</w:t>
      </w:r>
      <w:r w:rsidRPr="00322FFF">
        <w:rPr>
          <w:rFonts w:ascii="Times New Roman" w:hAnsi="Times New Roman" w:eastAsia="宋体" w:cs="Times New Roman"/>
          <w:sz w:val="24"/>
          <w:szCs w:val="24"/>
        </w:rPr>
        <w:t>1.5%</w:t>
      </w:r>
      <w:r w:rsidRPr="00322FFF">
        <w:rPr>
          <w:rFonts w:hint="eastAsia" w:ascii="Times New Roman" w:hAnsi="Times New Roman" w:eastAsia="宋体" w:cs="Times New Roman"/>
          <w:sz w:val="24"/>
          <w:szCs w:val="24"/>
        </w:rPr>
        <w:t>的范围内”；增加注明</w:t>
      </w:r>
      <w:r w:rsidRPr="00322FFF">
        <w:rPr>
          <w:rFonts w:ascii="Times New Roman" w:hAnsi="Times New Roman" w:eastAsia="宋体" w:cs="Times New Roman"/>
          <w:sz w:val="24"/>
          <w:szCs w:val="24"/>
        </w:rPr>
        <w:t>了保护柱规格</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Spherisorb SAX</w:t>
      </w:r>
      <w:r w:rsidRPr="00322FFF">
        <w:rPr>
          <w:rFonts w:hint="eastAsia" w:ascii="Times New Roman" w:hAnsi="Times New Roman" w:eastAsia="宋体" w:cs="Times New Roman"/>
          <w:sz w:val="24"/>
          <w:szCs w:val="24"/>
        </w:rPr>
        <w:t>，</w:t>
      </w:r>
      <w:r w:rsidRPr="00322FFF">
        <w:rPr>
          <w:rFonts w:hint="eastAsia" w:ascii="Times New Roman" w:hAnsi="Times New Roman" w:eastAsia="宋体" w:cs="Times New Roman"/>
          <w:sz w:val="24"/>
          <w:szCs w:val="24"/>
        </w:rPr>
        <w:t>4</w:t>
      </w:r>
      <w:r w:rsidRPr="00322FFF">
        <w:rPr>
          <w:rFonts w:ascii="Times New Roman" w:hAnsi="Times New Roman" w:eastAsia="宋体" w:cs="Times New Roman"/>
          <w:sz w:val="24"/>
          <w:szCs w:val="24"/>
        </w:rPr>
        <w:t>.6mm×10mm</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5μm</w:t>
      </w:r>
      <w:r w:rsidRPr="00322FFF">
        <w:rPr>
          <w:rFonts w:hint="eastAsia" w:ascii="Times New Roman" w:hAnsi="Times New Roman" w:eastAsia="宋体" w:cs="Times New Roman"/>
          <w:sz w:val="24"/>
          <w:szCs w:val="24"/>
        </w:rPr>
        <w:t>或</w:t>
      </w:r>
      <w:r w:rsidRPr="00322FFF">
        <w:rPr>
          <w:rFonts w:ascii="Times New Roman" w:hAnsi="Times New Roman" w:eastAsia="宋体" w:cs="Times New Roman"/>
          <w:sz w:val="24"/>
          <w:szCs w:val="24"/>
        </w:rPr>
        <w:t>效能相当的保护柱</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w:t>
      </w:r>
      <w:bookmarkStart w:name="_GoBack" w:id="0"/>
      <w:bookmarkEnd w:id="0"/>
    </w:p>
    <w:p w:rsidRPr="00322FFF" w:rsidR="00322FFF" w:rsidP="00322FFF" w:rsidRDefault="00322FF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 </w:t>
      </w:r>
      <w:r w:rsidRPr="00322FFF">
        <w:rPr>
          <w:rFonts w:ascii="Times New Roman" w:hAnsi="Times New Roman" w:eastAsia="宋体" w:cs="Times New Roman"/>
          <w:sz w:val="24"/>
          <w:szCs w:val="24"/>
        </w:rPr>
        <w:t>氮</w:t>
      </w:r>
      <w:r w:rsidRPr="00322FFF">
        <w:rPr>
          <w:rFonts w:hint="eastAsia" w:ascii="Times New Roman" w:hAnsi="Times New Roman" w:eastAsia="宋体" w:cs="Times New Roman"/>
          <w:sz w:val="24"/>
          <w:szCs w:val="24"/>
        </w:rPr>
        <w:t>：根据企业反馈意见，修改为“</w:t>
      </w:r>
      <w:r w:rsidRPr="00322FFF">
        <w:rPr>
          <w:rFonts w:ascii="Times New Roman" w:hAnsi="Times New Roman" w:eastAsia="宋体" w:cs="Times New Roman"/>
          <w:sz w:val="24"/>
          <w:szCs w:val="24"/>
        </w:rPr>
        <w:t>取本品，照氮测定法（中国药典</w:t>
      </w:r>
      <w:r w:rsidRPr="00322FFF">
        <w:rPr>
          <w:rFonts w:ascii="Times New Roman" w:hAnsi="Times New Roman" w:eastAsia="宋体" w:cs="Times New Roman"/>
          <w:sz w:val="24"/>
          <w:szCs w:val="24"/>
        </w:rPr>
        <w:t>2020</w:t>
      </w:r>
      <w:r w:rsidRPr="00322FFF">
        <w:rPr>
          <w:rFonts w:ascii="Times New Roman" w:hAnsi="Times New Roman" w:eastAsia="宋体" w:cs="Times New Roman"/>
          <w:sz w:val="24"/>
          <w:szCs w:val="24"/>
        </w:rPr>
        <w:t>年版四部通则</w:t>
      </w:r>
      <w:r w:rsidRPr="00322FFF">
        <w:rPr>
          <w:rFonts w:ascii="Times New Roman" w:hAnsi="Times New Roman" w:eastAsia="宋体" w:cs="Times New Roman"/>
          <w:sz w:val="24"/>
          <w:szCs w:val="24"/>
        </w:rPr>
        <w:t>0704</w:t>
      </w:r>
      <w:r w:rsidRPr="00322FFF">
        <w:rPr>
          <w:rFonts w:ascii="Times New Roman" w:hAnsi="Times New Roman" w:eastAsia="宋体" w:cs="Times New Roman"/>
          <w:sz w:val="24"/>
          <w:szCs w:val="24"/>
        </w:rPr>
        <w:t>第二法</w:t>
      </w:r>
      <w:r w:rsidRPr="00322FFF">
        <w:rPr>
          <w:rFonts w:hint="eastAsia" w:ascii="Times New Roman" w:hAnsi="Times New Roman" w:eastAsia="宋体" w:cs="Times New Roman"/>
          <w:sz w:val="24"/>
          <w:szCs w:val="24"/>
        </w:rPr>
        <w:t>或第三法</w:t>
      </w:r>
      <w:r w:rsidRPr="00322FFF">
        <w:rPr>
          <w:rFonts w:ascii="Times New Roman" w:hAnsi="Times New Roman" w:eastAsia="宋体" w:cs="Times New Roman"/>
          <w:sz w:val="24"/>
          <w:szCs w:val="24"/>
        </w:rPr>
        <w:t>）测定，按干燥品计算，本品中总氮（</w:t>
      </w:r>
      <w:r w:rsidRPr="00322FFF">
        <w:rPr>
          <w:rFonts w:ascii="Times New Roman" w:hAnsi="Times New Roman" w:eastAsia="宋体" w:cs="Times New Roman"/>
          <w:sz w:val="24"/>
          <w:szCs w:val="24"/>
        </w:rPr>
        <w:t>N</w:t>
      </w:r>
      <w:r w:rsidRPr="00322FFF">
        <w:rPr>
          <w:rFonts w:ascii="Times New Roman" w:hAnsi="Times New Roman" w:eastAsia="宋体" w:cs="Times New Roman"/>
          <w:sz w:val="24"/>
          <w:szCs w:val="24"/>
        </w:rPr>
        <w:t>）含量应为</w:t>
      </w:r>
      <w:r w:rsidRPr="00322FFF">
        <w:rPr>
          <w:rFonts w:ascii="Times New Roman" w:hAnsi="Times New Roman" w:eastAsia="宋体" w:cs="Times New Roman"/>
          <w:sz w:val="24"/>
          <w:szCs w:val="24"/>
        </w:rPr>
        <w:t>1.5</w:t>
      </w:r>
      <w:r w:rsidRPr="00322FFF">
        <w:rPr>
          <w:rFonts w:ascii="Times New Roman" w:hAnsi="Times New Roman" w:eastAsia="宋体" w:cs="Times New Roman"/>
          <w:sz w:val="24"/>
          <w:szCs w:val="24"/>
        </w:rPr>
        <w:t>％～</w:t>
      </w:r>
      <w:r w:rsidRPr="00322FFF">
        <w:rPr>
          <w:rFonts w:ascii="Times New Roman" w:hAnsi="Times New Roman" w:eastAsia="宋体" w:cs="Times New Roman"/>
          <w:sz w:val="24"/>
          <w:szCs w:val="24"/>
        </w:rPr>
        <w:t>2.5</w:t>
      </w:r>
      <w:r w:rsidRPr="00322FFF">
        <w:rPr>
          <w:rFonts w:ascii="Times New Roman" w:hAnsi="Times New Roman" w:eastAsia="宋体" w:cs="Times New Roman"/>
          <w:sz w:val="24"/>
          <w:szCs w:val="24"/>
        </w:rPr>
        <w:t>％。</w:t>
      </w:r>
      <w:r w:rsidRPr="00322FFF">
        <w:rPr>
          <w:rFonts w:hint="eastAsia" w:ascii="Times New Roman" w:hAnsi="Times New Roman" w:eastAsia="宋体" w:cs="Times New Roman"/>
          <w:sz w:val="24"/>
          <w:szCs w:val="24"/>
        </w:rPr>
        <w:t>”</w:t>
      </w:r>
    </w:p>
    <w:p w:rsidRPr="00322FFF" w:rsidR="00322FFF" w:rsidP="00322FFF" w:rsidRDefault="00322FF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 </w:t>
      </w:r>
      <w:r w:rsidRPr="00322FFF">
        <w:rPr>
          <w:rFonts w:ascii="Times New Roman" w:hAnsi="Times New Roman" w:eastAsia="宋体" w:cs="Times New Roman"/>
          <w:sz w:val="24"/>
          <w:szCs w:val="24"/>
        </w:rPr>
        <w:t>钠</w:t>
      </w:r>
      <w:r w:rsidRPr="00322FFF">
        <w:rPr>
          <w:rFonts w:hint="eastAsia" w:ascii="Times New Roman" w:hAnsi="Times New Roman" w:eastAsia="宋体" w:cs="Times New Roman"/>
          <w:sz w:val="24"/>
          <w:szCs w:val="24"/>
        </w:rPr>
        <w:t>：对文字内容进行了整理。</w:t>
      </w:r>
    </w:p>
    <w:p w:rsidRPr="00322FFF" w:rsidR="00322FFF" w:rsidP="00322FFF" w:rsidRDefault="00322FF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 </w:t>
      </w:r>
      <w:r w:rsidRPr="00322FFF">
        <w:rPr>
          <w:rFonts w:ascii="Times New Roman" w:hAnsi="Times New Roman" w:eastAsia="宋体" w:cs="Times New Roman"/>
          <w:sz w:val="24"/>
          <w:szCs w:val="24"/>
        </w:rPr>
        <w:t>分子量与分子量分布</w:t>
      </w:r>
      <w:r w:rsidRPr="00322FFF">
        <w:rPr>
          <w:rFonts w:hint="eastAsia" w:ascii="Times New Roman" w:hAnsi="Times New Roman" w:eastAsia="宋体" w:cs="Times New Roman"/>
          <w:sz w:val="24"/>
          <w:szCs w:val="24"/>
        </w:rPr>
        <w:t>：对文字内容进行了整理。</w:t>
      </w:r>
    </w:p>
    <w:p w:rsidRPr="00322FFF" w:rsidR="00322FFF" w:rsidP="00322FFF" w:rsidRDefault="00322FF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 </w:t>
      </w:r>
      <w:r w:rsidRPr="00322FFF">
        <w:rPr>
          <w:rFonts w:ascii="Times New Roman" w:hAnsi="Times New Roman" w:eastAsia="宋体" w:cs="Times New Roman"/>
          <w:sz w:val="24"/>
          <w:szCs w:val="24"/>
        </w:rPr>
        <w:t>游离硫酸盐</w:t>
      </w:r>
      <w:r w:rsidRPr="00322FFF">
        <w:rPr>
          <w:rFonts w:hint="eastAsia" w:ascii="Times New Roman" w:hAnsi="Times New Roman" w:eastAsia="宋体" w:cs="Times New Roman"/>
          <w:sz w:val="24"/>
          <w:szCs w:val="24"/>
        </w:rPr>
        <w:t>：根据企业反馈意见，将对照品溶液的线性浓度由</w:t>
      </w:r>
      <w:r w:rsidRPr="00322FFF">
        <w:rPr>
          <w:rFonts w:hint="eastAsia" w:ascii="Times New Roman" w:hAnsi="Times New Roman" w:eastAsia="宋体" w:cs="Times New Roman"/>
          <w:sz w:val="24"/>
          <w:szCs w:val="24"/>
        </w:rPr>
        <w:t>1</w:t>
      </w:r>
      <w:r w:rsidRPr="00322FFF">
        <w:rPr>
          <w:rFonts w:ascii="Times New Roman" w:hAnsi="Times New Roman" w:eastAsia="宋体" w:cs="Times New Roman"/>
          <w:sz w:val="24"/>
          <w:szCs w:val="24"/>
        </w:rPr>
        <w:t>μg/mL</w:t>
      </w:r>
      <w:r w:rsidRPr="00322FFF">
        <w:rPr>
          <w:rFonts w:hint="eastAsia" w:ascii="Times New Roman" w:hAnsi="Times New Roman" w:eastAsia="宋体" w:cs="Times New Roman"/>
          <w:sz w:val="24"/>
          <w:szCs w:val="24"/>
        </w:rPr>
        <w:t>降低至</w:t>
      </w:r>
      <w:r w:rsidRPr="00322FFF">
        <w:rPr>
          <w:rFonts w:hint="eastAsia" w:ascii="Times New Roman" w:hAnsi="Times New Roman" w:eastAsia="宋体" w:cs="Times New Roman"/>
          <w:sz w:val="24"/>
          <w:szCs w:val="24"/>
        </w:rPr>
        <w:t>0.1</w:t>
      </w:r>
      <w:r w:rsidRPr="00322FFF">
        <w:rPr>
          <w:rFonts w:ascii="Times New Roman" w:hAnsi="Times New Roman" w:eastAsia="宋体" w:cs="Times New Roman"/>
          <w:sz w:val="24"/>
          <w:szCs w:val="24"/>
        </w:rPr>
        <w:t>μg/mL</w:t>
      </w:r>
      <w:r w:rsidRPr="00322FFF">
        <w:rPr>
          <w:rFonts w:hint="eastAsia" w:ascii="Times New Roman" w:hAnsi="Times New Roman" w:eastAsia="宋体" w:cs="Times New Roman"/>
          <w:sz w:val="24"/>
          <w:szCs w:val="24"/>
        </w:rPr>
        <w:t>。中检院在标准起草过程中已验证标准曲线在</w:t>
      </w:r>
      <w:r w:rsidRPr="00322FFF">
        <w:rPr>
          <w:rFonts w:hint="eastAsia" w:ascii="Times New Roman" w:hAnsi="Times New Roman" w:eastAsia="宋体" w:cs="Times New Roman"/>
          <w:sz w:val="24"/>
          <w:szCs w:val="24"/>
        </w:rPr>
        <w:t>0.01µg/ml-20µg/ml</w:t>
      </w:r>
      <w:r w:rsidRPr="00322FFF">
        <w:rPr>
          <w:rFonts w:hint="eastAsia" w:ascii="Times New Roman" w:hAnsi="Times New Roman" w:eastAsia="宋体" w:cs="Times New Roman"/>
          <w:sz w:val="24"/>
          <w:szCs w:val="24"/>
        </w:rPr>
        <w:t>的范围内均线性良好。并对文字内容进行了整理。</w:t>
      </w:r>
    </w:p>
    <w:p w:rsidRPr="00322FFF" w:rsidR="00322FFF" w:rsidP="00322FFF" w:rsidRDefault="00322FF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 </w:t>
      </w:r>
      <w:r w:rsidRPr="00322FFF">
        <w:rPr>
          <w:rFonts w:ascii="Times New Roman" w:hAnsi="Times New Roman" w:eastAsia="宋体" w:cs="Times New Roman"/>
          <w:sz w:val="24"/>
          <w:szCs w:val="24"/>
        </w:rPr>
        <w:t>残留溶剂</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根据</w:t>
      </w:r>
      <w:r w:rsidRPr="00322FFF">
        <w:rPr>
          <w:rFonts w:ascii="Times New Roman" w:hAnsi="Times New Roman" w:eastAsia="宋体" w:cs="Times New Roman"/>
          <w:sz w:val="24"/>
          <w:szCs w:val="24"/>
        </w:rPr>
        <w:t xml:space="preserve">ICH Q3C </w:t>
      </w:r>
      <w:r w:rsidRPr="00322FFF">
        <w:rPr>
          <w:rFonts w:ascii="Times New Roman" w:hAnsi="Times New Roman" w:eastAsia="宋体" w:cs="Times New Roman"/>
          <w:sz w:val="24"/>
          <w:szCs w:val="24"/>
        </w:rPr>
        <w:t>残留溶剂指导原则在中国药典</w:t>
      </w:r>
      <w:r w:rsidRPr="00322FFF">
        <w:rPr>
          <w:rFonts w:ascii="Times New Roman" w:hAnsi="Times New Roman" w:eastAsia="宋体" w:cs="Times New Roman"/>
          <w:sz w:val="24"/>
          <w:szCs w:val="24"/>
        </w:rPr>
        <w:t>2025</w:t>
      </w:r>
      <w:r w:rsidRPr="00322FFF">
        <w:rPr>
          <w:rFonts w:ascii="Times New Roman" w:hAnsi="Times New Roman" w:eastAsia="宋体" w:cs="Times New Roman"/>
          <w:sz w:val="24"/>
          <w:szCs w:val="24"/>
        </w:rPr>
        <w:t>年版的实施策略，生产过程中引入或产品中残留的有机溶剂，一般应按通则</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 xml:space="preserve">0861 </w:t>
      </w:r>
      <w:r w:rsidRPr="00322FFF">
        <w:rPr>
          <w:rFonts w:ascii="Times New Roman" w:hAnsi="Times New Roman" w:eastAsia="宋体" w:cs="Times New Roman"/>
          <w:sz w:val="24"/>
          <w:szCs w:val="24"/>
        </w:rPr>
        <w:t>残留溶剂</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的相关要求检查并应符合相应溶剂的限度规定</w:t>
      </w:r>
      <w:r w:rsidRPr="00322FFF">
        <w:rPr>
          <w:rFonts w:hint="eastAsia" w:ascii="Times New Roman" w:hAnsi="Times New Roman" w:eastAsia="宋体" w:cs="Times New Roman"/>
          <w:sz w:val="24"/>
          <w:szCs w:val="24"/>
        </w:rPr>
        <w:t>，</w:t>
      </w:r>
      <w:r w:rsidRPr="00322FFF">
        <w:rPr>
          <w:rFonts w:ascii="Times New Roman" w:hAnsi="Times New Roman" w:eastAsia="宋体" w:cs="Times New Roman"/>
          <w:sz w:val="24"/>
          <w:szCs w:val="24"/>
        </w:rPr>
        <w:t>即：照残留溶剂测定法（中国药典</w:t>
      </w:r>
      <w:r w:rsidRPr="00322FFF">
        <w:rPr>
          <w:rFonts w:ascii="Times New Roman" w:hAnsi="Times New Roman" w:eastAsia="宋体" w:cs="Times New Roman"/>
          <w:sz w:val="24"/>
          <w:szCs w:val="24"/>
        </w:rPr>
        <w:t xml:space="preserve"> 2020 </w:t>
      </w:r>
      <w:r w:rsidRPr="00322FFF">
        <w:rPr>
          <w:rFonts w:ascii="Times New Roman" w:hAnsi="Times New Roman" w:eastAsia="宋体" w:cs="Times New Roman"/>
          <w:sz w:val="24"/>
          <w:szCs w:val="24"/>
        </w:rPr>
        <w:t>年版四部通则</w:t>
      </w:r>
      <w:r w:rsidRPr="00322FFF">
        <w:rPr>
          <w:rFonts w:ascii="Times New Roman" w:hAnsi="Times New Roman" w:eastAsia="宋体" w:cs="Times New Roman"/>
          <w:sz w:val="24"/>
          <w:szCs w:val="24"/>
        </w:rPr>
        <w:t xml:space="preserve"> 0861</w:t>
      </w:r>
      <w:r w:rsidRPr="00322FFF">
        <w:rPr>
          <w:rFonts w:ascii="Times New Roman" w:hAnsi="Times New Roman" w:eastAsia="宋体" w:cs="Times New Roman"/>
          <w:sz w:val="24"/>
          <w:szCs w:val="24"/>
        </w:rPr>
        <w:t>）测定，应符合规定。</w:t>
      </w:r>
      <w:r w:rsidRPr="00322FFF">
        <w:rPr>
          <w:rFonts w:hint="eastAsia" w:ascii="Times New Roman" w:hAnsi="Times New Roman" w:eastAsia="宋体" w:cs="Times New Roman"/>
          <w:sz w:val="24"/>
          <w:szCs w:val="24"/>
        </w:rPr>
        <w:t>不再对测定方法作详细描述。</w:t>
      </w:r>
    </w:p>
    <w:p w:rsidRPr="009D7603" w:rsidR="00E47A9F" w:rsidP="00322FFF" w:rsidRDefault="00322FFF">
      <w:pPr>
        <w:ind w:firstLine="480" w:firstLineChars="200"/>
        <w:rPr>
          <w:rFonts w:ascii="Times New Roman" w:hAnsi="Times New Roman" w:eastAsia="宋体" w:cs="Times New Roman"/>
          <w:sz w:val="24"/>
          <w:szCs w:val="24"/>
        </w:rPr>
      </w:pPr>
      <w:r w:rsidRPr="00322FFF">
        <w:rPr>
          <w:rFonts w:hint="eastAsia" w:ascii="Times New Roman" w:hAnsi="Times New Roman" w:eastAsia="宋体" w:cs="Times New Roman"/>
          <w:sz w:val="24"/>
          <w:szCs w:val="24"/>
        </w:rPr>
        <w:t>六．效价测定：对文字内容进行了整理。</w:t>
      </w:r>
    </w:p>
    <w:sectPr w:rsidRPr="009D7603" w:rsidR="00E47A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8F" w:rsidRDefault="009D408F" w:rsidP="00A762FC">
      <w:r>
        <w:separator/>
      </w:r>
    </w:p>
  </w:endnote>
  <w:endnote w:type="continuationSeparator" w:id="0">
    <w:p w:rsidR="009D408F" w:rsidRDefault="009D408F" w:rsidP="00A7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8F" w:rsidRDefault="009D408F" w:rsidP="00A762FC">
      <w:r>
        <w:separator/>
      </w:r>
    </w:p>
  </w:footnote>
  <w:footnote w:type="continuationSeparator" w:id="0">
    <w:p w:rsidR="009D408F" w:rsidRDefault="009D408F" w:rsidP="00A7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F9"/>
    <w:rsid w:val="00027922"/>
    <w:rsid w:val="000361C3"/>
    <w:rsid w:val="001145E5"/>
    <w:rsid w:val="002C09C4"/>
    <w:rsid w:val="00314971"/>
    <w:rsid w:val="00322FFF"/>
    <w:rsid w:val="00465A78"/>
    <w:rsid w:val="004A35E0"/>
    <w:rsid w:val="005346F1"/>
    <w:rsid w:val="00557E70"/>
    <w:rsid w:val="00596BFA"/>
    <w:rsid w:val="0062604A"/>
    <w:rsid w:val="00644FA1"/>
    <w:rsid w:val="00733804"/>
    <w:rsid w:val="007864F0"/>
    <w:rsid w:val="0080067D"/>
    <w:rsid w:val="008468F9"/>
    <w:rsid w:val="00865C71"/>
    <w:rsid w:val="0088406F"/>
    <w:rsid w:val="008C7A5C"/>
    <w:rsid w:val="0091644C"/>
    <w:rsid w:val="009D408F"/>
    <w:rsid w:val="009D7603"/>
    <w:rsid w:val="009F4628"/>
    <w:rsid w:val="009F70DC"/>
    <w:rsid w:val="00A01C6F"/>
    <w:rsid w:val="00A40B42"/>
    <w:rsid w:val="00A648BA"/>
    <w:rsid w:val="00A742A6"/>
    <w:rsid w:val="00A762FC"/>
    <w:rsid w:val="00B009E1"/>
    <w:rsid w:val="00B2403B"/>
    <w:rsid w:val="00BB1C99"/>
    <w:rsid w:val="00DA232A"/>
    <w:rsid w:val="00E10C90"/>
    <w:rsid w:val="00E347EA"/>
    <w:rsid w:val="00E47A9F"/>
    <w:rsid w:val="00E531FC"/>
    <w:rsid w:val="00EE6A59"/>
    <w:rsid w:val="00F33731"/>
    <w:rsid w:val="00F7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1F8AE"/>
  <w15:chartTrackingRefBased/>
  <w15:docId w15:val="{9E3E9A0A-691F-4DE9-A883-A114FE5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2FC"/>
    <w:rPr>
      <w:sz w:val="18"/>
      <w:szCs w:val="18"/>
    </w:rPr>
  </w:style>
  <w:style w:type="paragraph" w:styleId="a5">
    <w:name w:val="footer"/>
    <w:basedOn w:val="a"/>
    <w:link w:val="a6"/>
    <w:uiPriority w:val="99"/>
    <w:unhideWhenUsed/>
    <w:rsid w:val="00A762FC"/>
    <w:pPr>
      <w:tabs>
        <w:tab w:val="center" w:pos="4153"/>
        <w:tab w:val="right" w:pos="8306"/>
      </w:tabs>
      <w:snapToGrid w:val="0"/>
      <w:jc w:val="left"/>
    </w:pPr>
    <w:rPr>
      <w:sz w:val="18"/>
      <w:szCs w:val="18"/>
    </w:rPr>
  </w:style>
  <w:style w:type="character" w:customStyle="1" w:styleId="a6">
    <w:name w:val="页脚 字符"/>
    <w:basedOn w:val="a0"/>
    <w:link w:val="a5"/>
    <w:uiPriority w:val="99"/>
    <w:rsid w:val="00A762FC"/>
    <w:rPr>
      <w:sz w:val="18"/>
      <w:szCs w:val="18"/>
    </w:rPr>
  </w:style>
  <w:style w:type="paragraph" w:styleId="a7">
    <w:name w:val="Balloon Text"/>
    <w:basedOn w:val="a"/>
    <w:link w:val="a8"/>
    <w:uiPriority w:val="99"/>
    <w:semiHidden/>
    <w:unhideWhenUsed/>
    <w:rsid w:val="00DA232A"/>
    <w:rPr>
      <w:sz w:val="18"/>
      <w:szCs w:val="18"/>
    </w:rPr>
  </w:style>
  <w:style w:type="character" w:customStyle="1" w:styleId="a8">
    <w:name w:val="批注框文本 字符"/>
    <w:basedOn w:val="a0"/>
    <w:link w:val="a7"/>
    <w:uiPriority w:val="99"/>
    <w:semiHidden/>
    <w:rsid w:val="00DA2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157</Words>
  <Characters>895</Characters>
  <Application>Microsoft Office Word</Application>
  <DocSecurity>0</DocSecurity>
  <Lines>7</Lines>
  <Paragraphs>2</Paragraphs>
  <ScaleCrop>false</ScaleCrop>
  <Company>China</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周怡</dc:creator>
  <cp:keywords/>
  <dc:description/>
  <cp:lastModifiedBy>杨茜</cp:lastModifiedBy>
  <cp:revision>55</cp:revision>
  <cp:lastPrinted>2024-01-03T08:01:00Z</cp:lastPrinted>
  <dcterms:created xsi:type="dcterms:W3CDTF">2024-01-03T07:22:00Z</dcterms:created>
  <dcterms:modified xsi:type="dcterms:W3CDTF">2024-01-30T02:04:00Z</dcterms:modified>
</cp:coreProperties>
</file>